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5121"/>
        <w:gridCol w:w="5863"/>
      </w:tblGrid>
      <w:tr w:rsidR="00EE23CC" w14:paraId="72348F11" w14:textId="77777777" w:rsidTr="001F70B4">
        <w:trPr>
          <w:trHeight w:val="1695"/>
        </w:trPr>
        <w:tc>
          <w:tcPr>
            <w:tcW w:w="2331" w:type="pct"/>
          </w:tcPr>
          <w:p w14:paraId="34C2852C" w14:textId="77777777" w:rsidR="00EE23CC" w:rsidRDefault="003A6479" w:rsidP="00EE23CC">
            <w:r w:rsidRPr="001B0230">
              <w:rPr>
                <w:noProof/>
                <w:lang w:val="en-GB" w:eastAsia="en-GB" w:bidi="ar-SA"/>
              </w:rPr>
              <w:drawing>
                <wp:inline distT="0" distB="0" distL="0" distR="0" wp14:anchorId="2015AA86" wp14:editId="7A3B9CF6">
                  <wp:extent cx="2559009"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009" cy="612000"/>
                          </a:xfrm>
                          <a:prstGeom prst="rect">
                            <a:avLst/>
                          </a:prstGeom>
                          <a:noFill/>
                          <a:ln>
                            <a:noFill/>
                          </a:ln>
                        </pic:spPr>
                      </pic:pic>
                    </a:graphicData>
                  </a:graphic>
                </wp:inline>
              </w:drawing>
            </w:r>
          </w:p>
        </w:tc>
        <w:tc>
          <w:tcPr>
            <w:tcW w:w="2669" w:type="pct"/>
          </w:tcPr>
          <w:p w14:paraId="257BB82F" w14:textId="77777777" w:rsidR="00BF56B9" w:rsidRDefault="00BF56B9" w:rsidP="00EE23CC"/>
          <w:p w14:paraId="1655BCB1" w14:textId="77777777" w:rsidR="00EE23CC" w:rsidRDefault="00BF56B9" w:rsidP="00EE23CC">
            <w:r>
              <w:rPr>
                <w:noProof/>
                <w:lang w:val="en-GB" w:eastAsia="en-GB" w:bidi="ar-SA"/>
              </w:rPr>
              <w:drawing>
                <wp:inline distT="0" distB="0" distL="0" distR="0" wp14:anchorId="5C0171BE" wp14:editId="3E7560E9">
                  <wp:extent cx="2752725" cy="2455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olLogoColour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2725" cy="245513"/>
                          </a:xfrm>
                          <a:prstGeom prst="rect">
                            <a:avLst/>
                          </a:prstGeom>
                        </pic:spPr>
                      </pic:pic>
                    </a:graphicData>
                  </a:graphic>
                </wp:inline>
              </w:drawing>
            </w:r>
          </w:p>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14:paraId="6469CBB6" w14:textId="77777777" w:rsidTr="001F70B4">
        <w:trPr>
          <w:trHeight w:val="1304"/>
        </w:trPr>
        <w:tc>
          <w:tcPr>
            <w:tcW w:w="12796" w:type="dxa"/>
            <w:vAlign w:val="bottom"/>
          </w:tcPr>
          <w:p w14:paraId="656164ED" w14:textId="77777777" w:rsidR="00EE23CC" w:rsidRDefault="00EC7C1F" w:rsidP="001F70B4">
            <w:r w:rsidRPr="001B0230">
              <w:rPr>
                <w:noProof/>
                <w:lang w:val="en-GB" w:eastAsia="en-GB" w:bidi="ar-SA"/>
              </w:rPr>
              <w:drawing>
                <wp:inline distT="0" distB="0" distL="0" distR="0" wp14:anchorId="3813B126" wp14:editId="667FC4DC">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14:paraId="49B8E95F" w14:textId="47E42338" w:rsidR="00A16B77" w:rsidRPr="00370E44" w:rsidRDefault="00342A2A" w:rsidP="00790958">
      <w:pPr>
        <w:pStyle w:val="newsTitle"/>
        <w:spacing w:before="120"/>
        <w:rPr>
          <w:b/>
          <w:sz w:val="20"/>
          <w:szCs w:val="20"/>
        </w:rPr>
      </w:pPr>
      <w:r w:rsidRPr="00370E44">
        <w:rPr>
          <w:sz w:val="20"/>
          <w:szCs w:val="20"/>
        </w:rPr>
        <w:t xml:space="preserve">Rapport </w:t>
      </w:r>
      <w:r w:rsidR="007E14F0" w:rsidRPr="00370E44">
        <w:rPr>
          <w:sz w:val="20"/>
          <w:szCs w:val="20"/>
        </w:rPr>
        <w:t xml:space="preserve">2016 </w:t>
      </w:r>
      <w:r w:rsidR="00A0501A">
        <w:rPr>
          <w:sz w:val="20"/>
          <w:szCs w:val="20"/>
        </w:rPr>
        <w:t>sur les marchÉ</w:t>
      </w:r>
      <w:r w:rsidRPr="00370E44">
        <w:rPr>
          <w:sz w:val="20"/>
          <w:szCs w:val="20"/>
        </w:rPr>
        <w:t>s des drogues dans l’UE de l’EMCDDA et Europol</w:t>
      </w:r>
    </w:p>
    <w:p w14:paraId="55DDBCB3" w14:textId="59E18667" w:rsidR="00C024F1" w:rsidRPr="00370E44" w:rsidRDefault="00DB3E3B" w:rsidP="00A16B77">
      <w:pPr>
        <w:pStyle w:val="newsSubTitle"/>
        <w:rPr>
          <w:sz w:val="24"/>
          <w:szCs w:val="24"/>
        </w:rPr>
      </w:pPr>
      <w:r w:rsidRPr="00370E44">
        <w:rPr>
          <w:sz w:val="24"/>
          <w:szCs w:val="24"/>
        </w:rPr>
        <w:t xml:space="preserve">Une analyse </w:t>
      </w:r>
      <w:r w:rsidR="00BF56B9" w:rsidRPr="00370E44">
        <w:rPr>
          <w:sz w:val="24"/>
          <w:szCs w:val="24"/>
        </w:rPr>
        <w:t>stratégique du marché des drogues européen bientôt publiée</w:t>
      </w:r>
    </w:p>
    <w:p w14:paraId="369CFB0A" w14:textId="3DB25BAC" w:rsidR="00532021" w:rsidRDefault="00B52D84" w:rsidP="0093224D">
      <w:pPr>
        <w:pStyle w:val="newsContent"/>
        <w:rPr>
          <w:rFonts w:cs="Arial"/>
          <w:szCs w:val="20"/>
        </w:rPr>
      </w:pPr>
      <w:r>
        <w:t>(</w:t>
      </w:r>
      <w:r w:rsidR="00370E44">
        <w:t>1.3.</w:t>
      </w:r>
      <w:r>
        <w:t xml:space="preserve"> 2016, LISBONNE) Les drogues illicites constituent un marché très lucratif. Leur </w:t>
      </w:r>
      <w:r w:rsidR="00DB3E3B">
        <w:t>commerce constitue une</w:t>
      </w:r>
      <w:r>
        <w:t xml:space="preserve"> des principales activités </w:t>
      </w:r>
      <w:r w:rsidR="00DB3E3B">
        <w:t>rémunératrices</w:t>
      </w:r>
      <w:r>
        <w:t xml:space="preserve"> de la criminalité organisée et elles représentent, selon les estimations, environ un cinquième des produits du crime dans le monde. Les répercussions négatives des marchés des drogues illicites</w:t>
      </w:r>
      <w:r w:rsidR="00DB3E3B">
        <w:t xml:space="preserve"> revêtent</w:t>
      </w:r>
      <w:r>
        <w:t xml:space="preserve"> de multiples aspects et sont considérables, raison pour laquelle ces </w:t>
      </w:r>
      <w:r w:rsidR="00DB3E3B">
        <w:t>activités constituent</w:t>
      </w:r>
      <w:r>
        <w:t xml:space="preserve"> une menace majeure pour la sûreté de l’U</w:t>
      </w:r>
      <w:r w:rsidR="000A29F8">
        <w:t>E</w:t>
      </w:r>
      <w:r>
        <w:t xml:space="preserve"> et la sécurité de ses citoyens.</w:t>
      </w:r>
    </w:p>
    <w:p w14:paraId="3F578A92" w14:textId="4A695E49" w:rsidR="00C024F1" w:rsidRDefault="00A76388" w:rsidP="0093224D">
      <w:pPr>
        <w:pStyle w:val="newsContent"/>
        <w:rPr>
          <w:rFonts w:eastAsia="SimSun" w:cs="Arial"/>
          <w:szCs w:val="20"/>
        </w:rPr>
      </w:pPr>
      <w:r>
        <w:t xml:space="preserve">Le mois prochain, </w:t>
      </w:r>
      <w:r w:rsidR="00DB3E3B">
        <w:t xml:space="preserve">en amont de </w:t>
      </w:r>
      <w:r>
        <w:t>la session extraordinaire de l’Assemblée générale des Nations unies sur la drogue (UNGASS</w:t>
      </w:r>
      <w:proofErr w:type="gramStart"/>
      <w:r>
        <w:t>)(</w:t>
      </w:r>
      <w:proofErr w:type="gramEnd"/>
      <w:r>
        <w:rPr>
          <w:vertAlign w:val="superscript"/>
        </w:rPr>
        <w:t>1</w:t>
      </w:r>
      <w:r>
        <w:t>), deux agences de l’UE, à savoir l’</w:t>
      </w:r>
      <w:r>
        <w:rPr>
          <w:b/>
        </w:rPr>
        <w:t>Observatoire européen des drogues et des toxicomanies (EMCDDA)</w:t>
      </w:r>
      <w:r>
        <w:t xml:space="preserve"> et </w:t>
      </w:r>
      <w:r>
        <w:rPr>
          <w:b/>
        </w:rPr>
        <w:t>Europol</w:t>
      </w:r>
      <w:r>
        <w:t xml:space="preserve">, publieront leur </w:t>
      </w:r>
      <w:r w:rsidR="007E14F0">
        <w:t xml:space="preserve">nouveau </w:t>
      </w:r>
      <w:r>
        <w:t>rapport sur la situation du marché des drogues dans l’UE</w:t>
      </w:r>
      <w:r w:rsidR="001B2ABE">
        <w:t xml:space="preserve">. </w:t>
      </w:r>
    </w:p>
    <w:p w14:paraId="1C6BD803" w14:textId="2390C4AE" w:rsidR="00C024F1" w:rsidRDefault="00361062" w:rsidP="0093224D">
      <w:pPr>
        <w:pStyle w:val="newsContent"/>
        <w:rPr>
          <w:rFonts w:cs="Arial"/>
          <w:szCs w:val="20"/>
        </w:rPr>
      </w:pPr>
      <w:r>
        <w:t xml:space="preserve">Le </w:t>
      </w:r>
      <w:r w:rsidR="00370E44">
        <w:rPr>
          <w:b/>
          <w:i/>
        </w:rPr>
        <w:t xml:space="preserve">Rapport </w:t>
      </w:r>
      <w:r w:rsidR="00F4530F">
        <w:rPr>
          <w:b/>
          <w:i/>
        </w:rPr>
        <w:t xml:space="preserve">2016 </w:t>
      </w:r>
      <w:r>
        <w:rPr>
          <w:b/>
          <w:i/>
        </w:rPr>
        <w:t>sur les marchés des drogues dans l’UE — analyse approfondie</w:t>
      </w:r>
      <w:r>
        <w:t xml:space="preserve"> sera présenté lors d’une conférence de presse organisée à Bruxelles le 5 avril</w:t>
      </w:r>
      <w:r w:rsidR="001B2ABE">
        <w:t>.</w:t>
      </w:r>
      <w:r>
        <w:t xml:space="preserve"> </w:t>
      </w:r>
      <w:r>
        <w:rPr>
          <w:b/>
        </w:rPr>
        <w:t>Dimitris Avramopoulos, commissaire européen chargé de la migration, des affaires intérieures et de la citoyenneté</w:t>
      </w:r>
      <w:r w:rsidR="007E14F0">
        <w:rPr>
          <w:b/>
        </w:rPr>
        <w:t xml:space="preserve"> </w:t>
      </w:r>
      <w:r w:rsidR="001B2ABE" w:rsidRPr="00F4530F">
        <w:t>dévoilera le rapport en compagnie d’</w:t>
      </w:r>
      <w:r>
        <w:rPr>
          <w:b/>
        </w:rPr>
        <w:t>Alexis Goosdeel, directeur de l’EMCDDA</w:t>
      </w:r>
      <w:r w:rsidRPr="009145A8">
        <w:t>,</w:t>
      </w:r>
      <w:r>
        <w:t xml:space="preserve"> et </w:t>
      </w:r>
      <w:r w:rsidR="00F4530F">
        <w:t xml:space="preserve">de </w:t>
      </w:r>
      <w:r>
        <w:rPr>
          <w:b/>
        </w:rPr>
        <w:t>Rob Wainwright, directeur d’Europol</w:t>
      </w:r>
      <w:r>
        <w:t>.</w:t>
      </w:r>
    </w:p>
    <w:p w14:paraId="704A9DD0" w14:textId="3B90129C" w:rsidR="00C024F1" w:rsidRDefault="007A7C0B" w:rsidP="0093224D">
      <w:pPr>
        <w:spacing w:after="260" w:line="260" w:lineRule="exact"/>
        <w:ind w:right="141"/>
        <w:rPr>
          <w:rFonts w:ascii="Arial" w:eastAsia="SimSun" w:hAnsi="Arial" w:cs="Arial"/>
          <w:sz w:val="20"/>
          <w:szCs w:val="20"/>
        </w:rPr>
      </w:pPr>
      <w:r>
        <w:rPr>
          <w:rFonts w:ascii="Arial" w:hAnsi="Arial"/>
          <w:sz w:val="20"/>
        </w:rPr>
        <w:t>Le rapport, ainsi que l’</w:t>
      </w:r>
      <w:r w:rsidR="00790958">
        <w:rPr>
          <w:rFonts w:ascii="Arial" w:hAnsi="Arial"/>
          <w:b/>
          <w:i/>
          <w:sz w:val="20"/>
        </w:rPr>
        <w:t>A</w:t>
      </w:r>
      <w:r>
        <w:rPr>
          <w:rFonts w:ascii="Arial" w:hAnsi="Arial"/>
          <w:b/>
          <w:i/>
          <w:sz w:val="20"/>
        </w:rPr>
        <w:t>perçu stratégique</w:t>
      </w:r>
      <w:r>
        <w:rPr>
          <w:rFonts w:ascii="Arial" w:hAnsi="Arial"/>
          <w:sz w:val="20"/>
        </w:rPr>
        <w:t xml:space="preserve"> qui l’accompagne et qui en résume les principales conclusions, </w:t>
      </w:r>
      <w:r w:rsidR="001B2ABE">
        <w:rPr>
          <w:rFonts w:ascii="Arial" w:hAnsi="Arial"/>
          <w:sz w:val="20"/>
        </w:rPr>
        <w:t>s’appuie sur les compétences en termes d’analyse</w:t>
      </w:r>
      <w:r>
        <w:rPr>
          <w:rFonts w:ascii="Arial" w:hAnsi="Arial"/>
          <w:sz w:val="20"/>
        </w:rPr>
        <w:t xml:space="preserve"> du système </w:t>
      </w:r>
      <w:r w:rsidR="001B2ABE">
        <w:rPr>
          <w:rFonts w:ascii="Arial" w:hAnsi="Arial"/>
          <w:sz w:val="20"/>
        </w:rPr>
        <w:t>d’observation</w:t>
      </w:r>
      <w:r>
        <w:rPr>
          <w:rFonts w:ascii="Arial" w:hAnsi="Arial"/>
          <w:sz w:val="20"/>
        </w:rPr>
        <w:t xml:space="preserve"> des drogues de l’</w:t>
      </w:r>
      <w:r>
        <w:rPr>
          <w:rFonts w:ascii="Arial" w:hAnsi="Arial"/>
          <w:b/>
          <w:sz w:val="20"/>
        </w:rPr>
        <w:t>EMCDDA</w:t>
      </w:r>
      <w:r>
        <w:rPr>
          <w:rFonts w:ascii="Arial" w:hAnsi="Arial"/>
          <w:sz w:val="20"/>
        </w:rPr>
        <w:t xml:space="preserve"> et les informations opérationnelles d’</w:t>
      </w:r>
      <w:r>
        <w:rPr>
          <w:rFonts w:ascii="Arial" w:hAnsi="Arial"/>
          <w:b/>
          <w:sz w:val="20"/>
        </w:rPr>
        <w:t>Europol</w:t>
      </w:r>
      <w:r>
        <w:rPr>
          <w:rFonts w:ascii="Arial" w:hAnsi="Arial"/>
          <w:sz w:val="20"/>
        </w:rPr>
        <w:t xml:space="preserve"> sur les tendances de la criminalité organisée.</w:t>
      </w:r>
    </w:p>
    <w:p w14:paraId="6BEAF6D0" w14:textId="7860C6D5" w:rsidR="00C024F1" w:rsidRDefault="00DE0325" w:rsidP="0093224D">
      <w:pPr>
        <w:spacing w:after="260" w:line="260" w:lineRule="exact"/>
        <w:rPr>
          <w:rFonts w:ascii="Arial" w:hAnsi="Arial" w:cs="Arial"/>
          <w:sz w:val="20"/>
          <w:szCs w:val="20"/>
        </w:rPr>
      </w:pPr>
      <w:r>
        <w:rPr>
          <w:rFonts w:ascii="Arial" w:hAnsi="Arial"/>
          <w:sz w:val="20"/>
        </w:rPr>
        <w:t>La première partie du rapport examine les vastes ramifications du marché des drogues illicites, son impact sur l’économie licite, les liens avec d’autres formes d’activité criminelle, la pression qu’il exerce sur les gouvernements et la corruption. Les facteurs de changement sont également examinés, e</w:t>
      </w:r>
      <w:r w:rsidR="00C95F67">
        <w:rPr>
          <w:rFonts w:ascii="Arial" w:hAnsi="Arial"/>
          <w:sz w:val="20"/>
        </w:rPr>
        <w:t>t</w:t>
      </w:r>
      <w:r>
        <w:rPr>
          <w:rFonts w:ascii="Arial" w:hAnsi="Arial"/>
          <w:sz w:val="20"/>
        </w:rPr>
        <w:t xml:space="preserve"> fourniss</w:t>
      </w:r>
      <w:r w:rsidR="00C95F67">
        <w:rPr>
          <w:rFonts w:ascii="Arial" w:hAnsi="Arial"/>
          <w:sz w:val="20"/>
        </w:rPr>
        <w:t>e</w:t>
      </w:r>
      <w:r>
        <w:rPr>
          <w:rFonts w:ascii="Arial" w:hAnsi="Arial"/>
          <w:sz w:val="20"/>
        </w:rPr>
        <w:t xml:space="preserve">nt une analyse </w:t>
      </w:r>
      <w:r w:rsidRPr="00AA1A3D">
        <w:rPr>
          <w:rFonts w:ascii="Arial" w:hAnsi="Arial"/>
          <w:sz w:val="20"/>
        </w:rPr>
        <w:t xml:space="preserve">stratégique visant à </w:t>
      </w:r>
      <w:r w:rsidR="00C95F67" w:rsidRPr="00AA1A3D">
        <w:rPr>
          <w:rFonts w:ascii="Arial" w:hAnsi="Arial"/>
          <w:sz w:val="20"/>
        </w:rPr>
        <w:t xml:space="preserve">participer à </w:t>
      </w:r>
      <w:r w:rsidRPr="00AA1A3D">
        <w:rPr>
          <w:rFonts w:ascii="Arial" w:hAnsi="Arial"/>
          <w:sz w:val="20"/>
        </w:rPr>
        <w:t>l’élaboration des politiques au niveau national et de l’UE.</w:t>
      </w:r>
    </w:p>
    <w:p w14:paraId="43669055" w14:textId="2BF5B982" w:rsidR="00C024F1" w:rsidRDefault="00320ADB" w:rsidP="0093224D">
      <w:pPr>
        <w:spacing w:after="260" w:line="260" w:lineRule="exact"/>
        <w:rPr>
          <w:rFonts w:ascii="Arial" w:hAnsi="Arial" w:cs="Arial"/>
          <w:sz w:val="20"/>
          <w:szCs w:val="20"/>
        </w:rPr>
      </w:pPr>
      <w:r>
        <w:rPr>
          <w:rFonts w:ascii="Arial" w:hAnsi="Arial"/>
          <w:sz w:val="20"/>
        </w:rPr>
        <w:t xml:space="preserve">Les chapitres </w:t>
      </w:r>
      <w:r w:rsidR="001B2ABE">
        <w:rPr>
          <w:rFonts w:ascii="Arial" w:hAnsi="Arial"/>
          <w:sz w:val="20"/>
        </w:rPr>
        <w:t xml:space="preserve">spécifiques </w:t>
      </w:r>
      <w:r>
        <w:rPr>
          <w:rFonts w:ascii="Arial" w:hAnsi="Arial"/>
          <w:sz w:val="20"/>
        </w:rPr>
        <w:t>se concentrent ensuite sur les marchés: du cannabis; de l’héroïne et d</w:t>
      </w:r>
      <w:r w:rsidR="001B2ABE">
        <w:rPr>
          <w:rFonts w:ascii="Arial" w:hAnsi="Arial"/>
          <w:sz w:val="20"/>
        </w:rPr>
        <w:t xml:space="preserve">es </w:t>
      </w:r>
      <w:r>
        <w:rPr>
          <w:rFonts w:ascii="Arial" w:hAnsi="Arial"/>
          <w:sz w:val="20"/>
        </w:rPr>
        <w:t xml:space="preserve">autres </w:t>
      </w:r>
      <w:r w:rsidR="001B2ABE">
        <w:rPr>
          <w:rFonts w:ascii="Arial" w:hAnsi="Arial"/>
          <w:sz w:val="20"/>
        </w:rPr>
        <w:t>opiacés</w:t>
      </w:r>
      <w:r>
        <w:rPr>
          <w:rFonts w:ascii="Arial" w:hAnsi="Arial"/>
          <w:sz w:val="20"/>
        </w:rPr>
        <w:t>; de la cocaïne; de l’amphétamine, de la méthamphétamine et de la MDMA; et des nouvelles substances psychoactives. Le rapport se termine par un aperçu des principales structures, politiques et stratégies en place dans l’UE visant la réduction de l’offre de drogues et souligne certaines des actions opérationnelles entreprises par l’UE, ses États membres et ses partenaires internationaux.</w:t>
      </w:r>
    </w:p>
    <w:p w14:paraId="0D91F5EB" w14:textId="27C63A57" w:rsidR="00C024F1" w:rsidRDefault="00474B9A" w:rsidP="00320ADB">
      <w:pPr>
        <w:spacing w:after="0" w:line="240" w:lineRule="exact"/>
        <w:rPr>
          <w:rFonts w:ascii="Arial" w:hAnsi="Arial" w:cs="Arial"/>
          <w:sz w:val="20"/>
          <w:szCs w:val="20"/>
        </w:rPr>
      </w:pPr>
      <w:r>
        <w:rPr>
          <w:rFonts w:ascii="Arial" w:hAnsi="Arial"/>
          <w:b/>
          <w:sz w:val="20"/>
        </w:rPr>
        <w:t>Date de présentation</w:t>
      </w:r>
      <w:r>
        <w:rPr>
          <w:rFonts w:ascii="Arial" w:hAnsi="Arial"/>
          <w:sz w:val="20"/>
        </w:rPr>
        <w:t>: mardi 5 avril 2016</w:t>
      </w:r>
      <w:r w:rsidR="009145A8">
        <w:rPr>
          <w:rFonts w:ascii="Arial" w:hAnsi="Arial"/>
          <w:sz w:val="20"/>
        </w:rPr>
        <w:t>.</w:t>
      </w:r>
      <w:r w:rsidR="00790958">
        <w:rPr>
          <w:rFonts w:ascii="Arial" w:hAnsi="Arial"/>
          <w:sz w:val="20"/>
        </w:rPr>
        <w:t xml:space="preserve"> </w:t>
      </w:r>
      <w:r>
        <w:rPr>
          <w:rFonts w:ascii="Arial" w:hAnsi="Arial"/>
          <w:b/>
          <w:sz w:val="20"/>
        </w:rPr>
        <w:t>Heure</w:t>
      </w:r>
      <w:r>
        <w:t>:</w:t>
      </w:r>
      <w:r w:rsidR="00790958">
        <w:rPr>
          <w:rFonts w:ascii="Arial" w:hAnsi="Arial"/>
          <w:sz w:val="20"/>
        </w:rPr>
        <w:t xml:space="preserve"> 13h</w:t>
      </w:r>
      <w:r>
        <w:rPr>
          <w:rFonts w:ascii="Arial" w:hAnsi="Arial"/>
          <w:sz w:val="20"/>
        </w:rPr>
        <w:t>00 (heure d</w:t>
      </w:r>
      <w:r w:rsidR="00370E44">
        <w:rPr>
          <w:rFonts w:ascii="Arial" w:hAnsi="Arial"/>
          <w:sz w:val="20"/>
        </w:rPr>
        <w:t>e Bruxelles)</w:t>
      </w:r>
      <w:r w:rsidR="009145A8">
        <w:rPr>
          <w:rFonts w:ascii="Arial" w:hAnsi="Arial"/>
          <w:sz w:val="20"/>
        </w:rPr>
        <w:t>.</w:t>
      </w:r>
      <w:bookmarkStart w:id="0" w:name="_GoBack"/>
      <w:bookmarkEnd w:id="0"/>
    </w:p>
    <w:p w14:paraId="3393DFC9" w14:textId="77777777" w:rsidR="00474B9A" w:rsidRPr="00B52D84" w:rsidRDefault="00474B9A" w:rsidP="00320ADB">
      <w:pPr>
        <w:spacing w:after="0" w:line="240" w:lineRule="exact"/>
        <w:rPr>
          <w:rFonts w:ascii="Arial" w:hAnsi="Arial" w:cs="Arial"/>
          <w:sz w:val="20"/>
          <w:szCs w:val="20"/>
        </w:rPr>
      </w:pPr>
      <w:r>
        <w:rPr>
          <w:rFonts w:ascii="Arial" w:hAnsi="Arial"/>
          <w:b/>
          <w:sz w:val="20"/>
        </w:rPr>
        <w:t>Conférence de presse</w:t>
      </w:r>
      <w:r>
        <w:rPr>
          <w:rFonts w:ascii="Arial" w:hAnsi="Arial"/>
          <w:sz w:val="20"/>
        </w:rPr>
        <w:t>: Commission européenne, salle de presse, Berlaymont, Bruxelles.</w:t>
      </w:r>
    </w:p>
    <w:p w14:paraId="4AFCEA53" w14:textId="7C4E69D6" w:rsidR="00C024F1" w:rsidRDefault="001B665B" w:rsidP="001B665B">
      <w:pPr>
        <w:pStyle w:val="5Normal"/>
        <w:spacing w:after="0" w:line="240" w:lineRule="exact"/>
        <w:rPr>
          <w:rFonts w:ascii="Arial" w:hAnsi="Arial" w:cs="Arial"/>
          <w:szCs w:val="20"/>
        </w:rPr>
      </w:pPr>
      <w:r>
        <w:rPr>
          <w:rFonts w:ascii="Arial" w:hAnsi="Arial"/>
          <w:b/>
        </w:rPr>
        <w:t>Contact</w:t>
      </w:r>
      <w:r>
        <w:rPr>
          <w:rFonts w:ascii="Arial" w:hAnsi="Arial"/>
        </w:rPr>
        <w:t>:</w:t>
      </w:r>
      <w:r>
        <w:rPr>
          <w:rFonts w:ascii="Arial" w:hAnsi="Arial"/>
          <w:b/>
        </w:rPr>
        <w:t xml:space="preserve"> </w:t>
      </w:r>
      <w:r>
        <w:rPr>
          <w:rFonts w:ascii="Arial" w:hAnsi="Arial"/>
        </w:rPr>
        <w:t>(service du porte-parole): Tove Ernst (32) 2 298 67 64</w:t>
      </w:r>
      <w:r w:rsidR="00370E44">
        <w:rPr>
          <w:rFonts w:ascii="Arial" w:hAnsi="Arial"/>
        </w:rPr>
        <w:t xml:space="preserve">; </w:t>
      </w:r>
      <w:r w:rsidR="00E13634" w:rsidRPr="00370E44">
        <w:rPr>
          <w:rFonts w:ascii="Arial" w:hAnsi="Arial" w:cs="Arial"/>
        </w:rPr>
        <w:t xml:space="preserve">Markus Lammert </w:t>
      </w:r>
      <w:r w:rsidR="00E13634" w:rsidRPr="00370E44">
        <w:rPr>
          <w:rFonts w:ascii="Arial" w:hAnsi="Arial" w:cs="Arial"/>
          <w:szCs w:val="20"/>
        </w:rPr>
        <w:t xml:space="preserve">(32) 2 </w:t>
      </w:r>
      <w:r w:rsidR="00E13634" w:rsidRPr="00370E44">
        <w:rPr>
          <w:rFonts w:ascii="Arial" w:hAnsi="Arial" w:cs="Arial"/>
        </w:rPr>
        <w:t>298 04 23</w:t>
      </w:r>
      <w:r w:rsidRPr="00370E44">
        <w:rPr>
          <w:rFonts w:ascii="Arial" w:hAnsi="Arial"/>
        </w:rPr>
        <w:t>.</w:t>
      </w:r>
    </w:p>
    <w:p w14:paraId="652EEE31" w14:textId="2FE2CC20" w:rsidR="00474B9A" w:rsidRDefault="00474B9A" w:rsidP="00790958">
      <w:pPr>
        <w:pStyle w:val="Tiret1"/>
        <w:numPr>
          <w:ilvl w:val="0"/>
          <w:numId w:val="0"/>
        </w:numPr>
        <w:spacing w:after="0" w:line="240" w:lineRule="exact"/>
        <w:jc w:val="left"/>
        <w:rPr>
          <w:rFonts w:ascii="Arial" w:hAnsi="Arial" w:cs="Arial"/>
          <w:szCs w:val="20"/>
        </w:rPr>
      </w:pPr>
      <w:r>
        <w:rPr>
          <w:rFonts w:ascii="Arial" w:hAnsi="Arial"/>
          <w:b/>
        </w:rPr>
        <w:t xml:space="preserve">Rapport </w:t>
      </w:r>
      <w:r w:rsidRPr="00790958">
        <w:rPr>
          <w:rFonts w:ascii="Arial" w:hAnsi="Arial"/>
        </w:rPr>
        <w:t xml:space="preserve">et </w:t>
      </w:r>
      <w:r w:rsidR="00790958" w:rsidRPr="00790958">
        <w:rPr>
          <w:rFonts w:ascii="Arial" w:hAnsi="Arial"/>
          <w:b/>
        </w:rPr>
        <w:t>aperçu stratégique</w:t>
      </w:r>
      <w:r>
        <w:t xml:space="preserve"> </w:t>
      </w:r>
      <w:r>
        <w:rPr>
          <w:rFonts w:ascii="Arial" w:hAnsi="Arial"/>
        </w:rPr>
        <w:t>(en anglais) et</w:t>
      </w:r>
      <w:r>
        <w:t xml:space="preserve"> </w:t>
      </w:r>
      <w:r w:rsidR="00790958">
        <w:rPr>
          <w:rFonts w:ascii="Arial" w:hAnsi="Arial"/>
          <w:b/>
        </w:rPr>
        <w:t>communiqué</w:t>
      </w:r>
      <w:r>
        <w:rPr>
          <w:rFonts w:ascii="Arial" w:hAnsi="Arial"/>
          <w:b/>
        </w:rPr>
        <w:t xml:space="preserve"> de presse</w:t>
      </w:r>
      <w:r>
        <w:rPr>
          <w:rFonts w:ascii="Arial" w:hAnsi="Arial"/>
        </w:rPr>
        <w:t xml:space="preserve"> (dans les langues de l’UE):</w:t>
      </w:r>
      <w:r>
        <w:rPr>
          <w:rFonts w:ascii="Arial" w:hAnsi="Arial"/>
          <w:b/>
        </w:rPr>
        <w:t xml:space="preserve"> </w:t>
      </w:r>
      <w:hyperlink r:id="rId12">
        <w:r>
          <w:rPr>
            <w:rStyle w:val="Hyperlink"/>
            <w:sz w:val="20"/>
          </w:rPr>
          <w:t>http://europa.eu/newsroom/index_fr.htm</w:t>
        </w:r>
      </w:hyperlink>
      <w:r>
        <w:rPr>
          <w:rFonts w:ascii="Arial" w:hAnsi="Arial"/>
        </w:rPr>
        <w:t xml:space="preserve"> (embargo 5 avril 2016, à 13h00)</w:t>
      </w:r>
    </w:p>
    <w:p w14:paraId="17587790" w14:textId="77777777" w:rsidR="00AA1A3D" w:rsidRDefault="003F277A" w:rsidP="000A29F8">
      <w:pPr>
        <w:pStyle w:val="5Normal"/>
        <w:spacing w:after="0" w:line="240" w:lineRule="exact"/>
        <w:jc w:val="left"/>
        <w:rPr>
          <w:rStyle w:val="Hyperlink"/>
          <w:sz w:val="20"/>
        </w:rPr>
      </w:pPr>
      <w:r>
        <w:rPr>
          <w:rFonts w:ascii="Arial" w:hAnsi="Arial"/>
        </w:rPr>
        <w:t xml:space="preserve">Voir également </w:t>
      </w:r>
      <w:hyperlink r:id="rId13">
        <w:r>
          <w:rPr>
            <w:rStyle w:val="Hyperlink"/>
            <w:sz w:val="20"/>
          </w:rPr>
          <w:t>www.emcdda.europa.eu/start/2016/drug-markets</w:t>
        </w:r>
      </w:hyperlink>
      <w:r>
        <w:rPr>
          <w:rFonts w:ascii="Arial" w:hAnsi="Arial"/>
        </w:rPr>
        <w:t xml:space="preserve"> ● </w:t>
      </w:r>
      <w:hyperlink r:id="rId14">
        <w:r>
          <w:rPr>
            <w:rStyle w:val="Hyperlink"/>
            <w:sz w:val="20"/>
          </w:rPr>
          <w:t>www.europol.europa.eu</w:t>
        </w:r>
      </w:hyperlink>
      <w:r w:rsidR="00790958">
        <w:rPr>
          <w:rStyle w:val="Hyperlink"/>
          <w:sz w:val="20"/>
        </w:rPr>
        <w:t xml:space="preserve"> </w:t>
      </w:r>
      <w:r w:rsidR="000A29F8">
        <w:rPr>
          <w:rStyle w:val="Hyperlink"/>
          <w:sz w:val="20"/>
        </w:rPr>
        <w:t xml:space="preserve">                                 </w:t>
      </w:r>
    </w:p>
    <w:p w14:paraId="7E3535A2" w14:textId="37EF99CB" w:rsidR="00A0501A" w:rsidRDefault="00474B9A" w:rsidP="000A29F8">
      <w:pPr>
        <w:pStyle w:val="5Normal"/>
        <w:spacing w:after="0" w:line="240" w:lineRule="exact"/>
        <w:jc w:val="left"/>
        <w:rPr>
          <w:rFonts w:ascii="Arial" w:hAnsi="Arial"/>
        </w:rPr>
      </w:pPr>
      <w:r>
        <w:rPr>
          <w:rFonts w:ascii="Arial" w:hAnsi="Arial"/>
        </w:rPr>
        <w:t>Des experts de l’EMCDDA et d’Europol seront disponibles pour des entretiens (voir les contacts ci-dess</w:t>
      </w:r>
      <w:r w:rsidR="00790958">
        <w:rPr>
          <w:rFonts w:ascii="Arial" w:hAnsi="Arial"/>
        </w:rPr>
        <w:t>o</w:t>
      </w:r>
      <w:r>
        <w:rPr>
          <w:rFonts w:ascii="Arial" w:hAnsi="Arial"/>
        </w:rPr>
        <w:t>us).</w:t>
      </w:r>
      <w:r w:rsidR="000A29F8">
        <w:rPr>
          <w:rFonts w:ascii="Arial" w:hAnsi="Arial"/>
        </w:rPr>
        <w:t xml:space="preserve"> </w:t>
      </w:r>
    </w:p>
    <w:p w14:paraId="499FA1E5" w14:textId="77777777" w:rsidR="00AA1A3D" w:rsidRDefault="00AA1A3D" w:rsidP="007D527C">
      <w:pPr>
        <w:pStyle w:val="5Normal"/>
        <w:spacing w:line="240" w:lineRule="exact"/>
        <w:jc w:val="left"/>
        <w:rPr>
          <w:rFonts w:ascii="Arial" w:hAnsi="Arial"/>
        </w:rPr>
      </w:pPr>
    </w:p>
    <w:p w14:paraId="2AAAEEE9" w14:textId="77F45491" w:rsidR="00A0501A" w:rsidRDefault="003F277A" w:rsidP="007D527C">
      <w:pPr>
        <w:pStyle w:val="5Normal"/>
        <w:spacing w:line="240" w:lineRule="exact"/>
        <w:jc w:val="left"/>
        <w:rPr>
          <w:rFonts w:ascii="Arial" w:hAnsi="Arial"/>
        </w:rPr>
      </w:pPr>
      <w:r>
        <w:rPr>
          <w:rFonts w:ascii="Arial" w:hAnsi="Arial"/>
        </w:rPr>
        <w:t xml:space="preserve">Le premier </w:t>
      </w:r>
      <w:r w:rsidR="00370E44">
        <w:rPr>
          <w:rFonts w:ascii="Arial" w:hAnsi="Arial"/>
          <w:b/>
          <w:i/>
        </w:rPr>
        <w:t xml:space="preserve">Rapport </w:t>
      </w:r>
      <w:r>
        <w:rPr>
          <w:rFonts w:ascii="Arial" w:hAnsi="Arial"/>
          <w:b/>
          <w:i/>
        </w:rPr>
        <w:t>sur les marchés des drogues dans l’UE</w:t>
      </w:r>
      <w:r>
        <w:rPr>
          <w:rFonts w:ascii="Arial" w:hAnsi="Arial"/>
        </w:rPr>
        <w:t xml:space="preserve"> a été publié par les deux agences en 2013.</w:t>
      </w:r>
      <w:r w:rsidR="007D527C">
        <w:rPr>
          <w:rFonts w:ascii="Arial" w:hAnsi="Arial"/>
        </w:rPr>
        <w:t xml:space="preserve"> </w:t>
      </w:r>
    </w:p>
    <w:p w14:paraId="337EBC97" w14:textId="7A9C2F64" w:rsidR="00532021" w:rsidRPr="007D527C" w:rsidRDefault="003F277A" w:rsidP="007D527C">
      <w:pPr>
        <w:pStyle w:val="5Normal"/>
        <w:spacing w:line="240" w:lineRule="exact"/>
        <w:jc w:val="left"/>
        <w:rPr>
          <w:rFonts w:ascii="Arial" w:hAnsi="Arial" w:cs="Arial"/>
          <w:sz w:val="18"/>
          <w:szCs w:val="18"/>
        </w:rPr>
      </w:pPr>
      <w:r w:rsidRPr="007D527C">
        <w:rPr>
          <w:rFonts w:ascii="Arial" w:hAnsi="Arial" w:cs="Arial"/>
          <w:sz w:val="18"/>
          <w:szCs w:val="18"/>
        </w:rPr>
        <w:t>(</w:t>
      </w:r>
      <w:r w:rsidRPr="007D527C">
        <w:rPr>
          <w:rFonts w:ascii="Arial" w:hAnsi="Arial" w:cs="Arial"/>
          <w:sz w:val="18"/>
          <w:szCs w:val="18"/>
          <w:vertAlign w:val="superscript"/>
        </w:rPr>
        <w:t>1</w:t>
      </w:r>
      <w:r w:rsidRPr="007D527C">
        <w:rPr>
          <w:rFonts w:ascii="Arial" w:hAnsi="Arial" w:cs="Arial"/>
          <w:sz w:val="18"/>
          <w:szCs w:val="18"/>
        </w:rPr>
        <w:t xml:space="preserve">) </w:t>
      </w:r>
      <w:hyperlink r:id="rId15">
        <w:r w:rsidRPr="007D527C">
          <w:rPr>
            <w:rStyle w:val="Hyperlink"/>
            <w:rFonts w:cs="Arial"/>
            <w:sz w:val="18"/>
            <w:szCs w:val="18"/>
          </w:rPr>
          <w:t>www.unodc.org/ungass2016</w:t>
        </w:r>
      </w:hyperlink>
    </w:p>
    <w:sectPr w:rsidR="00532021" w:rsidRPr="007D527C" w:rsidSect="00A0501A">
      <w:headerReference w:type="default" r:id="rId16"/>
      <w:footerReference w:type="default" r:id="rId17"/>
      <w:footerReference w:type="first" r:id="rId18"/>
      <w:type w:val="continuous"/>
      <w:pgSz w:w="11906" w:h="16838" w:code="9"/>
      <w:pgMar w:top="1134" w:right="991" w:bottom="709" w:left="1276" w:header="737" w:footer="10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3119C" w15:done="0"/>
  <w15:commentEx w15:paraId="760CCEE7" w15:paraIdParent="77A3119C" w15:done="0"/>
  <w15:commentEx w15:paraId="277CF0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FFC0D" w14:textId="77777777" w:rsidR="00125B3B" w:rsidRDefault="00125B3B" w:rsidP="009A28FB">
      <w:pPr>
        <w:spacing w:after="0" w:line="240" w:lineRule="auto"/>
      </w:pPr>
      <w:r>
        <w:separator/>
      </w:r>
    </w:p>
  </w:endnote>
  <w:endnote w:type="continuationSeparator" w:id="0">
    <w:p w14:paraId="0D13DA5E" w14:textId="77777777" w:rsidR="00125B3B" w:rsidRDefault="00125B3B"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14:paraId="7AEF6F20" w14:textId="77777777" w:rsidTr="002F4635">
      <w:tc>
        <w:tcPr>
          <w:tcW w:w="1444" w:type="dxa"/>
        </w:tcPr>
        <w:p w14:paraId="52B8A1D4" w14:textId="77777777" w:rsidR="00BF1E3B" w:rsidRDefault="00BF1E3B"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4A9A2C4E" wp14:editId="17A27EE9">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120AC3"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t>emcdda.europa.eu</w:t>
          </w:r>
        </w:p>
      </w:tc>
      <w:tc>
        <w:tcPr>
          <w:tcW w:w="3294" w:type="dxa"/>
          <w:vAlign w:val="bottom"/>
        </w:tcPr>
        <w:p w14:paraId="10251DA8" w14:textId="77777777" w:rsidR="00BF1E3B" w:rsidRDefault="002F4635" w:rsidP="00BF1E3B">
          <w:pPr>
            <w:pStyle w:val="newsReference"/>
            <w:jc w:val="right"/>
          </w:pPr>
          <w:r>
            <w:fldChar w:fldCharType="begin"/>
          </w:r>
          <w:r>
            <w:instrText xml:space="preserve"> PAGE   \* MERGEFORMAT </w:instrText>
          </w:r>
          <w:r>
            <w:fldChar w:fldCharType="separate"/>
          </w:r>
          <w:r w:rsidR="00AA1A3D">
            <w:rPr>
              <w:noProof/>
            </w:rPr>
            <w:t>2</w:t>
          </w:r>
          <w:r>
            <w:rPr>
              <w:noProof/>
            </w:rPr>
            <w:fldChar w:fldCharType="end"/>
          </w:r>
        </w:p>
      </w:tc>
    </w:tr>
  </w:tbl>
  <w:p w14:paraId="4E870833" w14:textId="77777777"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3A38" w14:textId="77777777" w:rsidR="00C27E3B" w:rsidRPr="00853FD9" w:rsidRDefault="00853FD9" w:rsidP="00853FD9">
    <w:pPr>
      <w:tabs>
        <w:tab w:val="left" w:pos="3405"/>
        <w:tab w:val="left" w:pos="4125"/>
      </w:tabs>
      <w:spacing w:after="0"/>
      <w:rPr>
        <w:rFonts w:ascii="Arial" w:hAnsi="Arial" w:cs="Arial"/>
        <w:sz w:val="20"/>
        <w:szCs w:val="20"/>
      </w:rPr>
    </w:pPr>
    <w:r>
      <w:tab/>
    </w:r>
    <w:r>
      <w:tab/>
    </w:r>
  </w:p>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14:paraId="2A20DF49" w14:textId="77777777" w:rsidTr="003B00EE">
      <w:tc>
        <w:tcPr>
          <w:tcW w:w="7196" w:type="dxa"/>
        </w:tcPr>
        <w:p w14:paraId="51E24265" w14:textId="77777777" w:rsidR="00C27E3B" w:rsidRPr="00A0501A" w:rsidRDefault="0063677C" w:rsidP="00C27E3B">
          <w:pPr>
            <w:pStyle w:val="newsCoordinates"/>
            <w:rPr>
              <w:rFonts w:cs="Arial"/>
              <w:szCs w:val="14"/>
              <w:lang w:val="it-IT"/>
            </w:rPr>
          </w:pPr>
          <w:r>
            <w:rPr>
              <w:noProof/>
              <w:szCs w:val="14"/>
              <w:lang w:val="en-GB" w:eastAsia="en-GB" w:bidi="ar-SA"/>
            </w:rPr>
            <mc:AlternateContent>
              <mc:Choice Requires="wps">
                <w:drawing>
                  <wp:anchor distT="0" distB="0" distL="114300" distR="114300" simplePos="0" relativeHeight="251665408" behindDoc="1" locked="0" layoutInCell="1" allowOverlap="1" wp14:anchorId="4FEB6A90" wp14:editId="1563FFD1">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57844F4"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t xml:space="preserve">EMCDDA </w:t>
          </w:r>
          <w:hyperlink r:id="rId1">
            <w:r>
              <w:rPr>
                <w:rStyle w:val="Hyperlink"/>
                <w:sz w:val="14"/>
              </w:rPr>
              <w:t>press@emcdda.europa.eu</w:t>
            </w:r>
          </w:hyperlink>
          <w:r>
            <w:t xml:space="preserve"> </w:t>
          </w:r>
          <w:r>
            <w:rPr>
              <w:rStyle w:val="Bullettoseparatelanguage1"/>
            </w:rPr>
            <w:t>•</w:t>
          </w:r>
          <w:r>
            <w:t xml:space="preserve"> </w:t>
          </w:r>
          <w:hyperlink r:id="rId2">
            <w:r>
              <w:rPr>
                <w:rStyle w:val="Hyperlink"/>
                <w:sz w:val="14"/>
              </w:rPr>
              <w:t>www.emcdda.europa.eu</w:t>
            </w:r>
          </w:hyperlink>
          <w:r>
            <w:t xml:space="preserve"> </w:t>
          </w:r>
          <w:r>
            <w:rPr>
              <w:rStyle w:val="Bullettoseparatelanguage1"/>
            </w:rPr>
            <w:t xml:space="preserve">• </w:t>
          </w:r>
          <w:r>
            <w:t xml:space="preserve">Tél. </w:t>
          </w:r>
          <w:r w:rsidRPr="00A0501A">
            <w:rPr>
              <w:lang w:val="it-IT"/>
            </w:rPr>
            <w:t>(351) 211 21 02 00.</w:t>
          </w:r>
        </w:p>
        <w:p w14:paraId="701A048A" w14:textId="15A4BCB0" w:rsidR="0063677C" w:rsidRDefault="00C27E3B" w:rsidP="00C27E3B">
          <w:pPr>
            <w:pStyle w:val="newsContent"/>
            <w:spacing w:after="0"/>
          </w:pPr>
          <w:r w:rsidRPr="00A0501A">
            <w:rPr>
              <w:sz w:val="14"/>
              <w:lang w:val="it-IT"/>
            </w:rPr>
            <w:t xml:space="preserve">  Europol: </w:t>
          </w:r>
          <w:hyperlink r:id="rId3" w:history="1">
            <w:r w:rsidR="00A0501A" w:rsidRPr="00A0501A">
              <w:rPr>
                <w:rStyle w:val="Hyperlink"/>
                <w:rFonts w:cs="Arial"/>
                <w:sz w:val="14"/>
                <w:szCs w:val="14"/>
                <w:lang w:val="it-IT"/>
              </w:rPr>
              <w:t>g14@europol.europa.eu</w:t>
            </w:r>
          </w:hyperlink>
          <w:r w:rsidR="00A0501A" w:rsidRPr="00A0501A">
            <w:rPr>
              <w:rFonts w:cs="Arial"/>
              <w:sz w:val="14"/>
              <w:szCs w:val="14"/>
              <w:lang w:val="it-IT"/>
            </w:rPr>
            <w:t xml:space="preserve"> </w:t>
          </w:r>
          <w:r w:rsidR="00A0501A" w:rsidRPr="00A0501A">
            <w:rPr>
              <w:rStyle w:val="Bullettoseparatelanguage1"/>
              <w:rFonts w:cs="Arial"/>
              <w:szCs w:val="14"/>
              <w:lang w:val="it-IT"/>
            </w:rPr>
            <w:t>•</w:t>
          </w:r>
          <w:r w:rsidR="00A0501A" w:rsidRPr="00A0501A">
            <w:rPr>
              <w:rFonts w:cs="Arial"/>
              <w:sz w:val="14"/>
              <w:szCs w:val="14"/>
              <w:lang w:val="it-IT"/>
            </w:rPr>
            <w:t xml:space="preserve"> </w:t>
          </w:r>
          <w:hyperlink r:id="rId4" w:history="1">
            <w:r w:rsidR="00A0501A" w:rsidRPr="00A0501A">
              <w:rPr>
                <w:rStyle w:val="Hyperlink"/>
                <w:rFonts w:eastAsia="SimSun" w:cs="Arial"/>
                <w:sz w:val="14"/>
                <w:szCs w:val="14"/>
                <w:lang w:val="it-IT" w:eastAsia="zh-CN"/>
              </w:rPr>
              <w:t>www.europol.europa.eu</w:t>
            </w:r>
          </w:hyperlink>
          <w:r w:rsidR="00A0501A" w:rsidRPr="00A0501A">
            <w:rPr>
              <w:rFonts w:eastAsia="SimSun" w:cs="Arial"/>
              <w:sz w:val="14"/>
              <w:szCs w:val="14"/>
              <w:lang w:val="it-IT" w:eastAsia="zh-CN"/>
            </w:rPr>
            <w:t xml:space="preserve"> </w:t>
          </w:r>
          <w:r w:rsidR="00A0501A" w:rsidRPr="00A0501A">
            <w:rPr>
              <w:rStyle w:val="Bullettoseparatelanguage1"/>
              <w:rFonts w:cs="Arial"/>
              <w:szCs w:val="14"/>
              <w:lang w:val="it-IT"/>
            </w:rPr>
            <w:t xml:space="preserve">• </w:t>
          </w:r>
          <w:r w:rsidR="00A0501A" w:rsidRPr="00A0501A">
            <w:rPr>
              <w:rFonts w:cs="Arial"/>
              <w:sz w:val="14"/>
              <w:szCs w:val="14"/>
              <w:lang w:val="it-IT"/>
            </w:rPr>
            <w:t xml:space="preserve">Tel. </w:t>
          </w:r>
          <w:r w:rsidR="00A0501A" w:rsidRPr="00696C3F">
            <w:rPr>
              <w:sz w:val="14"/>
              <w:szCs w:val="14"/>
              <w:lang w:val="it-IT"/>
            </w:rPr>
            <w:t>(31) 703 02 50 01.</w:t>
          </w:r>
          <w:r>
            <w:rPr>
              <w:sz w:val="14"/>
            </w:rPr>
            <w:t xml:space="preserve">   </w:t>
          </w:r>
        </w:p>
      </w:tc>
      <w:tc>
        <w:tcPr>
          <w:tcW w:w="3294" w:type="dxa"/>
          <w:vAlign w:val="bottom"/>
        </w:tcPr>
        <w:p w14:paraId="312D18E5" w14:textId="287A7DB4" w:rsidR="0063677C" w:rsidRDefault="0063677C" w:rsidP="00C27E3B">
          <w:pPr>
            <w:pStyle w:val="newsReference"/>
            <w:jc w:val="right"/>
          </w:pPr>
          <w:r>
            <w:t xml:space="preserve">FR — </w:t>
          </w:r>
          <w:r w:rsidRPr="00A0501A">
            <w:t>nº </w:t>
          </w:r>
          <w:r w:rsidR="00A0501A" w:rsidRPr="00A0501A">
            <w:t>3</w:t>
          </w:r>
          <w:r w:rsidRPr="00A0501A">
            <w:t>/2016</w:t>
          </w:r>
        </w:p>
      </w:tc>
    </w:tr>
  </w:tbl>
  <w:p w14:paraId="4A22C20B" w14:textId="77777777"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BFC0A" w14:textId="77777777" w:rsidR="00125B3B" w:rsidRDefault="00125B3B" w:rsidP="009A28FB">
      <w:pPr>
        <w:spacing w:after="0" w:line="240" w:lineRule="auto"/>
      </w:pPr>
      <w:r>
        <w:separator/>
      </w:r>
    </w:p>
  </w:footnote>
  <w:footnote w:type="continuationSeparator" w:id="0">
    <w:p w14:paraId="64B127CA" w14:textId="77777777" w:rsidR="00125B3B" w:rsidRDefault="00125B3B"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RPr="00790958" w14:paraId="430803B3" w14:textId="77777777" w:rsidTr="00BF1E3B">
      <w:tc>
        <w:tcPr>
          <w:tcW w:w="7196" w:type="dxa"/>
        </w:tcPr>
        <w:p w14:paraId="00213C18" w14:textId="6EF59AE0" w:rsidR="00BF1E3B" w:rsidRPr="00370E44" w:rsidRDefault="00BF1E3B" w:rsidP="00370E44">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1A1BCFC8" wp14:editId="37FEF217">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DCAC3F9"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00370E44" w:rsidRPr="00370E44">
            <w:t xml:space="preserve"> Rapport 2016 sur les marchés des drogues dans l’UE</w:t>
          </w:r>
          <w:r w:rsidRPr="00370E44">
            <w:t xml:space="preserve"> </w:t>
          </w:r>
          <w:r w:rsidRPr="00370E44">
            <w:rPr>
              <w:noProof/>
              <w:sz w:val="18"/>
            </w:rPr>
            <w:t xml:space="preserve">I </w:t>
          </w:r>
        </w:p>
      </w:tc>
      <w:tc>
        <w:tcPr>
          <w:tcW w:w="3294" w:type="dxa"/>
          <w:vAlign w:val="bottom"/>
        </w:tcPr>
        <w:p w14:paraId="160B1A98" w14:textId="3BAB7B7B" w:rsidR="00BF1E3B" w:rsidRPr="00370E44" w:rsidRDefault="00370E44" w:rsidP="00370E44">
          <w:pPr>
            <w:pStyle w:val="newsReference"/>
            <w:jc w:val="right"/>
            <w:rPr>
              <w:lang w:val="pt-BR"/>
            </w:rPr>
          </w:pPr>
          <w:r w:rsidRPr="00370E44">
            <w:rPr>
              <w:lang w:val="pt-BR"/>
            </w:rPr>
            <w:t>1.</w:t>
          </w:r>
          <w:r>
            <w:rPr>
              <w:lang w:val="pt-BR"/>
            </w:rPr>
            <w:t>3.2016</w:t>
          </w:r>
        </w:p>
      </w:tc>
    </w:tr>
  </w:tbl>
  <w:p w14:paraId="2582C101" w14:textId="77777777" w:rsidR="00BF1E3B" w:rsidRPr="00790958" w:rsidRDefault="00BF1E3B">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41C"/>
    <w:multiLevelType w:val="hybridMultilevel"/>
    <w:tmpl w:val="8918C64C"/>
    <w:lvl w:ilvl="0" w:tplc="D17878AA">
      <w:start w:val="1"/>
      <w:numFmt w:val="bullet"/>
      <w:pStyle w:val="Tiret1"/>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De l Eprevier">
    <w15:presenceInfo w15:providerId="AD" w15:userId="S-1-5-21-3594293107-3689624891-599004593-1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B9"/>
    <w:rsid w:val="00014E8E"/>
    <w:rsid w:val="00021465"/>
    <w:rsid w:val="00036DAA"/>
    <w:rsid w:val="000535B7"/>
    <w:rsid w:val="00067DD3"/>
    <w:rsid w:val="000A29F8"/>
    <w:rsid w:val="000C6200"/>
    <w:rsid w:val="000E2A68"/>
    <w:rsid w:val="00105BFC"/>
    <w:rsid w:val="00107824"/>
    <w:rsid w:val="00107C96"/>
    <w:rsid w:val="00125B3B"/>
    <w:rsid w:val="0017713E"/>
    <w:rsid w:val="001800D0"/>
    <w:rsid w:val="001A3338"/>
    <w:rsid w:val="001B2ABE"/>
    <w:rsid w:val="001B665B"/>
    <w:rsid w:val="001C795A"/>
    <w:rsid w:val="001D5C26"/>
    <w:rsid w:val="001D656B"/>
    <w:rsid w:val="001F1ED5"/>
    <w:rsid w:val="001F70B4"/>
    <w:rsid w:val="00223753"/>
    <w:rsid w:val="002518CE"/>
    <w:rsid w:val="002557B0"/>
    <w:rsid w:val="002646E4"/>
    <w:rsid w:val="0027252D"/>
    <w:rsid w:val="0028141E"/>
    <w:rsid w:val="002948E2"/>
    <w:rsid w:val="002A61F7"/>
    <w:rsid w:val="002B05CE"/>
    <w:rsid w:val="002B45AC"/>
    <w:rsid w:val="002D73B4"/>
    <w:rsid w:val="002D7CF0"/>
    <w:rsid w:val="002E467A"/>
    <w:rsid w:val="002E4D53"/>
    <w:rsid w:val="002E4FE8"/>
    <w:rsid w:val="002F1B60"/>
    <w:rsid w:val="002F4635"/>
    <w:rsid w:val="00320ADB"/>
    <w:rsid w:val="0033158E"/>
    <w:rsid w:val="0033498B"/>
    <w:rsid w:val="00342A2A"/>
    <w:rsid w:val="00361062"/>
    <w:rsid w:val="0036121D"/>
    <w:rsid w:val="00367CE3"/>
    <w:rsid w:val="00370E44"/>
    <w:rsid w:val="0038115E"/>
    <w:rsid w:val="00387D02"/>
    <w:rsid w:val="003A6479"/>
    <w:rsid w:val="003B41B1"/>
    <w:rsid w:val="003C0395"/>
    <w:rsid w:val="003F277A"/>
    <w:rsid w:val="004137B0"/>
    <w:rsid w:val="004221D3"/>
    <w:rsid w:val="00435389"/>
    <w:rsid w:val="0044111C"/>
    <w:rsid w:val="00445080"/>
    <w:rsid w:val="0045468D"/>
    <w:rsid w:val="00474B9A"/>
    <w:rsid w:val="004847FB"/>
    <w:rsid w:val="004B16B1"/>
    <w:rsid w:val="004C3028"/>
    <w:rsid w:val="004D6E0C"/>
    <w:rsid w:val="00520EF1"/>
    <w:rsid w:val="00532021"/>
    <w:rsid w:val="00542CEE"/>
    <w:rsid w:val="005847D8"/>
    <w:rsid w:val="005A0DC8"/>
    <w:rsid w:val="005B05A0"/>
    <w:rsid w:val="005B0882"/>
    <w:rsid w:val="005B1B63"/>
    <w:rsid w:val="005C4033"/>
    <w:rsid w:val="006076A8"/>
    <w:rsid w:val="006116D9"/>
    <w:rsid w:val="00623A55"/>
    <w:rsid w:val="0063677C"/>
    <w:rsid w:val="006532E9"/>
    <w:rsid w:val="006665E4"/>
    <w:rsid w:val="00666A63"/>
    <w:rsid w:val="00672271"/>
    <w:rsid w:val="006D3C04"/>
    <w:rsid w:val="006F1041"/>
    <w:rsid w:val="00730132"/>
    <w:rsid w:val="007439AA"/>
    <w:rsid w:val="00773814"/>
    <w:rsid w:val="00790958"/>
    <w:rsid w:val="00791F09"/>
    <w:rsid w:val="007A0274"/>
    <w:rsid w:val="007A1EFF"/>
    <w:rsid w:val="007A7C0B"/>
    <w:rsid w:val="007B0E03"/>
    <w:rsid w:val="007B1CCD"/>
    <w:rsid w:val="007D527C"/>
    <w:rsid w:val="007E14F0"/>
    <w:rsid w:val="00810423"/>
    <w:rsid w:val="00813FB5"/>
    <w:rsid w:val="00841E86"/>
    <w:rsid w:val="00853FD9"/>
    <w:rsid w:val="00881730"/>
    <w:rsid w:val="008C1172"/>
    <w:rsid w:val="008C4908"/>
    <w:rsid w:val="008D44D0"/>
    <w:rsid w:val="008D54B3"/>
    <w:rsid w:val="008F177B"/>
    <w:rsid w:val="008F399E"/>
    <w:rsid w:val="00902300"/>
    <w:rsid w:val="00903A49"/>
    <w:rsid w:val="00906CD1"/>
    <w:rsid w:val="009145A8"/>
    <w:rsid w:val="0093224D"/>
    <w:rsid w:val="00955F0C"/>
    <w:rsid w:val="00974A27"/>
    <w:rsid w:val="009A28FB"/>
    <w:rsid w:val="009D6255"/>
    <w:rsid w:val="009F4FB0"/>
    <w:rsid w:val="00A0501A"/>
    <w:rsid w:val="00A0788A"/>
    <w:rsid w:val="00A16B77"/>
    <w:rsid w:val="00A311EF"/>
    <w:rsid w:val="00A3254D"/>
    <w:rsid w:val="00A33245"/>
    <w:rsid w:val="00A53AD7"/>
    <w:rsid w:val="00A576D3"/>
    <w:rsid w:val="00A65E3A"/>
    <w:rsid w:val="00A661E2"/>
    <w:rsid w:val="00A66C53"/>
    <w:rsid w:val="00A76388"/>
    <w:rsid w:val="00A856B7"/>
    <w:rsid w:val="00A92FDC"/>
    <w:rsid w:val="00AA1A3D"/>
    <w:rsid w:val="00AD12B9"/>
    <w:rsid w:val="00AD7BFC"/>
    <w:rsid w:val="00AE093C"/>
    <w:rsid w:val="00AE1738"/>
    <w:rsid w:val="00AE30BD"/>
    <w:rsid w:val="00AF13B3"/>
    <w:rsid w:val="00AF259D"/>
    <w:rsid w:val="00B11B73"/>
    <w:rsid w:val="00B25554"/>
    <w:rsid w:val="00B272F1"/>
    <w:rsid w:val="00B51E08"/>
    <w:rsid w:val="00B52D84"/>
    <w:rsid w:val="00B57464"/>
    <w:rsid w:val="00B61036"/>
    <w:rsid w:val="00B72DD3"/>
    <w:rsid w:val="00B7335C"/>
    <w:rsid w:val="00B86398"/>
    <w:rsid w:val="00B97BC5"/>
    <w:rsid w:val="00BA72B1"/>
    <w:rsid w:val="00BB60CF"/>
    <w:rsid w:val="00BB7540"/>
    <w:rsid w:val="00BF1E3B"/>
    <w:rsid w:val="00BF56B9"/>
    <w:rsid w:val="00C024F1"/>
    <w:rsid w:val="00C27E3B"/>
    <w:rsid w:val="00C36BC1"/>
    <w:rsid w:val="00C628C4"/>
    <w:rsid w:val="00C63254"/>
    <w:rsid w:val="00C874C0"/>
    <w:rsid w:val="00C95F67"/>
    <w:rsid w:val="00CA2FF5"/>
    <w:rsid w:val="00CB49DA"/>
    <w:rsid w:val="00CC1F19"/>
    <w:rsid w:val="00CC4FDA"/>
    <w:rsid w:val="00CC6A8B"/>
    <w:rsid w:val="00CF12E6"/>
    <w:rsid w:val="00CF2298"/>
    <w:rsid w:val="00D01335"/>
    <w:rsid w:val="00D03EC6"/>
    <w:rsid w:val="00D3312B"/>
    <w:rsid w:val="00D37865"/>
    <w:rsid w:val="00D57367"/>
    <w:rsid w:val="00D84AE3"/>
    <w:rsid w:val="00D857DA"/>
    <w:rsid w:val="00D92A34"/>
    <w:rsid w:val="00DB3E3B"/>
    <w:rsid w:val="00DE0325"/>
    <w:rsid w:val="00E13634"/>
    <w:rsid w:val="00E2749D"/>
    <w:rsid w:val="00E321BA"/>
    <w:rsid w:val="00E43B13"/>
    <w:rsid w:val="00E57C9D"/>
    <w:rsid w:val="00E66CCD"/>
    <w:rsid w:val="00E81F3D"/>
    <w:rsid w:val="00E83FC3"/>
    <w:rsid w:val="00EA6ACE"/>
    <w:rsid w:val="00EC7C1F"/>
    <w:rsid w:val="00EE23CC"/>
    <w:rsid w:val="00EE4B15"/>
    <w:rsid w:val="00F06CDE"/>
    <w:rsid w:val="00F21CA9"/>
    <w:rsid w:val="00F24096"/>
    <w:rsid w:val="00F373F5"/>
    <w:rsid w:val="00F414EF"/>
    <w:rsid w:val="00F4530F"/>
    <w:rsid w:val="00F47542"/>
    <w:rsid w:val="00F83BCE"/>
    <w:rsid w:val="00FB351B"/>
    <w:rsid w:val="00FC0187"/>
    <w:rsid w:val="00FC556B"/>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2E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F56B9"/>
    <w:pPr>
      <w:keepNext/>
      <w:spacing w:after="400" w:line="400" w:lineRule="exact"/>
      <w:outlineLvl w:val="1"/>
    </w:pPr>
    <w:rPr>
      <w:rFonts w:ascii="Arial" w:eastAsia="Times New Roman" w:hAnsi="Arial"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customStyle="1" w:styleId="Heading2Char">
    <w:name w:val="Heading 2 Char"/>
    <w:basedOn w:val="DefaultParagraphFont"/>
    <w:link w:val="Heading2"/>
    <w:rsid w:val="00BF56B9"/>
    <w:rPr>
      <w:rFonts w:ascii="Arial" w:eastAsia="Times New Roman" w:hAnsi="Arial" w:cs="Times New Roman"/>
      <w:b/>
      <w:color w:val="000080"/>
      <w:sz w:val="24"/>
      <w:szCs w:val="20"/>
    </w:rPr>
  </w:style>
  <w:style w:type="paragraph" w:customStyle="1" w:styleId="5Normal">
    <w:name w:val="5 Normal"/>
    <w:basedOn w:val="Normal"/>
    <w:link w:val="5NormalChar"/>
    <w:rsid w:val="00B52D8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rPr>
  </w:style>
  <w:style w:type="character" w:customStyle="1" w:styleId="5NormalChar">
    <w:name w:val="5 Normal Char"/>
    <w:link w:val="5Normal"/>
    <w:locked/>
    <w:rsid w:val="00B52D84"/>
    <w:rPr>
      <w:rFonts w:ascii="Verdana" w:eastAsia="Times New Roman" w:hAnsi="Verdana" w:cs="Times New Roman"/>
      <w:spacing w:val="-2"/>
      <w:sz w:val="20"/>
      <w:szCs w:val="24"/>
      <w:lang w:eastAsia="fr-FR"/>
    </w:rPr>
  </w:style>
  <w:style w:type="paragraph" w:customStyle="1" w:styleId="Tiret1">
    <w:name w:val="Tiret 1"/>
    <w:basedOn w:val="5Normal"/>
    <w:next w:val="5Normal"/>
    <w:rsid w:val="00B52D84"/>
    <w:pPr>
      <w:numPr>
        <w:numId w:val="1"/>
      </w:numPr>
      <w:tabs>
        <w:tab w:val="clear" w:pos="720"/>
        <w:tab w:val="num" w:pos="360"/>
      </w:tabs>
      <w:spacing w:after="40"/>
      <w:ind w:left="0" w:firstLine="0"/>
    </w:pPr>
  </w:style>
  <w:style w:type="character" w:customStyle="1" w:styleId="Bullettoseparatelanguage1">
    <w:name w:val="Bullet to separate language 1"/>
    <w:rsid w:val="001F1ED5"/>
    <w:rPr>
      <w:rFonts w:ascii="Arial" w:hAnsi="Arial"/>
      <w:sz w:val="14"/>
    </w:rPr>
  </w:style>
  <w:style w:type="paragraph" w:customStyle="1" w:styleId="EMCDDAtext">
    <w:name w:val="EMCDDA text"/>
    <w:basedOn w:val="Normal"/>
    <w:qFormat/>
    <w:rsid w:val="00474B9A"/>
    <w:pPr>
      <w:widowControl w:val="0"/>
      <w:autoSpaceDE w:val="0"/>
      <w:autoSpaceDN w:val="0"/>
      <w:adjustRightInd w:val="0"/>
      <w:spacing w:before="120" w:after="120" w:line="300" w:lineRule="auto"/>
    </w:pPr>
    <w:rPr>
      <w:rFonts w:ascii="Arial" w:eastAsia="Times New Roman" w:hAnsi="Arial" w:cs="Arial"/>
      <w:spacing w:val="2"/>
      <w:w w:val="111"/>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3E3B"/>
    <w:rPr>
      <w:b/>
      <w:bCs/>
    </w:rPr>
  </w:style>
  <w:style w:type="character" w:customStyle="1" w:styleId="CommentTextChar">
    <w:name w:val="Comment Text Char"/>
    <w:basedOn w:val="DefaultParagraphFont"/>
    <w:link w:val="CommentText"/>
    <w:uiPriority w:val="99"/>
    <w:rsid w:val="00DB3E3B"/>
    <w:rPr>
      <w:sz w:val="20"/>
      <w:szCs w:val="20"/>
    </w:rPr>
  </w:style>
  <w:style w:type="character" w:customStyle="1" w:styleId="CommentSubjectChar">
    <w:name w:val="Comment Subject Char"/>
    <w:basedOn w:val="CommentTextChar"/>
    <w:link w:val="CommentSubject"/>
    <w:uiPriority w:val="99"/>
    <w:semiHidden/>
    <w:rsid w:val="00DB3E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F56B9"/>
    <w:pPr>
      <w:keepNext/>
      <w:spacing w:after="400" w:line="400" w:lineRule="exact"/>
      <w:outlineLvl w:val="1"/>
    </w:pPr>
    <w:rPr>
      <w:rFonts w:ascii="Arial" w:eastAsia="Times New Roman" w:hAnsi="Arial"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qFormat/>
    <w:rsid w:val="001F70B4"/>
    <w:pPr>
      <w:tabs>
        <w:tab w:val="left" w:pos="5205"/>
      </w:tabs>
      <w:spacing w:before="480" w:after="112" w:line="300" w:lineRule="exact"/>
    </w:pPr>
    <w:rPr>
      <w:rFonts w:ascii="Arial" w:hAnsi="Arial"/>
      <w:caps/>
      <w:sz w:val="2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qFormat/>
    <w:rsid w:val="00CA2FF5"/>
    <w:pPr>
      <w:spacing w:after="300" w:line="300" w:lineRule="exact"/>
    </w:pPr>
    <w:rPr>
      <w:rFonts w:ascii="Arial" w:hAnsi="Arial"/>
      <w:b/>
      <w:sz w:val="26"/>
    </w:rPr>
  </w:style>
  <w:style w:type="paragraph" w:customStyle="1" w:styleId="newsContent">
    <w:name w:val="newsContent"/>
    <w:basedOn w:val="Normal"/>
    <w:link w:val="newsContentChar"/>
    <w:qFormat/>
    <w:rsid w:val="00B97BC5"/>
    <w:pPr>
      <w:spacing w:after="260" w:line="260" w:lineRule="exact"/>
    </w:pPr>
    <w:rPr>
      <w:rFonts w:ascii="Arial" w:hAnsi="Arial"/>
      <w:color w:val="000000" w:themeColor="text1"/>
      <w:sz w:val="20"/>
    </w:rPr>
  </w:style>
  <w:style w:type="paragraph" w:customStyle="1" w:styleId="newsAddress">
    <w:name w:val="newsAddress"/>
    <w:basedOn w:val="Footer"/>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qFormat/>
    <w:rsid w:val="00974A27"/>
    <w:pPr>
      <w:spacing w:after="0" w:line="200" w:lineRule="exact"/>
    </w:pPr>
    <w:rPr>
      <w:rFonts w:ascii="Arial" w:hAnsi="Arial"/>
      <w:sz w:val="14"/>
    </w:rPr>
  </w:style>
  <w:style w:type="paragraph" w:customStyle="1" w:styleId="newsRef">
    <w:name w:val="newsRef"/>
    <w:basedOn w:val="newsAddress"/>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qFormat/>
    <w:rsid w:val="002948E2"/>
    <w:rPr>
      <w:color w:val="000000" w:themeColor="text1"/>
      <w:sz w:val="15"/>
    </w:rPr>
  </w:style>
  <w:style w:type="paragraph" w:customStyle="1" w:styleId="newsDate">
    <w:name w:val="newsDate"/>
    <w:basedOn w:val="newsEmbargo"/>
    <w:qFormat/>
    <w:rsid w:val="00B97BC5"/>
    <w:pPr>
      <w:jc w:val="center"/>
    </w:pPr>
  </w:style>
  <w:style w:type="paragraph" w:customStyle="1" w:styleId="newsNotes">
    <w:name w:val="newsNotes"/>
    <w:basedOn w:val="newsContent"/>
    <w:link w:val="newsNotesChar"/>
    <w:qFormat/>
    <w:rsid w:val="00CB49DA"/>
    <w:pPr>
      <w:spacing w:after="0" w:line="220" w:lineRule="exact"/>
    </w:pPr>
    <w:rPr>
      <w:color w:val="auto"/>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character" w:customStyle="1" w:styleId="Heading2Char">
    <w:name w:val="Heading 2 Char"/>
    <w:basedOn w:val="DefaultParagraphFont"/>
    <w:link w:val="Heading2"/>
    <w:rsid w:val="00BF56B9"/>
    <w:rPr>
      <w:rFonts w:ascii="Arial" w:eastAsia="Times New Roman" w:hAnsi="Arial" w:cs="Times New Roman"/>
      <w:b/>
      <w:color w:val="000080"/>
      <w:sz w:val="24"/>
      <w:szCs w:val="20"/>
    </w:rPr>
  </w:style>
  <w:style w:type="paragraph" w:customStyle="1" w:styleId="5Normal">
    <w:name w:val="5 Normal"/>
    <w:basedOn w:val="Normal"/>
    <w:link w:val="5NormalChar"/>
    <w:rsid w:val="00B52D8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rPr>
  </w:style>
  <w:style w:type="character" w:customStyle="1" w:styleId="5NormalChar">
    <w:name w:val="5 Normal Char"/>
    <w:link w:val="5Normal"/>
    <w:locked/>
    <w:rsid w:val="00B52D84"/>
    <w:rPr>
      <w:rFonts w:ascii="Verdana" w:eastAsia="Times New Roman" w:hAnsi="Verdana" w:cs="Times New Roman"/>
      <w:spacing w:val="-2"/>
      <w:sz w:val="20"/>
      <w:szCs w:val="24"/>
      <w:lang w:eastAsia="fr-FR"/>
    </w:rPr>
  </w:style>
  <w:style w:type="paragraph" w:customStyle="1" w:styleId="Tiret1">
    <w:name w:val="Tiret 1"/>
    <w:basedOn w:val="5Normal"/>
    <w:next w:val="5Normal"/>
    <w:rsid w:val="00B52D84"/>
    <w:pPr>
      <w:numPr>
        <w:numId w:val="1"/>
      </w:numPr>
      <w:tabs>
        <w:tab w:val="clear" w:pos="720"/>
        <w:tab w:val="num" w:pos="360"/>
      </w:tabs>
      <w:spacing w:after="40"/>
      <w:ind w:left="0" w:firstLine="0"/>
    </w:pPr>
  </w:style>
  <w:style w:type="character" w:customStyle="1" w:styleId="Bullettoseparatelanguage1">
    <w:name w:val="Bullet to separate language 1"/>
    <w:rsid w:val="001F1ED5"/>
    <w:rPr>
      <w:rFonts w:ascii="Arial" w:hAnsi="Arial"/>
      <w:sz w:val="14"/>
    </w:rPr>
  </w:style>
  <w:style w:type="paragraph" w:customStyle="1" w:styleId="EMCDDAtext">
    <w:name w:val="EMCDDA text"/>
    <w:basedOn w:val="Normal"/>
    <w:qFormat/>
    <w:rsid w:val="00474B9A"/>
    <w:pPr>
      <w:widowControl w:val="0"/>
      <w:autoSpaceDE w:val="0"/>
      <w:autoSpaceDN w:val="0"/>
      <w:adjustRightInd w:val="0"/>
      <w:spacing w:before="120" w:after="120" w:line="300" w:lineRule="auto"/>
    </w:pPr>
    <w:rPr>
      <w:rFonts w:ascii="Arial" w:eastAsia="Times New Roman" w:hAnsi="Arial" w:cs="Arial"/>
      <w:spacing w:val="2"/>
      <w:w w:val="111"/>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3E3B"/>
    <w:rPr>
      <w:b/>
      <w:bCs/>
    </w:rPr>
  </w:style>
  <w:style w:type="character" w:customStyle="1" w:styleId="CommentTextChar">
    <w:name w:val="Comment Text Char"/>
    <w:basedOn w:val="DefaultParagraphFont"/>
    <w:link w:val="CommentText"/>
    <w:uiPriority w:val="99"/>
    <w:rsid w:val="00DB3E3B"/>
    <w:rPr>
      <w:sz w:val="20"/>
      <w:szCs w:val="20"/>
    </w:rPr>
  </w:style>
  <w:style w:type="character" w:customStyle="1" w:styleId="CommentSubjectChar">
    <w:name w:val="Comment Subject Char"/>
    <w:basedOn w:val="CommentTextChar"/>
    <w:link w:val="CommentSubject"/>
    <w:uiPriority w:val="99"/>
    <w:semiHidden/>
    <w:rsid w:val="00DB3E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cdda.europa.eu/start/2016/drug-market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europa.eu/newsroom/index_fr.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unodc.org/ungass2016"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uropol.europa.eu/" TargetMode="Externa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3" Type="http://schemas.openxmlformats.org/officeDocument/2006/relationships/hyperlink" Target="mailto:g14@europol.europa.eu" TargetMode="External"/><Relationship Id="rId2" Type="http://schemas.openxmlformats.org/officeDocument/2006/relationships/hyperlink" Target="http://www.emcdda.europa.eu/" TargetMode="External"/><Relationship Id="rId1" Type="http://schemas.openxmlformats.org/officeDocument/2006/relationships/hyperlink" Target="mailto:press@emcdda.europa.eu" TargetMode="External"/><Relationship Id="rId4" Type="http://schemas.openxmlformats.org/officeDocument/2006/relationships/hyperlink" Target="http://www.europo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9466-DF93-4995-BB71-23A84AF56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539</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News release EN</vt:lpstr>
      <vt:lpstr>News release EN</vt:lpstr>
    </vt:vector>
  </TitlesOfParts>
  <Manager>EMCDDA</Manager>
  <Company>Translation Centre</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keywords>News release EN</cp:keywords>
  <cp:lastModifiedBy>Kathryn Robertson</cp:lastModifiedBy>
  <cp:revision>4</cp:revision>
  <cp:lastPrinted>2016-02-29T14:55:00Z</cp:lastPrinted>
  <dcterms:created xsi:type="dcterms:W3CDTF">2016-02-29T14:45:00Z</dcterms:created>
  <dcterms:modified xsi:type="dcterms:W3CDTF">2016-02-29T15:06:00Z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