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9B6F20" w:rsidP="00EE23CC">
            <w:bookmarkStart w:id="0" w:name="_GoBack"/>
            <w:bookmarkEnd w:id="0"/>
            <w:r w:rsidRPr="002166F1">
              <w:rPr>
                <w:noProof/>
                <w:lang w:val="en-GB" w:eastAsia="en-GB" w:bidi="ar-SA"/>
              </w:rPr>
              <w:drawing>
                <wp:inline distT="0" distB="0" distL="0" distR="0" wp14:anchorId="312D3D44" wp14:editId="2F94284E">
                  <wp:extent cx="2794730" cy="612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73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9B6F20" w:rsidP="001F70B4">
            <w:r w:rsidRPr="002166F1">
              <w:rPr>
                <w:noProof/>
                <w:lang w:val="en-GB" w:eastAsia="en-GB" w:bidi="ar-SA"/>
              </w:rPr>
              <w:drawing>
                <wp:inline distT="0" distB="0" distL="0" distR="0" wp14:anchorId="61DB0091" wp14:editId="29B1986A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1D3" w:rsidRPr="00020B05" w:rsidRDefault="0090549D" w:rsidP="0026481E">
      <w:pPr>
        <w:pStyle w:val="newsTitle"/>
        <w:keepNext/>
        <w:spacing w:before="160"/>
        <w:rPr>
          <w:sz w:val="22"/>
        </w:rPr>
      </w:pPr>
      <w:r>
        <w:rPr>
          <w:sz w:val="22"/>
        </w:rPr>
        <w:t>Prävention</w:t>
      </w:r>
      <w:r w:rsidR="00D16FFB">
        <w:rPr>
          <w:sz w:val="22"/>
        </w:rPr>
        <w:t xml:space="preserve"> </w:t>
      </w:r>
      <w:r w:rsidR="00BF15E0" w:rsidRPr="00BB5651">
        <w:rPr>
          <w:sz w:val="22"/>
        </w:rPr>
        <w:t xml:space="preserve">von </w:t>
      </w:r>
      <w:r w:rsidR="00BF15E0" w:rsidRPr="00020B05">
        <w:rPr>
          <w:sz w:val="22"/>
        </w:rPr>
        <w:t>opiatbedingen</w:t>
      </w:r>
      <w:r w:rsidR="00BF15E0" w:rsidRPr="00BB5651">
        <w:rPr>
          <w:sz w:val="22"/>
        </w:rPr>
        <w:t xml:space="preserve"> Todesfällen durch Naloxon-Vergabeprogramme </w:t>
      </w:r>
      <w:r w:rsidR="00255B84" w:rsidRPr="00020B05">
        <w:rPr>
          <w:sz w:val="22"/>
        </w:rPr>
        <w:t xml:space="preserve"> </w:t>
      </w:r>
    </w:p>
    <w:p w:rsidR="002D70DE" w:rsidRPr="00020B05" w:rsidRDefault="00D16FFB" w:rsidP="0026481E">
      <w:pPr>
        <w:pStyle w:val="newsSubTitle"/>
        <w:keepNext/>
        <w:rPr>
          <w:sz w:val="22"/>
        </w:rPr>
      </w:pPr>
      <w:r w:rsidRPr="00020B05">
        <w:rPr>
          <w:sz w:val="22"/>
        </w:rPr>
        <w:t>EMCD</w:t>
      </w:r>
      <w:r w:rsidR="00BF15E0" w:rsidRPr="00020B05">
        <w:rPr>
          <w:sz w:val="22"/>
        </w:rPr>
        <w:t>DA ermöglicht neue Einblicke in</w:t>
      </w:r>
      <w:r w:rsidR="00255B84" w:rsidRPr="00020B05">
        <w:rPr>
          <w:sz w:val="22"/>
        </w:rPr>
        <w:t xml:space="preserve"> </w:t>
      </w:r>
      <w:r w:rsidRPr="00020B05">
        <w:rPr>
          <w:sz w:val="22"/>
        </w:rPr>
        <w:t>das Überdosierungsantidot</w:t>
      </w:r>
      <w:r w:rsidRPr="00BB5651">
        <w:rPr>
          <w:sz w:val="22"/>
        </w:rPr>
        <w:t xml:space="preserve"> Naloxon, das Leben retten kann</w:t>
      </w:r>
    </w:p>
    <w:p w:rsidR="00B84FFD" w:rsidRPr="00020B05" w:rsidRDefault="00073411" w:rsidP="00A16B77">
      <w:pPr>
        <w:pStyle w:val="newsContent"/>
        <w:rPr>
          <w:color w:val="auto"/>
          <w:szCs w:val="20"/>
        </w:rPr>
      </w:pPr>
      <w:r w:rsidRPr="00020B05">
        <w:rPr>
          <w:color w:val="auto"/>
        </w:rPr>
        <w:t>(</w:t>
      </w:r>
      <w:r w:rsidR="00B515D2" w:rsidRPr="00020B05">
        <w:rPr>
          <w:color w:val="auto"/>
        </w:rPr>
        <w:t>18</w:t>
      </w:r>
      <w:r w:rsidRPr="00020B05">
        <w:rPr>
          <w:color w:val="auto"/>
        </w:rPr>
        <w:t>.1.2016, LISSABON) In Europa werden jährlich zwischen 6000 und 8000 drogenbedingte Todesfälle gemeldet</w:t>
      </w:r>
      <w:r w:rsidR="00255B84" w:rsidRPr="00020B05">
        <w:rPr>
          <w:color w:val="auto"/>
        </w:rPr>
        <w:t>, wobei es sich zumeist um Opi</w:t>
      </w:r>
      <w:r w:rsidR="000C0B93" w:rsidRPr="00020B05">
        <w:rPr>
          <w:color w:val="auto"/>
        </w:rPr>
        <w:t>atü</w:t>
      </w:r>
      <w:r w:rsidRPr="00020B05">
        <w:rPr>
          <w:color w:val="auto"/>
        </w:rPr>
        <w:t>berdosier</w:t>
      </w:r>
      <w:r w:rsidR="00255B84" w:rsidRPr="00020B05">
        <w:rPr>
          <w:color w:val="auto"/>
        </w:rPr>
        <w:t>en</w:t>
      </w:r>
      <w:r w:rsidR="00255B84" w:rsidRPr="00BB5651">
        <w:rPr>
          <w:color w:val="auto"/>
        </w:rPr>
        <w:t xml:space="preserve">, </w:t>
      </w:r>
      <w:r w:rsidRPr="00020B05">
        <w:rPr>
          <w:color w:val="auto"/>
        </w:rPr>
        <w:t>zum Beispiel</w:t>
      </w:r>
      <w:r w:rsidR="00255B84" w:rsidRPr="00020B05">
        <w:rPr>
          <w:color w:val="auto"/>
        </w:rPr>
        <w:t xml:space="preserve"> mit</w:t>
      </w:r>
      <w:r w:rsidRPr="00BB5651">
        <w:rPr>
          <w:color w:val="auto"/>
        </w:rPr>
        <w:t xml:space="preserve"> Heroin, </w:t>
      </w:r>
      <w:r w:rsidR="00255B84" w:rsidRPr="00020B05">
        <w:rPr>
          <w:color w:val="auto"/>
        </w:rPr>
        <w:t>handelt</w:t>
      </w:r>
      <w:r w:rsidRPr="00020B05">
        <w:rPr>
          <w:color w:val="auto"/>
        </w:rPr>
        <w:t>. Mit de</w:t>
      </w:r>
      <w:r w:rsidR="00255B84" w:rsidRPr="00020B05">
        <w:rPr>
          <w:color w:val="auto"/>
        </w:rPr>
        <w:t>r</w:t>
      </w:r>
      <w:r w:rsidRPr="00020B05">
        <w:rPr>
          <w:color w:val="auto"/>
        </w:rPr>
        <w:t xml:space="preserve"> geeigneten </w:t>
      </w:r>
      <w:proofErr w:type="spellStart"/>
      <w:r w:rsidRPr="00020B05">
        <w:rPr>
          <w:color w:val="auto"/>
        </w:rPr>
        <w:t>Notfall</w:t>
      </w:r>
      <w:r w:rsidR="00255B84" w:rsidRPr="00020B05">
        <w:rPr>
          <w:color w:val="auto"/>
        </w:rPr>
        <w:t>massnahme</w:t>
      </w:r>
      <w:proofErr w:type="spellEnd"/>
      <w:r w:rsidRPr="00020B05">
        <w:rPr>
          <w:color w:val="auto"/>
        </w:rPr>
        <w:t xml:space="preserve"> – </w:t>
      </w:r>
      <w:r w:rsidR="00255B84" w:rsidRPr="00020B05">
        <w:rPr>
          <w:color w:val="auto"/>
        </w:rPr>
        <w:t>der Verabreichung des Opi</w:t>
      </w:r>
      <w:r w:rsidR="000C0B93" w:rsidRPr="00020B05">
        <w:rPr>
          <w:color w:val="auto"/>
        </w:rPr>
        <w:t>at</w:t>
      </w:r>
      <w:r w:rsidR="00255B84" w:rsidRPr="00020B05">
        <w:rPr>
          <w:color w:val="auto"/>
        </w:rPr>
        <w:t xml:space="preserve">antagonisten </w:t>
      </w:r>
      <w:r w:rsidRPr="00020B05">
        <w:rPr>
          <w:color w:val="auto"/>
        </w:rPr>
        <w:t xml:space="preserve">Naloxon – könnten jedoch viele dieser Todesfälle verhindert werden. Dieser Themenkreis wird in dem neuen Bericht der </w:t>
      </w:r>
      <w:r w:rsidRPr="00020B05">
        <w:rPr>
          <w:b/>
          <w:color w:val="auto"/>
        </w:rPr>
        <w:t>EU-Drogenbeobachtungsstelle (EMCDDA)</w:t>
      </w:r>
      <w:r w:rsidRPr="00020B05">
        <w:rPr>
          <w:color w:val="auto"/>
        </w:rPr>
        <w:t xml:space="preserve"> mit dem Titel „</w:t>
      </w:r>
      <w:proofErr w:type="spellStart"/>
      <w:r w:rsidRPr="00020B05">
        <w:rPr>
          <w:b/>
          <w:i/>
          <w:color w:val="auto"/>
        </w:rPr>
        <w:t>Preventing</w:t>
      </w:r>
      <w:proofErr w:type="spellEnd"/>
      <w:r w:rsidRPr="00020B05">
        <w:rPr>
          <w:b/>
          <w:i/>
          <w:color w:val="auto"/>
        </w:rPr>
        <w:t xml:space="preserve"> </w:t>
      </w:r>
      <w:proofErr w:type="spellStart"/>
      <w:r w:rsidRPr="00020B05">
        <w:rPr>
          <w:b/>
          <w:i/>
          <w:color w:val="auto"/>
        </w:rPr>
        <w:t>opioid</w:t>
      </w:r>
      <w:proofErr w:type="spellEnd"/>
      <w:r w:rsidRPr="00020B05">
        <w:rPr>
          <w:b/>
          <w:i/>
          <w:color w:val="auto"/>
        </w:rPr>
        <w:t xml:space="preserve"> </w:t>
      </w:r>
      <w:proofErr w:type="spellStart"/>
      <w:r w:rsidRPr="00020B05">
        <w:rPr>
          <w:b/>
          <w:i/>
          <w:color w:val="auto"/>
        </w:rPr>
        <w:t>overdose</w:t>
      </w:r>
      <w:proofErr w:type="spellEnd"/>
      <w:r w:rsidRPr="00020B05">
        <w:rPr>
          <w:b/>
          <w:i/>
          <w:color w:val="auto"/>
        </w:rPr>
        <w:t xml:space="preserve"> </w:t>
      </w:r>
      <w:proofErr w:type="spellStart"/>
      <w:r w:rsidRPr="00020B05">
        <w:rPr>
          <w:b/>
          <w:i/>
          <w:color w:val="auto"/>
        </w:rPr>
        <w:t>deaths</w:t>
      </w:r>
      <w:proofErr w:type="spellEnd"/>
      <w:r w:rsidRPr="00020B05">
        <w:rPr>
          <w:b/>
          <w:i/>
          <w:color w:val="auto"/>
        </w:rPr>
        <w:t xml:space="preserve"> </w:t>
      </w:r>
      <w:proofErr w:type="spellStart"/>
      <w:r w:rsidRPr="00020B05">
        <w:rPr>
          <w:b/>
          <w:i/>
          <w:color w:val="auto"/>
        </w:rPr>
        <w:t>with</w:t>
      </w:r>
      <w:proofErr w:type="spellEnd"/>
      <w:r w:rsidRPr="00020B05">
        <w:rPr>
          <w:b/>
          <w:i/>
          <w:color w:val="auto"/>
        </w:rPr>
        <w:t xml:space="preserve"> </w:t>
      </w:r>
      <w:proofErr w:type="spellStart"/>
      <w:r w:rsidRPr="00020B05">
        <w:rPr>
          <w:b/>
          <w:i/>
          <w:color w:val="auto"/>
        </w:rPr>
        <w:t>take-home</w:t>
      </w:r>
      <w:proofErr w:type="spellEnd"/>
      <w:r w:rsidRPr="00020B05">
        <w:rPr>
          <w:b/>
          <w:i/>
          <w:color w:val="auto"/>
        </w:rPr>
        <w:t xml:space="preserve"> </w:t>
      </w:r>
      <w:proofErr w:type="spellStart"/>
      <w:r w:rsidRPr="00020B05">
        <w:rPr>
          <w:b/>
          <w:i/>
          <w:color w:val="auto"/>
        </w:rPr>
        <w:t>naloxone</w:t>
      </w:r>
      <w:proofErr w:type="spellEnd"/>
      <w:r w:rsidRPr="00020B05">
        <w:rPr>
          <w:color w:val="auto"/>
        </w:rPr>
        <w:t>“ (</w:t>
      </w:r>
      <w:r w:rsidR="0090549D" w:rsidRPr="00020B05">
        <w:rPr>
          <w:i/>
          <w:color w:val="auto"/>
        </w:rPr>
        <w:t>Prävention</w:t>
      </w:r>
      <w:r w:rsidRPr="00020B05">
        <w:rPr>
          <w:i/>
          <w:color w:val="auto"/>
        </w:rPr>
        <w:t xml:space="preserve"> von </w:t>
      </w:r>
      <w:r w:rsidR="00255B84" w:rsidRPr="00020B05">
        <w:rPr>
          <w:i/>
          <w:color w:val="auto"/>
        </w:rPr>
        <w:t>opi</w:t>
      </w:r>
      <w:r w:rsidR="000C0B93" w:rsidRPr="00020B05">
        <w:rPr>
          <w:i/>
          <w:color w:val="auto"/>
        </w:rPr>
        <w:t>at</w:t>
      </w:r>
      <w:r w:rsidR="00255B84" w:rsidRPr="00020B05">
        <w:rPr>
          <w:i/>
          <w:color w:val="auto"/>
        </w:rPr>
        <w:t>bedingen</w:t>
      </w:r>
      <w:r w:rsidR="00BF15E0" w:rsidRPr="00020B05">
        <w:rPr>
          <w:i/>
          <w:color w:val="auto"/>
        </w:rPr>
        <w:t xml:space="preserve"> </w:t>
      </w:r>
      <w:r w:rsidRPr="00020B05">
        <w:rPr>
          <w:i/>
          <w:color w:val="auto"/>
        </w:rPr>
        <w:t xml:space="preserve">Todesfällen durch </w:t>
      </w:r>
      <w:r w:rsidR="00255B84" w:rsidRPr="00020B05">
        <w:rPr>
          <w:i/>
          <w:color w:val="auto"/>
        </w:rPr>
        <w:t>Naloxon</w:t>
      </w:r>
      <w:r w:rsidR="001235E1" w:rsidRPr="00020B05">
        <w:rPr>
          <w:i/>
          <w:color w:val="auto"/>
        </w:rPr>
        <w:t>-</w:t>
      </w:r>
      <w:r w:rsidR="000C0B93" w:rsidRPr="00020B05">
        <w:rPr>
          <w:i/>
          <w:color w:val="auto"/>
        </w:rPr>
        <w:t>V</w:t>
      </w:r>
      <w:r w:rsidR="00255B84" w:rsidRPr="00020B05">
        <w:rPr>
          <w:i/>
          <w:color w:val="auto"/>
        </w:rPr>
        <w:t>ergabe</w:t>
      </w:r>
      <w:r w:rsidR="001235E1" w:rsidRPr="00020B05">
        <w:rPr>
          <w:i/>
          <w:color w:val="auto"/>
        </w:rPr>
        <w:t>p</w:t>
      </w:r>
      <w:r w:rsidR="00255B84" w:rsidRPr="00020B05">
        <w:rPr>
          <w:i/>
          <w:color w:val="auto"/>
        </w:rPr>
        <w:t>rogramme</w:t>
      </w:r>
      <w:r w:rsidR="00BF15E0" w:rsidRPr="00020B05">
        <w:rPr>
          <w:i/>
          <w:color w:val="auto"/>
        </w:rPr>
        <w:t>)</w:t>
      </w:r>
      <w:r w:rsidRPr="00020B05">
        <w:rPr>
          <w:color w:val="auto"/>
        </w:rPr>
        <w:t xml:space="preserve"> (</w:t>
      </w:r>
      <w:r w:rsidRPr="00020B05">
        <w:rPr>
          <w:color w:val="auto"/>
          <w:vertAlign w:val="superscript"/>
        </w:rPr>
        <w:t>1</w:t>
      </w:r>
      <w:r w:rsidRPr="00020B05">
        <w:rPr>
          <w:color w:val="auto"/>
        </w:rPr>
        <w:t>) erörtert.</w:t>
      </w:r>
    </w:p>
    <w:p w:rsidR="00E6029A" w:rsidRPr="00840DA7" w:rsidRDefault="006345E6" w:rsidP="00B2725E">
      <w:pPr>
        <w:pStyle w:val="newsContent"/>
        <w:rPr>
          <w:rFonts w:cs="Arial"/>
          <w:color w:val="auto"/>
          <w:szCs w:val="20"/>
        </w:rPr>
      </w:pPr>
      <w:r w:rsidRPr="00020B05">
        <w:rPr>
          <w:color w:val="auto"/>
        </w:rPr>
        <w:t xml:space="preserve">Das Arzneimittel Naloxon </w:t>
      </w:r>
      <w:r w:rsidR="00255B84" w:rsidRPr="00020B05">
        <w:rPr>
          <w:color w:val="auto"/>
        </w:rPr>
        <w:t>macht die bei Opi</w:t>
      </w:r>
      <w:r w:rsidR="000C0B93" w:rsidRPr="00020B05">
        <w:rPr>
          <w:color w:val="auto"/>
        </w:rPr>
        <w:t>atü</w:t>
      </w:r>
      <w:r w:rsidR="0090549D" w:rsidRPr="00020B05">
        <w:rPr>
          <w:color w:val="auto"/>
        </w:rPr>
        <w:t>berdosierung</w:t>
      </w:r>
      <w:r w:rsidR="00255B84" w:rsidRPr="00BB5651">
        <w:rPr>
          <w:color w:val="auto"/>
        </w:rPr>
        <w:t xml:space="preserve"> eintretende </w:t>
      </w:r>
      <w:r w:rsidRPr="00020B05">
        <w:rPr>
          <w:color w:val="auto"/>
        </w:rPr>
        <w:t xml:space="preserve">Atemdepression </w:t>
      </w:r>
      <w:r w:rsidR="00255B84" w:rsidRPr="00020B05">
        <w:rPr>
          <w:color w:val="auto"/>
        </w:rPr>
        <w:t>rückgängig und</w:t>
      </w:r>
      <w:r w:rsidRPr="00020B05">
        <w:rPr>
          <w:color w:val="auto"/>
        </w:rPr>
        <w:t xml:space="preserve"> ist in der Notfallmedizin seit den 1970er-Jahren in Gebrauch</w:t>
      </w:r>
      <w:r w:rsidR="00051F37" w:rsidRPr="00020B05">
        <w:rPr>
          <w:color w:val="auto"/>
        </w:rPr>
        <w:t xml:space="preserve"> (</w:t>
      </w:r>
      <w:r w:rsidR="00051F37" w:rsidRPr="00020B05">
        <w:rPr>
          <w:color w:val="auto"/>
          <w:vertAlign w:val="superscript"/>
        </w:rPr>
        <w:t>2</w:t>
      </w:r>
      <w:r w:rsidR="00051F37" w:rsidRPr="00020B05">
        <w:rPr>
          <w:color w:val="auto"/>
        </w:rPr>
        <w:t>)</w:t>
      </w:r>
      <w:r w:rsidRPr="00020B05">
        <w:rPr>
          <w:color w:val="auto"/>
        </w:rPr>
        <w:t>.</w:t>
      </w:r>
      <w:r w:rsidR="00BF15E0" w:rsidRPr="00020B05">
        <w:rPr>
          <w:color w:val="auto"/>
        </w:rPr>
        <w:t xml:space="preserve"> </w:t>
      </w:r>
      <w:r w:rsidRPr="00020B05">
        <w:rPr>
          <w:color w:val="auto"/>
        </w:rPr>
        <w:t xml:space="preserve">Es </w:t>
      </w:r>
      <w:r w:rsidR="00255B84" w:rsidRPr="00020B05">
        <w:rPr>
          <w:color w:val="auto"/>
        </w:rPr>
        <w:t xml:space="preserve">ist </w:t>
      </w:r>
      <w:r w:rsidRPr="00020B05">
        <w:rPr>
          <w:color w:val="auto"/>
        </w:rPr>
        <w:t xml:space="preserve">von der </w:t>
      </w:r>
      <w:r w:rsidRPr="00020B05">
        <w:rPr>
          <w:b/>
          <w:color w:val="auto"/>
        </w:rPr>
        <w:t>Weltgesundheitsorganisation (WHO)</w:t>
      </w:r>
      <w:r w:rsidRPr="00020B05">
        <w:rPr>
          <w:color w:val="auto"/>
        </w:rPr>
        <w:t xml:space="preserve"> als „unentbehrliches Arzneimittel“ ge</w:t>
      </w:r>
      <w:r w:rsidR="00255B84" w:rsidRPr="00020B05">
        <w:rPr>
          <w:color w:val="auto"/>
        </w:rPr>
        <w:t>listet</w:t>
      </w:r>
      <w:r w:rsidR="00255B84" w:rsidRPr="00BB5651">
        <w:rPr>
          <w:color w:val="auto"/>
        </w:rPr>
        <w:t xml:space="preserve"> und üblicherweise</w:t>
      </w:r>
      <w:r w:rsidRPr="00020B05">
        <w:rPr>
          <w:color w:val="auto"/>
        </w:rPr>
        <w:t xml:space="preserve"> in </w:t>
      </w:r>
      <w:proofErr w:type="spellStart"/>
      <w:r w:rsidRPr="00020B05">
        <w:rPr>
          <w:color w:val="auto"/>
        </w:rPr>
        <w:t>injizierbarer</w:t>
      </w:r>
      <w:proofErr w:type="spellEnd"/>
      <w:r w:rsidRPr="00020B05">
        <w:rPr>
          <w:color w:val="auto"/>
        </w:rPr>
        <w:t xml:space="preserve"> Form erhältlich</w:t>
      </w:r>
      <w:r w:rsidR="00255B84" w:rsidRPr="00020B05">
        <w:rPr>
          <w:color w:val="auto"/>
        </w:rPr>
        <w:t>. I</w:t>
      </w:r>
      <w:r w:rsidRPr="00020B05">
        <w:rPr>
          <w:color w:val="auto"/>
        </w:rPr>
        <w:t xml:space="preserve">n </w:t>
      </w:r>
      <w:r w:rsidR="00255B84" w:rsidRPr="00020B05">
        <w:rPr>
          <w:color w:val="auto"/>
        </w:rPr>
        <w:t>neuerer</w:t>
      </w:r>
      <w:r w:rsidRPr="00020B05">
        <w:rPr>
          <w:color w:val="auto"/>
        </w:rPr>
        <w:t xml:space="preserve"> Zeit</w:t>
      </w:r>
      <w:r w:rsidRPr="00BB5651">
        <w:rPr>
          <w:color w:val="auto"/>
        </w:rPr>
        <w:t xml:space="preserve"> </w:t>
      </w:r>
      <w:r w:rsidR="00255B84" w:rsidRPr="00020B05">
        <w:rPr>
          <w:color w:val="auto"/>
        </w:rPr>
        <w:t xml:space="preserve">verbreiten </w:t>
      </w:r>
      <w:r w:rsidRPr="00020B05">
        <w:rPr>
          <w:color w:val="auto"/>
        </w:rPr>
        <w:t xml:space="preserve">sich </w:t>
      </w:r>
      <w:r w:rsidR="00255B84" w:rsidRPr="00020B05">
        <w:rPr>
          <w:color w:val="auto"/>
        </w:rPr>
        <w:t xml:space="preserve">jedoch </w:t>
      </w:r>
      <w:r w:rsidRPr="00020B05">
        <w:rPr>
          <w:color w:val="auto"/>
        </w:rPr>
        <w:t xml:space="preserve">aber auch </w:t>
      </w:r>
      <w:r w:rsidR="00255B84" w:rsidRPr="00020B05">
        <w:rPr>
          <w:color w:val="auto"/>
        </w:rPr>
        <w:t xml:space="preserve">andere </w:t>
      </w:r>
      <w:r w:rsidRPr="00020B05">
        <w:rPr>
          <w:color w:val="auto"/>
        </w:rPr>
        <w:t>Zubereitung</w:t>
      </w:r>
      <w:r w:rsidR="00255B84" w:rsidRPr="00020B05">
        <w:rPr>
          <w:color w:val="auto"/>
        </w:rPr>
        <w:t>sformen</w:t>
      </w:r>
      <w:r w:rsidRPr="00BB5651">
        <w:rPr>
          <w:color w:val="auto"/>
        </w:rPr>
        <w:t xml:space="preserve"> d</w:t>
      </w:r>
      <w:r w:rsidR="0090549D" w:rsidRPr="00020B05">
        <w:rPr>
          <w:color w:val="auto"/>
        </w:rPr>
        <w:t>ieses Medikaments</w:t>
      </w:r>
      <w:r w:rsidRPr="00020B05">
        <w:rPr>
          <w:color w:val="auto"/>
        </w:rPr>
        <w:t xml:space="preserve">. Die </w:t>
      </w:r>
      <w:r w:rsidRPr="00020B05">
        <w:rPr>
          <w:b/>
          <w:color w:val="auto"/>
        </w:rPr>
        <w:t>WHO-Leitlinien</w:t>
      </w:r>
      <w:r w:rsidRPr="00020B05">
        <w:rPr>
          <w:color w:val="auto"/>
        </w:rPr>
        <w:t xml:space="preserve"> </w:t>
      </w:r>
      <w:r w:rsidR="001235E1" w:rsidRPr="00020B05">
        <w:rPr>
          <w:color w:val="auto"/>
        </w:rPr>
        <w:t>zu Naloxon-</w:t>
      </w:r>
      <w:r w:rsidR="00255B84" w:rsidRPr="00020B05">
        <w:rPr>
          <w:color w:val="auto"/>
        </w:rPr>
        <w:t>Vergabe</w:t>
      </w:r>
      <w:r w:rsidR="001235E1" w:rsidRPr="00020B05">
        <w:rPr>
          <w:color w:val="auto"/>
        </w:rPr>
        <w:t>p</w:t>
      </w:r>
      <w:r w:rsidR="00255B84" w:rsidRPr="00020B05">
        <w:rPr>
          <w:color w:val="auto"/>
        </w:rPr>
        <w:t>rogrammen im Gemeindesetting</w:t>
      </w:r>
      <w:r w:rsidR="00255B84" w:rsidRPr="00BB5651">
        <w:rPr>
          <w:color w:val="auto"/>
        </w:rPr>
        <w:t xml:space="preserve"> </w:t>
      </w:r>
      <w:r w:rsidRPr="00020B05">
        <w:rPr>
          <w:color w:val="auto"/>
        </w:rPr>
        <w:t>wurden</w:t>
      </w:r>
      <w:r>
        <w:rPr>
          <w:color w:val="auto"/>
        </w:rPr>
        <w:t xml:space="preserve"> im Jahre 2014 veröffentlicht</w:t>
      </w:r>
      <w:r w:rsidR="00051F37">
        <w:rPr>
          <w:color w:val="auto"/>
        </w:rPr>
        <w:t xml:space="preserve"> (</w:t>
      </w:r>
      <w:r w:rsidR="00051F37">
        <w:rPr>
          <w:color w:val="auto"/>
          <w:vertAlign w:val="superscript"/>
        </w:rPr>
        <w:t>3</w:t>
      </w:r>
      <w:r w:rsidR="00051F37">
        <w:rPr>
          <w:color w:val="auto"/>
        </w:rPr>
        <w:t>)</w:t>
      </w:r>
      <w:r>
        <w:rPr>
          <w:color w:val="auto"/>
        </w:rPr>
        <w:t>.</w:t>
      </w:r>
      <w:r w:rsidR="00CA3769">
        <w:rPr>
          <w:color w:val="auto"/>
        </w:rPr>
        <w:t xml:space="preserve"> </w:t>
      </w:r>
    </w:p>
    <w:p w:rsidR="000621D3" w:rsidRPr="00840DA7" w:rsidRDefault="00255B84" w:rsidP="00C00F38">
      <w:pPr>
        <w:pStyle w:val="newsContent"/>
        <w:rPr>
          <w:rFonts w:cs="Trivia Sans Book"/>
          <w:color w:val="auto"/>
          <w:szCs w:val="20"/>
        </w:rPr>
      </w:pPr>
      <w:r>
        <w:rPr>
          <w:color w:val="auto"/>
        </w:rPr>
        <w:t>Vielfältige Studien haben ge</w:t>
      </w:r>
      <w:r w:rsidR="00B2725E">
        <w:rPr>
          <w:color w:val="auto"/>
        </w:rPr>
        <w:t>zeig</w:t>
      </w:r>
      <w:r>
        <w:rPr>
          <w:color w:val="auto"/>
        </w:rPr>
        <w:t>t, dass</w:t>
      </w:r>
      <w:r w:rsidR="000C0B93">
        <w:rPr>
          <w:color w:val="auto"/>
        </w:rPr>
        <w:t xml:space="preserve"> ein Drogennotfall </w:t>
      </w:r>
      <w:r w:rsidR="002A108E">
        <w:rPr>
          <w:color w:val="auto"/>
        </w:rPr>
        <w:t>oftmals</w:t>
      </w:r>
      <w:r w:rsidR="00B2725E">
        <w:rPr>
          <w:color w:val="auto"/>
        </w:rPr>
        <w:t xml:space="preserve"> in der Anwesenheit </w:t>
      </w:r>
      <w:r w:rsidR="002A108E">
        <w:rPr>
          <w:color w:val="auto"/>
        </w:rPr>
        <w:t>anderer Personen eintr</w:t>
      </w:r>
      <w:r w:rsidR="000C0B93">
        <w:rPr>
          <w:color w:val="auto"/>
        </w:rPr>
        <w:t>itt</w:t>
      </w:r>
      <w:r w:rsidR="002A108E">
        <w:rPr>
          <w:color w:val="auto"/>
        </w:rPr>
        <w:t>. W</w:t>
      </w:r>
      <w:r w:rsidR="00B2725E">
        <w:rPr>
          <w:color w:val="auto"/>
        </w:rPr>
        <w:t xml:space="preserve">enn sie </w:t>
      </w:r>
      <w:r w:rsidR="002A108E">
        <w:rPr>
          <w:color w:val="auto"/>
        </w:rPr>
        <w:t xml:space="preserve">ausgebildet </w:t>
      </w:r>
      <w:r w:rsidR="00B2725E">
        <w:rPr>
          <w:color w:val="auto"/>
        </w:rPr>
        <w:t xml:space="preserve">sind, die entsprechenden </w:t>
      </w:r>
      <w:r w:rsidR="002A108E">
        <w:rPr>
          <w:color w:val="auto"/>
        </w:rPr>
        <w:t>Hilfem</w:t>
      </w:r>
      <w:r w:rsidR="00B2725E">
        <w:rPr>
          <w:color w:val="auto"/>
        </w:rPr>
        <w:t xml:space="preserve">aßnahmen </w:t>
      </w:r>
      <w:r w:rsidR="002A108E">
        <w:rPr>
          <w:color w:val="auto"/>
        </w:rPr>
        <w:t xml:space="preserve">selbst </w:t>
      </w:r>
      <w:r w:rsidR="00B2725E">
        <w:rPr>
          <w:color w:val="auto"/>
        </w:rPr>
        <w:t>vorzunehmen</w:t>
      </w:r>
      <w:r w:rsidR="000500EF">
        <w:rPr>
          <w:color w:val="auto"/>
        </w:rPr>
        <w:t>,</w:t>
      </w:r>
      <w:r w:rsidR="002A108E">
        <w:rPr>
          <w:color w:val="auto"/>
        </w:rPr>
        <w:t xml:space="preserve"> können diese Augenzeugen jedoch Menschenl</w:t>
      </w:r>
      <w:r w:rsidR="00B2725E">
        <w:rPr>
          <w:color w:val="auto"/>
        </w:rPr>
        <w:t xml:space="preserve">eben retten, während sie auf den </w:t>
      </w:r>
      <w:r w:rsidR="001235E1">
        <w:rPr>
          <w:color w:val="auto"/>
        </w:rPr>
        <w:t>Rettungs</w:t>
      </w:r>
      <w:r w:rsidR="00B2725E">
        <w:rPr>
          <w:color w:val="auto"/>
        </w:rPr>
        <w:t>dienst warten</w:t>
      </w:r>
      <w:r w:rsidR="00051F37">
        <w:rPr>
          <w:color w:val="auto"/>
        </w:rPr>
        <w:t xml:space="preserve"> (</w:t>
      </w:r>
      <w:r w:rsidR="00051F37">
        <w:rPr>
          <w:color w:val="auto"/>
          <w:vertAlign w:val="superscript"/>
        </w:rPr>
        <w:t>4</w:t>
      </w:r>
      <w:r w:rsidR="00051F37">
        <w:rPr>
          <w:color w:val="auto"/>
        </w:rPr>
        <w:t>)</w:t>
      </w:r>
      <w:r w:rsidR="00B2725E">
        <w:rPr>
          <w:color w:val="auto"/>
        </w:rPr>
        <w:t>.</w:t>
      </w:r>
      <w:r w:rsidR="00BF15E0">
        <w:rPr>
          <w:color w:val="auto"/>
        </w:rPr>
        <w:t xml:space="preserve"> </w:t>
      </w:r>
      <w:r w:rsidR="00B2725E">
        <w:rPr>
          <w:color w:val="auto"/>
        </w:rPr>
        <w:t>Aus diesem Grund wurde</w:t>
      </w:r>
      <w:r w:rsidR="002A108E">
        <w:rPr>
          <w:color w:val="auto"/>
        </w:rPr>
        <w:t>n</w:t>
      </w:r>
      <w:r w:rsidR="00B2725E">
        <w:rPr>
          <w:color w:val="auto"/>
        </w:rPr>
        <w:t xml:space="preserve"> seit den 1990er-Jahren Naloxon</w:t>
      </w:r>
      <w:r w:rsidR="001235E1">
        <w:rPr>
          <w:color w:val="auto"/>
        </w:rPr>
        <w:t>-</w:t>
      </w:r>
      <w:r w:rsidR="002A108E">
        <w:rPr>
          <w:color w:val="auto"/>
        </w:rPr>
        <w:t>Vergabe</w:t>
      </w:r>
      <w:r w:rsidR="001235E1">
        <w:rPr>
          <w:color w:val="auto"/>
        </w:rPr>
        <w:t>p</w:t>
      </w:r>
      <w:r w:rsidR="002A108E">
        <w:rPr>
          <w:color w:val="auto"/>
        </w:rPr>
        <w:t xml:space="preserve">rogramme </w:t>
      </w:r>
      <w:r w:rsidR="00B2725E">
        <w:rPr>
          <w:color w:val="auto"/>
        </w:rPr>
        <w:t xml:space="preserve">als Schadensminderungsmaßnahme eingeführt, wobei </w:t>
      </w:r>
      <w:r w:rsidR="00425B49">
        <w:rPr>
          <w:color w:val="auto"/>
        </w:rPr>
        <w:t>‚Take-</w:t>
      </w:r>
      <w:proofErr w:type="spellStart"/>
      <w:r w:rsidR="00425B49">
        <w:rPr>
          <w:color w:val="auto"/>
        </w:rPr>
        <w:t>home</w:t>
      </w:r>
      <w:proofErr w:type="spellEnd"/>
      <w:r w:rsidR="00425B49">
        <w:rPr>
          <w:color w:val="auto"/>
        </w:rPr>
        <w:t xml:space="preserve"> Kits’ mit dem </w:t>
      </w:r>
      <w:r w:rsidR="002A108E">
        <w:rPr>
          <w:color w:val="auto"/>
        </w:rPr>
        <w:t>Medikament a</w:t>
      </w:r>
      <w:r w:rsidR="00B2725E">
        <w:rPr>
          <w:color w:val="auto"/>
        </w:rPr>
        <w:t>n Opi</w:t>
      </w:r>
      <w:r w:rsidR="000C0B93">
        <w:rPr>
          <w:color w:val="auto"/>
        </w:rPr>
        <w:t>atabhängige sowie</w:t>
      </w:r>
      <w:r w:rsidR="00B2725E">
        <w:rPr>
          <w:color w:val="auto"/>
        </w:rPr>
        <w:t xml:space="preserve"> und </w:t>
      </w:r>
      <w:r w:rsidR="00425B49">
        <w:rPr>
          <w:color w:val="auto"/>
        </w:rPr>
        <w:t xml:space="preserve">an </w:t>
      </w:r>
      <w:r w:rsidR="00B2725E">
        <w:rPr>
          <w:color w:val="auto"/>
        </w:rPr>
        <w:t xml:space="preserve">Personen </w:t>
      </w:r>
      <w:r w:rsidR="002A108E">
        <w:rPr>
          <w:color w:val="auto"/>
        </w:rPr>
        <w:t xml:space="preserve">aus </w:t>
      </w:r>
      <w:r w:rsidR="000C0B93">
        <w:rPr>
          <w:color w:val="auto"/>
        </w:rPr>
        <w:t>deren</w:t>
      </w:r>
      <w:r w:rsidR="002A108E">
        <w:rPr>
          <w:color w:val="auto"/>
        </w:rPr>
        <w:t xml:space="preserve"> Freundeskreis und Familie </w:t>
      </w:r>
      <w:r w:rsidR="000C0B93">
        <w:rPr>
          <w:color w:val="auto"/>
        </w:rPr>
        <w:t>ausgegeben</w:t>
      </w:r>
      <w:r w:rsidR="00425B49">
        <w:rPr>
          <w:color w:val="auto"/>
        </w:rPr>
        <w:t xml:space="preserve"> </w:t>
      </w:r>
      <w:r w:rsidR="000500EF">
        <w:rPr>
          <w:color w:val="auto"/>
        </w:rPr>
        <w:t>werden</w:t>
      </w:r>
      <w:r w:rsidR="00B2725E">
        <w:rPr>
          <w:color w:val="auto"/>
        </w:rPr>
        <w:t xml:space="preserve">, </w:t>
      </w:r>
      <w:r w:rsidR="000C0B93">
        <w:rPr>
          <w:color w:val="auto"/>
        </w:rPr>
        <w:t>da diese</w:t>
      </w:r>
      <w:r w:rsidR="00B2725E">
        <w:rPr>
          <w:color w:val="auto"/>
        </w:rPr>
        <w:t xml:space="preserve"> mit hoher Wahrscheinlichkeit Zeuge von Opi</w:t>
      </w:r>
      <w:r w:rsidR="000C0B93">
        <w:rPr>
          <w:color w:val="auto"/>
        </w:rPr>
        <w:t>atü</w:t>
      </w:r>
      <w:r w:rsidR="00B2725E">
        <w:rPr>
          <w:color w:val="auto"/>
        </w:rPr>
        <w:t xml:space="preserve">berdosierungsfällen </w:t>
      </w:r>
      <w:r w:rsidR="000C0B93">
        <w:rPr>
          <w:color w:val="auto"/>
        </w:rPr>
        <w:t xml:space="preserve">werden </w:t>
      </w:r>
      <w:r w:rsidR="00B2725E">
        <w:rPr>
          <w:color w:val="auto"/>
        </w:rPr>
        <w:t>können.</w:t>
      </w:r>
    </w:p>
    <w:p w:rsidR="000621D3" w:rsidRPr="00840DA7" w:rsidRDefault="00D0143C" w:rsidP="00D0143C">
      <w:pPr>
        <w:pStyle w:val="newsContent"/>
        <w:rPr>
          <w:rFonts w:cs="Arial"/>
          <w:color w:val="auto"/>
          <w:szCs w:val="20"/>
        </w:rPr>
      </w:pPr>
      <w:r>
        <w:rPr>
          <w:color w:val="auto"/>
        </w:rPr>
        <w:t xml:space="preserve">„Jede Person, die wir in Europa täglich wegen </w:t>
      </w:r>
      <w:r w:rsidR="00BF15E0">
        <w:rPr>
          <w:color w:val="auto"/>
        </w:rPr>
        <w:t>Opiatüberdosierun</w:t>
      </w:r>
      <w:r>
        <w:rPr>
          <w:color w:val="auto"/>
        </w:rPr>
        <w:t xml:space="preserve">g verlieren, verdient es, dass wir alle unserer Bemühungen auf die Verbesserung von Prävention und Reaktion konzentrieren“, sagt </w:t>
      </w:r>
      <w:r>
        <w:rPr>
          <w:b/>
          <w:color w:val="auto"/>
        </w:rPr>
        <w:t xml:space="preserve">Alexis </w:t>
      </w:r>
      <w:proofErr w:type="spellStart"/>
      <w:r>
        <w:rPr>
          <w:b/>
          <w:color w:val="auto"/>
        </w:rPr>
        <w:t>Goosdeel</w:t>
      </w:r>
      <w:proofErr w:type="spellEnd"/>
      <w:r>
        <w:rPr>
          <w:b/>
          <w:color w:val="auto"/>
        </w:rPr>
        <w:t xml:space="preserve">, </w:t>
      </w:r>
      <w:r w:rsidR="001235E1">
        <w:rPr>
          <w:b/>
          <w:color w:val="auto"/>
        </w:rPr>
        <w:t>EMCDDA-</w:t>
      </w:r>
      <w:r>
        <w:rPr>
          <w:b/>
          <w:color w:val="auto"/>
        </w:rPr>
        <w:t xml:space="preserve">Direktor </w:t>
      </w:r>
      <w:r>
        <w:rPr>
          <w:color w:val="auto"/>
        </w:rPr>
        <w:t xml:space="preserve"> „Die Befähigung </w:t>
      </w:r>
      <w:r w:rsidR="000C0B93">
        <w:rPr>
          <w:color w:val="auto"/>
        </w:rPr>
        <w:t xml:space="preserve">der </w:t>
      </w:r>
      <w:r w:rsidR="000500EF">
        <w:rPr>
          <w:color w:val="auto"/>
        </w:rPr>
        <w:t xml:space="preserve">potentiellen </w:t>
      </w:r>
      <w:r w:rsidR="0046119F">
        <w:rPr>
          <w:color w:val="auto"/>
        </w:rPr>
        <w:t>Augenzeugen</w:t>
      </w:r>
      <w:r w:rsidR="000C0B93">
        <w:rPr>
          <w:color w:val="auto"/>
        </w:rPr>
        <w:t xml:space="preserve"> eines Drogennotfalls</w:t>
      </w:r>
      <w:r>
        <w:rPr>
          <w:color w:val="auto"/>
        </w:rPr>
        <w:t xml:space="preserve">, eine lebensrettende Notfallmaßnahme </w:t>
      </w:r>
      <w:r w:rsidR="0046119F">
        <w:rPr>
          <w:color w:val="auto"/>
        </w:rPr>
        <w:t xml:space="preserve">vor Ort direkt </w:t>
      </w:r>
      <w:r>
        <w:rPr>
          <w:color w:val="auto"/>
        </w:rPr>
        <w:t>vorzunehmen</w:t>
      </w:r>
      <w:r w:rsidR="000500EF">
        <w:rPr>
          <w:color w:val="auto"/>
        </w:rPr>
        <w:t>,</w:t>
      </w:r>
      <w:r w:rsidR="0046119F">
        <w:rPr>
          <w:color w:val="auto"/>
        </w:rPr>
        <w:t xml:space="preserve"> ist ein </w:t>
      </w:r>
      <w:r>
        <w:rPr>
          <w:color w:val="auto"/>
        </w:rPr>
        <w:t>wichtige</w:t>
      </w:r>
      <w:r w:rsidR="0046119F">
        <w:rPr>
          <w:color w:val="auto"/>
        </w:rPr>
        <w:t>r</w:t>
      </w:r>
      <w:r>
        <w:rPr>
          <w:color w:val="auto"/>
        </w:rPr>
        <w:t xml:space="preserve"> Schritt in Richtung einer diversifizierten und ausgewogenen europäischen Antwort auf das Drogenproblem.“</w:t>
      </w:r>
    </w:p>
    <w:p w:rsidR="000621D3" w:rsidRPr="00840DA7" w:rsidRDefault="00896AB3" w:rsidP="00057F4E">
      <w:pPr>
        <w:pStyle w:val="MaintextstyleBlack"/>
        <w:spacing w:after="260"/>
        <w:rPr>
          <w:rFonts w:cs="Arial"/>
        </w:rPr>
      </w:pPr>
      <w:r>
        <w:t xml:space="preserve">In Europa sind derzeit Initiativen zur Anwendung von Take-Home-Naloxon auf lokaler Ebene in </w:t>
      </w:r>
      <w:r>
        <w:rPr>
          <w:b/>
        </w:rPr>
        <w:t>Dänemark, Deutschland, England, Estland, Irland, Italien</w:t>
      </w:r>
      <w:r>
        <w:t xml:space="preserve"> und </w:t>
      </w:r>
      <w:r>
        <w:rPr>
          <w:b/>
        </w:rPr>
        <w:t>Norwegen</w:t>
      </w:r>
      <w:r>
        <w:t xml:space="preserve"> sowie auf regionaler Ebene in </w:t>
      </w:r>
      <w:r>
        <w:rPr>
          <w:b/>
        </w:rPr>
        <w:t>Spanien (Katalonien)</w:t>
      </w:r>
      <w:r>
        <w:t xml:space="preserve"> und i</w:t>
      </w:r>
      <w:r w:rsidR="00DE7734">
        <w:t xml:space="preserve">n </w:t>
      </w:r>
      <w:r>
        <w:rPr>
          <w:b/>
        </w:rPr>
        <w:t>Schottland und Wales</w:t>
      </w:r>
      <w:r>
        <w:t xml:space="preserve"> im Gange. Auch in anderen EU-Mitgliedstaaten wird </w:t>
      </w:r>
      <w:r w:rsidR="00B95BD5">
        <w:t>zurzeit</w:t>
      </w:r>
      <w:r w:rsidR="00DE7734">
        <w:t xml:space="preserve"> </w:t>
      </w:r>
      <w:r>
        <w:t xml:space="preserve">geprüft, </w:t>
      </w:r>
      <w:r w:rsidR="00DE7734">
        <w:t xml:space="preserve">ob und wie </w:t>
      </w:r>
      <w:r>
        <w:t>Take-Home-Naloxon in den Kreis der Notfallmaßnahmen zur Vorbeugung von drogenbedingten Todesfällen auf</w:t>
      </w:r>
      <w:r w:rsidR="00DE7734">
        <w:t>genommen werden kann</w:t>
      </w:r>
      <w:r w:rsidR="00051F37">
        <w:t xml:space="preserve"> (</w:t>
      </w:r>
      <w:r w:rsidR="00051F37">
        <w:rPr>
          <w:vertAlign w:val="superscript"/>
        </w:rPr>
        <w:t>5</w:t>
      </w:r>
      <w:r w:rsidR="00051F37">
        <w:t>)</w:t>
      </w:r>
      <w:r>
        <w:t>.</w:t>
      </w:r>
      <w:r w:rsidR="00CA3769">
        <w:t xml:space="preserve"> </w:t>
      </w:r>
    </w:p>
    <w:p w:rsidR="009543CB" w:rsidRPr="00840DA7" w:rsidRDefault="00B835F8" w:rsidP="009543CB">
      <w:pPr>
        <w:pStyle w:val="MaintextstyleBlack"/>
        <w:spacing w:after="260"/>
        <w:rPr>
          <w:rFonts w:cs="Arial"/>
        </w:rPr>
      </w:pPr>
      <w:r>
        <w:t xml:space="preserve">In Anknüpfung an den </w:t>
      </w:r>
      <w:r>
        <w:rPr>
          <w:b/>
        </w:rPr>
        <w:t>EMCDDA</w:t>
      </w:r>
      <w:r>
        <w:t>-Bericht aus dem Jahre 2015 über die Wirksamkeit von Take-Home-Naloxon (</w:t>
      </w:r>
      <w:r>
        <w:rPr>
          <w:vertAlign w:val="superscript"/>
        </w:rPr>
        <w:t>6</w:t>
      </w:r>
      <w:r>
        <w:t xml:space="preserve">) gibt der heute veröffentlichte Bericht Ärzten und politischen Entscheidungsträgern einen umfassenden und aktuellen Überblick über die </w:t>
      </w:r>
      <w:r w:rsidR="00DE7734">
        <w:t>Intervention</w:t>
      </w:r>
      <w:r>
        <w:t xml:space="preserve">. In dem Bericht werden die Argumente für die </w:t>
      </w:r>
      <w:r>
        <w:lastRenderedPageBreak/>
        <w:t>Ver</w:t>
      </w:r>
      <w:r w:rsidR="00DE7734">
        <w:t>gabe</w:t>
      </w:r>
      <w:r>
        <w:t xml:space="preserve"> von Naloxon geprüft, die historischen Entwicklungen des Arzneimittels zurückverfolgt, Beispiele für bewährte Verfahren und </w:t>
      </w:r>
      <w:r w:rsidR="00DE7734">
        <w:t>Trainingsprogramme</w:t>
      </w:r>
      <w:r>
        <w:t xml:space="preserve"> aufgeführt sowie die laufenden Diskussionen über die Verfügbarkeit von Naloxon und den rechtlichen Rahmen in Betracht gezogen.</w:t>
      </w:r>
    </w:p>
    <w:p w:rsidR="009543CB" w:rsidRPr="00840DA7" w:rsidRDefault="009543CB" w:rsidP="0026481E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Rechtliche Hindernisse und Entwicklungen</w:t>
      </w:r>
    </w:p>
    <w:p w:rsidR="000621D3" w:rsidRPr="00840DA7" w:rsidRDefault="00A74111" w:rsidP="00A74111">
      <w:pPr>
        <w:rPr>
          <w:rFonts w:cs="Trivia Sans Book"/>
        </w:rPr>
      </w:pPr>
      <w:r>
        <w:rPr>
          <w:rFonts w:ascii="Arial" w:hAnsi="Arial"/>
          <w:sz w:val="20"/>
        </w:rPr>
        <w:t xml:space="preserve">Zur Frage der rechtlichen Hindernisse heißt es in dem Bericht: „In den meisten Rechtssystemen ist Naloxon verschreibungspflichtig und darf </w:t>
      </w:r>
      <w:r w:rsidR="00DE7734">
        <w:rPr>
          <w:rFonts w:ascii="Arial" w:hAnsi="Arial"/>
          <w:sz w:val="20"/>
        </w:rPr>
        <w:t xml:space="preserve">oftmals </w:t>
      </w:r>
      <w:r>
        <w:rPr>
          <w:rFonts w:ascii="Arial" w:hAnsi="Arial"/>
          <w:sz w:val="20"/>
        </w:rPr>
        <w:t xml:space="preserve">ausschließlich von Gesundheitspersonal </w:t>
      </w:r>
      <w:r w:rsidR="00DE7734">
        <w:rPr>
          <w:rFonts w:ascii="Arial" w:hAnsi="Arial"/>
          <w:sz w:val="20"/>
        </w:rPr>
        <w:t>ange</w:t>
      </w:r>
      <w:r>
        <w:rPr>
          <w:rFonts w:ascii="Arial" w:hAnsi="Arial"/>
          <w:sz w:val="20"/>
        </w:rPr>
        <w:t xml:space="preserve">wendet werden, denen das Arzneimittel verschrieben wurde. Die Einführung der </w:t>
      </w:r>
      <w:r w:rsidR="00DE7734">
        <w:rPr>
          <w:rFonts w:ascii="Arial" w:hAnsi="Arial"/>
          <w:sz w:val="20"/>
        </w:rPr>
        <w:t xml:space="preserve">Vergabe </w:t>
      </w:r>
      <w:r>
        <w:rPr>
          <w:rFonts w:ascii="Arial" w:hAnsi="Arial"/>
          <w:sz w:val="20"/>
        </w:rPr>
        <w:t xml:space="preserve">von Take-Home-Naloxon </w:t>
      </w:r>
      <w:r w:rsidR="00DE7734">
        <w:rPr>
          <w:rFonts w:ascii="Arial" w:hAnsi="Arial"/>
          <w:sz w:val="20"/>
        </w:rPr>
        <w:t xml:space="preserve">Kits </w:t>
      </w:r>
      <w:r>
        <w:rPr>
          <w:rFonts w:ascii="Arial" w:hAnsi="Arial"/>
          <w:sz w:val="20"/>
        </w:rPr>
        <w:t>würde daher in einigen Ländern die Änderung der geltenden Regelungen erfordern.“</w:t>
      </w:r>
    </w:p>
    <w:p w:rsidR="000621D3" w:rsidRPr="00840DA7" w:rsidRDefault="00A74111" w:rsidP="00A7411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 einigen Rechtssystemen kann die Meldung von Überdosierungsfällen eine Polizeianzeige nach sich ziehen, was </w:t>
      </w:r>
      <w:r w:rsidR="00DE7734">
        <w:rPr>
          <w:rFonts w:ascii="Arial" w:hAnsi="Arial"/>
          <w:sz w:val="20"/>
        </w:rPr>
        <w:t>Augenz</w:t>
      </w:r>
      <w:r>
        <w:rPr>
          <w:rFonts w:ascii="Arial" w:hAnsi="Arial"/>
          <w:sz w:val="20"/>
        </w:rPr>
        <w:t>eugen von der Kontaktaufnahme mit dem Notfalldienst abschrecken kann. In dem Bericht wird beschrieben, wie in einigen Ländern die Verbreitung von Take-Home-Naloxon durch die Einführung sogenannter „Guter-Samariter-Gesetze“ gefördert wurde (Luxemburg, Schottland und einige Staaten der USA), durch die Personen, die Hilfe leisten, von der Haftung befreit werden.</w:t>
      </w:r>
    </w:p>
    <w:p w:rsidR="000621D3" w:rsidRPr="00840DA7" w:rsidRDefault="00DE7734" w:rsidP="00A7411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Während es in den </w:t>
      </w:r>
      <w:r w:rsidR="00A02C06">
        <w:rPr>
          <w:rFonts w:ascii="Arial" w:hAnsi="Arial"/>
          <w:sz w:val="20"/>
        </w:rPr>
        <w:t xml:space="preserve">meisten EU-Mitgliedstaaten keine formalen rechtlichen Bestimmungen über Take-Home-Naloxon </w:t>
      </w:r>
      <w:r>
        <w:rPr>
          <w:rFonts w:ascii="Arial" w:hAnsi="Arial"/>
          <w:sz w:val="20"/>
        </w:rPr>
        <w:t xml:space="preserve">gibt, </w:t>
      </w:r>
      <w:r w:rsidR="00A02C06">
        <w:rPr>
          <w:rFonts w:ascii="Arial" w:hAnsi="Arial"/>
          <w:sz w:val="20"/>
        </w:rPr>
        <w:t xml:space="preserve">hat eine Reihe von </w:t>
      </w:r>
      <w:r>
        <w:rPr>
          <w:rFonts w:ascii="Arial" w:hAnsi="Arial"/>
          <w:sz w:val="20"/>
        </w:rPr>
        <w:t>Städten</w:t>
      </w:r>
      <w:r w:rsidR="00A02C06">
        <w:rPr>
          <w:rFonts w:ascii="Arial" w:hAnsi="Arial"/>
          <w:sz w:val="20"/>
        </w:rPr>
        <w:t xml:space="preserve"> und Ländern den rechtlichen Status der Verschreibung und Verabreichung von Naloxon geklärt.</w:t>
      </w:r>
    </w:p>
    <w:p w:rsidR="000621D3" w:rsidRPr="00840DA7" w:rsidRDefault="006F5D36" w:rsidP="0026481E">
      <w:pPr>
        <w:pStyle w:val="MaintextstyleBlack"/>
        <w:keepNext/>
        <w:spacing w:after="260"/>
        <w:rPr>
          <w:rFonts w:cs="Trivia Sans Book"/>
          <w:b/>
        </w:rPr>
      </w:pPr>
      <w:r>
        <w:rPr>
          <w:b/>
        </w:rPr>
        <w:t>Zukunft</w:t>
      </w:r>
      <w:r w:rsidR="009B7560">
        <w:rPr>
          <w:b/>
        </w:rPr>
        <w:t>soption</w:t>
      </w:r>
      <w:r>
        <w:rPr>
          <w:b/>
        </w:rPr>
        <w:t>: neue Produkte</w:t>
      </w:r>
    </w:p>
    <w:p w:rsidR="000621D3" w:rsidRPr="00840DA7" w:rsidRDefault="00DE7734" w:rsidP="006F5D36">
      <w:pPr>
        <w:pStyle w:val="MaintextstyleBlack"/>
        <w:spacing w:after="260"/>
        <w:rPr>
          <w:rFonts w:cs="Arial"/>
        </w:rPr>
      </w:pPr>
      <w:r>
        <w:t>Die Tatsache</w:t>
      </w:r>
      <w:r w:rsidR="000500EF">
        <w:t>,</w:t>
      </w:r>
      <w:r>
        <w:t xml:space="preserve"> dass </w:t>
      </w:r>
      <w:r w:rsidR="006F5D36">
        <w:t>Naloxon</w:t>
      </w:r>
      <w:r>
        <w:t xml:space="preserve"> </w:t>
      </w:r>
      <w:r w:rsidR="006F5D36">
        <w:t xml:space="preserve">zurzeit </w:t>
      </w:r>
      <w:r>
        <w:t xml:space="preserve">vorwiegend </w:t>
      </w:r>
      <w:r w:rsidR="006F5D36">
        <w:t xml:space="preserve">in </w:t>
      </w:r>
      <w:proofErr w:type="spellStart"/>
      <w:r w:rsidR="006F5D36">
        <w:t>injizierbarer</w:t>
      </w:r>
      <w:proofErr w:type="spellEnd"/>
      <w:r w:rsidR="006F5D36">
        <w:t xml:space="preserve"> Form </w:t>
      </w:r>
      <w:r>
        <w:t>verfügbar ist</w:t>
      </w:r>
      <w:r w:rsidR="000500EF">
        <w:t>,</w:t>
      </w:r>
      <w:r>
        <w:t xml:space="preserve"> kann </w:t>
      </w:r>
      <w:r w:rsidR="006F5D36">
        <w:t>ein psychologisches Hindernis für nicht</w:t>
      </w:r>
      <w:r>
        <w:t>-</w:t>
      </w:r>
      <w:r w:rsidR="006F5D36">
        <w:t xml:space="preserve">medizinische Ersthelfer </w:t>
      </w:r>
      <w:r w:rsidR="003264CD">
        <w:t>darstellen</w:t>
      </w:r>
      <w:r>
        <w:t xml:space="preserve"> </w:t>
      </w:r>
      <w:r w:rsidR="006F5D36">
        <w:t xml:space="preserve">sowie Gesundheitsrisiken für </w:t>
      </w:r>
      <w:r>
        <w:t xml:space="preserve">denjenigen </w:t>
      </w:r>
      <w:r w:rsidR="003264CD">
        <w:t xml:space="preserve">der das </w:t>
      </w:r>
      <w:r w:rsidR="006F5D36">
        <w:t xml:space="preserve">Arzneimittel verabreicht </w:t>
      </w:r>
      <w:r w:rsidR="003264CD">
        <w:t>mit sich bringen (Nadelstichverletzungen)</w:t>
      </w:r>
      <w:r w:rsidR="006F5D36">
        <w:t>. Deshalb werden derzeit sicherere und einfachere Verabreichungswege entwickelt, was zu einem weiterreichenden Einsatz des Arzneimittels beitragen könnte.</w:t>
      </w:r>
    </w:p>
    <w:p w:rsidR="006F5D36" w:rsidRPr="00840DA7" w:rsidRDefault="006F5D36" w:rsidP="006F5D36">
      <w:pPr>
        <w:pStyle w:val="MaintextstyleBlack"/>
        <w:spacing w:after="260"/>
      </w:pPr>
      <w:r>
        <w:t xml:space="preserve">Im November 2015 hat die US-Bundesbehörde zur Lebensmittelüberwachung und Arzneimittelzulassung eine konzentrierte </w:t>
      </w:r>
      <w:proofErr w:type="spellStart"/>
      <w:r>
        <w:t>Naloxonzubereitung</w:t>
      </w:r>
      <w:proofErr w:type="spellEnd"/>
      <w:r>
        <w:t xml:space="preserve"> zur nasalen Anwendung genehmigt. Diese </w:t>
      </w:r>
      <w:r w:rsidRPr="00BB5651">
        <w:t>bahnbrechende Zubereitungsform</w:t>
      </w:r>
      <w:r>
        <w:t xml:space="preserve">, die die Verwendung von Naloxon durch </w:t>
      </w:r>
      <w:r w:rsidR="000C0B93">
        <w:t xml:space="preserve">Laienhelfer wie </w:t>
      </w:r>
      <w:r w:rsidR="003264CD">
        <w:t>Freunde, Familienangehörige und andere Augenzeugen</w:t>
      </w:r>
      <w:r>
        <w:t xml:space="preserve"> bei Überdosierung erleichtert, erhöht die Aussichten, dass nasales Naloxon in naher Zukunft auch in der EU erhältlich wird. In Europa betreiben zurzeit </w:t>
      </w:r>
      <w:r>
        <w:rPr>
          <w:b/>
        </w:rPr>
        <w:t>Dänemark</w:t>
      </w:r>
      <w:r>
        <w:t xml:space="preserve"> und </w:t>
      </w:r>
      <w:r>
        <w:rPr>
          <w:b/>
        </w:rPr>
        <w:t>Norwegen</w:t>
      </w:r>
      <w:r>
        <w:t xml:space="preserve"> Pilotprogramme </w:t>
      </w:r>
      <w:r w:rsidR="003264CD">
        <w:t xml:space="preserve">mit </w:t>
      </w:r>
      <w:r>
        <w:t xml:space="preserve">Naloxon-Sprays, während im </w:t>
      </w:r>
      <w:r>
        <w:rPr>
          <w:b/>
        </w:rPr>
        <w:t>Vereinigten Königreich</w:t>
      </w:r>
      <w:r>
        <w:t xml:space="preserve"> die </w:t>
      </w:r>
      <w:r w:rsidR="003264CD">
        <w:t>Anwendbarkeit von Naloxon in Tablettenform</w:t>
      </w:r>
      <w:r>
        <w:t xml:space="preserve"> erforscht wird.</w:t>
      </w:r>
    </w:p>
    <w:p w:rsidR="000621D3" w:rsidRPr="00840DA7" w:rsidRDefault="003264CD" w:rsidP="0026481E">
      <w:pPr>
        <w:keepNext/>
        <w:autoSpaceDE w:val="0"/>
        <w:autoSpaceDN w:val="0"/>
        <w:adjustRightInd w:val="0"/>
        <w:spacing w:before="240" w:after="260" w:line="260" w:lineRule="exact"/>
        <w:rPr>
          <w:rFonts w:ascii="Arial" w:hAnsi="Arial" w:cs="Arial"/>
          <w:b/>
          <w:sz w:val="20"/>
          <w:szCs w:val="18"/>
        </w:rPr>
      </w:pPr>
      <w:r>
        <w:rPr>
          <w:rFonts w:ascii="Arial" w:hAnsi="Arial"/>
          <w:b/>
          <w:sz w:val="20"/>
        </w:rPr>
        <w:t xml:space="preserve">Erste Hilfe </w:t>
      </w:r>
      <w:r w:rsidR="001967AB">
        <w:rPr>
          <w:rFonts w:ascii="Arial" w:hAnsi="Arial"/>
          <w:b/>
          <w:sz w:val="20"/>
        </w:rPr>
        <w:t xml:space="preserve">Schulung der Familie und Freunde: ein </w:t>
      </w:r>
      <w:r>
        <w:rPr>
          <w:rFonts w:ascii="Arial" w:hAnsi="Arial"/>
          <w:b/>
          <w:sz w:val="20"/>
        </w:rPr>
        <w:t>essenzielles</w:t>
      </w:r>
      <w:r w:rsidR="001967AB">
        <w:rPr>
          <w:rFonts w:ascii="Arial" w:hAnsi="Arial"/>
          <w:b/>
          <w:sz w:val="20"/>
        </w:rPr>
        <w:t xml:space="preserve"> Element</w:t>
      </w:r>
    </w:p>
    <w:p w:rsidR="000621D3" w:rsidRPr="00840DA7" w:rsidRDefault="0098500B" w:rsidP="007D74FA">
      <w:pPr>
        <w:autoSpaceDE w:val="0"/>
        <w:autoSpaceDN w:val="0"/>
        <w:adjustRightInd w:val="0"/>
        <w:spacing w:before="240"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Die Schulung </w:t>
      </w:r>
      <w:r w:rsidR="003264CD">
        <w:rPr>
          <w:rFonts w:ascii="Arial" w:hAnsi="Arial"/>
          <w:sz w:val="20"/>
        </w:rPr>
        <w:t xml:space="preserve">von </w:t>
      </w:r>
      <w:r>
        <w:rPr>
          <w:rFonts w:ascii="Arial" w:hAnsi="Arial"/>
          <w:sz w:val="20"/>
        </w:rPr>
        <w:t>Familie</w:t>
      </w:r>
      <w:r w:rsidR="003264CD">
        <w:rPr>
          <w:rFonts w:ascii="Arial" w:hAnsi="Arial"/>
          <w:sz w:val="20"/>
        </w:rPr>
        <w:t>nmitgliedern</w:t>
      </w:r>
      <w:r>
        <w:rPr>
          <w:rFonts w:ascii="Arial" w:hAnsi="Arial"/>
          <w:sz w:val="20"/>
        </w:rPr>
        <w:t xml:space="preserve"> und Freunde</w:t>
      </w:r>
      <w:r w:rsidR="003264CD">
        <w:rPr>
          <w:rFonts w:ascii="Arial" w:hAnsi="Arial"/>
          <w:sz w:val="20"/>
        </w:rPr>
        <w:t>n von Opiatabhängigen in de</w:t>
      </w:r>
      <w:r w:rsidR="00BF15E0">
        <w:rPr>
          <w:rFonts w:ascii="Arial" w:hAnsi="Arial"/>
          <w:sz w:val="20"/>
        </w:rPr>
        <w:t>n</w:t>
      </w:r>
      <w:r w:rsidR="003264CD">
        <w:rPr>
          <w:rFonts w:ascii="Arial" w:hAnsi="Arial"/>
          <w:sz w:val="20"/>
        </w:rPr>
        <w:t xml:space="preserve"> Notfallinterventionen </w:t>
      </w:r>
      <w:r>
        <w:rPr>
          <w:rFonts w:ascii="Arial" w:hAnsi="Arial"/>
          <w:sz w:val="20"/>
        </w:rPr>
        <w:t xml:space="preserve">wird zunehmend als wichtiges Element </w:t>
      </w:r>
      <w:r w:rsidR="003264CD">
        <w:rPr>
          <w:rFonts w:ascii="Arial" w:hAnsi="Arial"/>
          <w:sz w:val="20"/>
        </w:rPr>
        <w:t xml:space="preserve">des </w:t>
      </w:r>
      <w:proofErr w:type="spellStart"/>
      <w:r w:rsidR="003264CD">
        <w:rPr>
          <w:rFonts w:ascii="Arial" w:hAnsi="Arial"/>
          <w:sz w:val="20"/>
        </w:rPr>
        <w:t>Naloxoneinsatzes</w:t>
      </w:r>
      <w:proofErr w:type="spellEnd"/>
      <w:r w:rsidR="003264C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anerkannt. Sie hilft den </w:t>
      </w:r>
      <w:r w:rsidR="003264CD">
        <w:rPr>
          <w:rFonts w:ascii="Arial" w:hAnsi="Arial"/>
          <w:sz w:val="20"/>
        </w:rPr>
        <w:t xml:space="preserve">potenziellen </w:t>
      </w:r>
      <w:r w:rsidR="009827A8">
        <w:rPr>
          <w:rFonts w:ascii="Arial" w:hAnsi="Arial"/>
          <w:sz w:val="20"/>
        </w:rPr>
        <w:t>Notfall</w:t>
      </w:r>
      <w:r w:rsidR="001324CB">
        <w:rPr>
          <w:rFonts w:ascii="Arial" w:hAnsi="Arial"/>
          <w:sz w:val="20"/>
        </w:rPr>
        <w:t>helfern</w:t>
      </w:r>
      <w:r>
        <w:rPr>
          <w:rFonts w:ascii="Arial" w:hAnsi="Arial"/>
          <w:sz w:val="20"/>
        </w:rPr>
        <w:t xml:space="preserve">, sich mit der Medikation und den rechtlichen Fragen vertraut zu machen und das Arzneimittel kompetent zu benutzen, während sie auf den </w:t>
      </w:r>
      <w:r w:rsidR="001324CB">
        <w:rPr>
          <w:rFonts w:ascii="Arial" w:hAnsi="Arial"/>
          <w:sz w:val="20"/>
        </w:rPr>
        <w:t>Rettungs</w:t>
      </w:r>
      <w:r>
        <w:rPr>
          <w:rFonts w:ascii="Arial" w:hAnsi="Arial"/>
          <w:sz w:val="20"/>
        </w:rPr>
        <w:t>dienst warten.</w:t>
      </w:r>
    </w:p>
    <w:p w:rsidR="00FE29D6" w:rsidRPr="00840DA7" w:rsidRDefault="00D87509" w:rsidP="007D74FA">
      <w:pPr>
        <w:autoSpaceDE w:val="0"/>
        <w:autoSpaceDN w:val="0"/>
        <w:adjustRightInd w:val="0"/>
        <w:spacing w:before="240"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Intensität und Umfang </w:t>
      </w:r>
      <w:r w:rsidR="009827A8">
        <w:rPr>
          <w:rFonts w:ascii="Arial" w:hAnsi="Arial"/>
          <w:sz w:val="20"/>
        </w:rPr>
        <w:t xml:space="preserve">von </w:t>
      </w:r>
      <w:r>
        <w:rPr>
          <w:rFonts w:ascii="Arial" w:hAnsi="Arial"/>
          <w:sz w:val="20"/>
        </w:rPr>
        <w:t>Take-Home-Naloxon-Schulung</w:t>
      </w:r>
      <w:r w:rsidR="009827A8">
        <w:rPr>
          <w:rFonts w:ascii="Arial" w:hAnsi="Arial"/>
          <w:sz w:val="20"/>
        </w:rPr>
        <w:t>en variieren</w:t>
      </w:r>
      <w:r>
        <w:rPr>
          <w:rFonts w:ascii="Arial" w:hAnsi="Arial"/>
          <w:sz w:val="20"/>
        </w:rPr>
        <w:t xml:space="preserve">, und </w:t>
      </w:r>
      <w:r w:rsidR="009827A8">
        <w:rPr>
          <w:rFonts w:ascii="Arial" w:hAnsi="Arial"/>
          <w:sz w:val="20"/>
        </w:rPr>
        <w:t xml:space="preserve">können auf die </w:t>
      </w:r>
      <w:r>
        <w:rPr>
          <w:rFonts w:ascii="Arial" w:hAnsi="Arial"/>
          <w:sz w:val="20"/>
        </w:rPr>
        <w:t>Umgebung, d</w:t>
      </w:r>
      <w:r w:rsidR="009827A8">
        <w:rPr>
          <w:rFonts w:ascii="Arial" w:hAnsi="Arial"/>
          <w:sz w:val="20"/>
        </w:rPr>
        <w:t xml:space="preserve">ie spezifischen </w:t>
      </w:r>
      <w:r>
        <w:rPr>
          <w:rFonts w:ascii="Arial" w:hAnsi="Arial"/>
          <w:sz w:val="20"/>
        </w:rPr>
        <w:t>Bedürfnisse der Zielgruppe und d</w:t>
      </w:r>
      <w:r w:rsidR="009827A8">
        <w:rPr>
          <w:rFonts w:ascii="Arial" w:hAnsi="Arial"/>
          <w:sz w:val="20"/>
        </w:rPr>
        <w:t>ie</w:t>
      </w:r>
      <w:r>
        <w:rPr>
          <w:rFonts w:ascii="Arial" w:hAnsi="Arial"/>
          <w:sz w:val="20"/>
        </w:rPr>
        <w:t xml:space="preserve"> verfügbaren Mitteln</w:t>
      </w:r>
      <w:r w:rsidR="009827A8">
        <w:rPr>
          <w:rFonts w:ascii="Arial" w:hAnsi="Arial"/>
          <w:sz w:val="20"/>
        </w:rPr>
        <w:t xml:space="preserve"> abgestimmt werden</w:t>
      </w:r>
      <w:r>
        <w:rPr>
          <w:rFonts w:ascii="Arial" w:hAnsi="Arial"/>
          <w:sz w:val="20"/>
        </w:rPr>
        <w:t xml:space="preserve">. Zu den Themenbereichen </w:t>
      </w:r>
      <w:r w:rsidR="009827A8">
        <w:rPr>
          <w:rFonts w:ascii="Arial" w:hAnsi="Arial"/>
          <w:sz w:val="20"/>
        </w:rPr>
        <w:t xml:space="preserve">von </w:t>
      </w:r>
      <w:r>
        <w:rPr>
          <w:rFonts w:ascii="Arial" w:hAnsi="Arial"/>
          <w:sz w:val="20"/>
        </w:rPr>
        <w:t>Schulung</w:t>
      </w:r>
      <w:r w:rsidR="009827A8">
        <w:rPr>
          <w:rFonts w:ascii="Arial" w:hAnsi="Arial"/>
          <w:sz w:val="20"/>
        </w:rPr>
        <w:t>en</w:t>
      </w:r>
      <w:r>
        <w:rPr>
          <w:rFonts w:ascii="Arial" w:hAnsi="Arial"/>
          <w:sz w:val="20"/>
        </w:rPr>
        <w:t xml:space="preserve"> gehören die potenziellen Nebenwirkungen der </w:t>
      </w:r>
      <w:proofErr w:type="spellStart"/>
      <w:r>
        <w:rPr>
          <w:rFonts w:ascii="Arial" w:hAnsi="Arial"/>
          <w:sz w:val="20"/>
        </w:rPr>
        <w:t>Naloxonanwendung</w:t>
      </w:r>
      <w:proofErr w:type="spellEnd"/>
      <w:r>
        <w:rPr>
          <w:rFonts w:ascii="Arial" w:hAnsi="Arial"/>
          <w:sz w:val="20"/>
        </w:rPr>
        <w:t>, einschließlich de</w:t>
      </w:r>
      <w:r w:rsidR="009827A8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akuten Opi</w:t>
      </w:r>
      <w:r w:rsidR="001324CB">
        <w:rPr>
          <w:rFonts w:ascii="Arial" w:hAnsi="Arial"/>
          <w:sz w:val="20"/>
        </w:rPr>
        <w:t>at</w:t>
      </w:r>
      <w:r>
        <w:rPr>
          <w:rFonts w:ascii="Arial" w:hAnsi="Arial"/>
          <w:sz w:val="20"/>
        </w:rPr>
        <w:t>entzugssymptom</w:t>
      </w:r>
      <w:r w:rsidR="009827A8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und des Risikos </w:t>
      </w:r>
      <w:r w:rsidR="009827A8">
        <w:rPr>
          <w:rFonts w:ascii="Arial" w:hAnsi="Arial"/>
          <w:sz w:val="20"/>
        </w:rPr>
        <w:t>der erneuten</w:t>
      </w:r>
      <w:r>
        <w:rPr>
          <w:rFonts w:ascii="Arial" w:hAnsi="Arial"/>
          <w:sz w:val="20"/>
        </w:rPr>
        <w:t xml:space="preserve"> </w:t>
      </w:r>
      <w:r w:rsidR="009827A8">
        <w:rPr>
          <w:rFonts w:ascii="Arial" w:hAnsi="Arial"/>
          <w:sz w:val="20"/>
        </w:rPr>
        <w:t>Opiati</w:t>
      </w:r>
      <w:r>
        <w:rPr>
          <w:rFonts w:ascii="Arial" w:hAnsi="Arial"/>
          <w:sz w:val="20"/>
        </w:rPr>
        <w:t xml:space="preserve">ntoxikation </w:t>
      </w:r>
      <w:r w:rsidR="009827A8">
        <w:rPr>
          <w:rFonts w:ascii="Arial" w:hAnsi="Arial"/>
          <w:sz w:val="20"/>
        </w:rPr>
        <w:t>wenn die</w:t>
      </w:r>
      <w:r>
        <w:rPr>
          <w:rFonts w:ascii="Arial" w:hAnsi="Arial"/>
          <w:sz w:val="20"/>
        </w:rPr>
        <w:t xml:space="preserve"> Naloxon-Wirkung nachlässt.</w:t>
      </w:r>
    </w:p>
    <w:p w:rsidR="00CE5495" w:rsidRPr="00840DA7" w:rsidRDefault="00CE5495" w:rsidP="0026481E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Bessere Verfügbarkeit, um mehr Leben zu retten</w:t>
      </w:r>
    </w:p>
    <w:p w:rsidR="000621D3" w:rsidRPr="00840DA7" w:rsidRDefault="00BF4F3A" w:rsidP="00BF4F3A">
      <w:pPr>
        <w:pStyle w:val="MaintextstyleBlack"/>
        <w:spacing w:after="260"/>
        <w:rPr>
          <w:rFonts w:cs="Arial"/>
        </w:rPr>
      </w:pPr>
      <w:r>
        <w:t xml:space="preserve">Die Senkung der Zahl tödlicher Überdosierungen </w:t>
      </w:r>
      <w:r w:rsidR="009827A8">
        <w:t>bleibt</w:t>
      </w:r>
      <w:r>
        <w:t xml:space="preserve"> eine wichtige Herausforderung </w:t>
      </w:r>
      <w:r w:rsidR="009C4BBB">
        <w:t>für die</w:t>
      </w:r>
      <w:r>
        <w:t xml:space="preserve"> Gesundheitspolitik. In dem heute veröffentlichten Bericht heißt es: „Dringendes Handeln ist erforderlich, um die Verfügbarkeit von Take-Home-Naloxon zu verbessern“, denn das Antidot ist derzeit in weniger als </w:t>
      </w:r>
      <w:r w:rsidR="009827A8">
        <w:t xml:space="preserve">einem Drittel </w:t>
      </w:r>
      <w:r>
        <w:t>der 28 EU-Mitgliedstaaten verfügbar.</w:t>
      </w:r>
    </w:p>
    <w:p w:rsidR="00FE2469" w:rsidRPr="00840DA7" w:rsidRDefault="00187F41" w:rsidP="00BF4F3A">
      <w:pPr>
        <w:pStyle w:val="MaintextstyleBlack"/>
        <w:spacing w:after="260"/>
      </w:pPr>
      <w:r>
        <w:lastRenderedPageBreak/>
        <w:t>Auch gut 50 Jahre nach der ersten Herstellung bleibt Naloxon weiterhin das Arzneimittel der Wahl für die Behandlung von Opi</w:t>
      </w:r>
      <w:r w:rsidR="009C4BBB">
        <w:t>atü</w:t>
      </w:r>
      <w:r>
        <w:t>berdosi</w:t>
      </w:r>
      <w:r w:rsidR="009C4BBB">
        <w:t>s</w:t>
      </w:r>
      <w:r>
        <w:t xml:space="preserve">. In dem Bericht werden die bisherigen Erfahrungen mit </w:t>
      </w:r>
      <w:r w:rsidR="009C4BBB">
        <w:t xml:space="preserve">dem Einsatz </w:t>
      </w:r>
      <w:r>
        <w:t xml:space="preserve">der Medikation </w:t>
      </w:r>
      <w:r w:rsidR="009C4BBB">
        <w:t xml:space="preserve">durch Laienhelfer </w:t>
      </w:r>
      <w:r>
        <w:t xml:space="preserve">dargestellt, um die aktuelle Wissensbasis für den Entscheidungsprozess </w:t>
      </w:r>
      <w:r w:rsidR="009C4BBB">
        <w:t xml:space="preserve">zu erweitern </w:t>
      </w:r>
      <w:r>
        <w:t xml:space="preserve">und die </w:t>
      </w:r>
      <w:r w:rsidR="000C0B93">
        <w:t>B</w:t>
      </w:r>
      <w:r>
        <w:t>ehandlung</w:t>
      </w:r>
      <w:r w:rsidR="009C4BBB">
        <w:t xml:space="preserve"> </w:t>
      </w:r>
      <w:r w:rsidR="000C0B93">
        <w:t xml:space="preserve">von Drogennotfällen </w:t>
      </w:r>
      <w:r w:rsidR="009C4BBB">
        <w:t>zu verbessern</w:t>
      </w:r>
      <w:r>
        <w:t>.</w:t>
      </w:r>
    </w:p>
    <w:p w:rsidR="006D56A0" w:rsidRPr="0098500B" w:rsidRDefault="006D56A0" w:rsidP="00187F41">
      <w:pPr>
        <w:pStyle w:val="MaintextstyleBlack"/>
        <w:spacing w:after="0" w:line="240" w:lineRule="auto"/>
        <w:rPr>
          <w:b/>
          <w:sz w:val="18"/>
          <w:szCs w:val="18"/>
        </w:rPr>
      </w:pPr>
      <w:r>
        <w:rPr>
          <w:b/>
          <w:sz w:val="18"/>
        </w:rPr>
        <w:t>Anmerkungen</w:t>
      </w:r>
    </w:p>
    <w:p w:rsidR="0098500B" w:rsidRDefault="0098500B" w:rsidP="00187F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6FFB" w:rsidRPr="008155BC" w:rsidRDefault="00D16FFB" w:rsidP="00187F4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 xml:space="preserve">) Weitere Informationen finden Sie unter </w:t>
      </w:r>
      <w:hyperlink r:id="rId10">
        <w:r>
          <w:rPr>
            <w:rStyle w:val="Hyperlink"/>
            <w:sz w:val="18"/>
          </w:rPr>
          <w:t>www.emcdda.europa.eu/publications/insights</w:t>
        </w:r>
      </w:hyperlink>
    </w:p>
    <w:p w:rsidR="000621D3" w:rsidRDefault="00D16FFB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>
        <w:rPr>
          <w:sz w:val="18"/>
        </w:rPr>
        <w:t>(</w:t>
      </w:r>
      <w:r>
        <w:rPr>
          <w:sz w:val="18"/>
          <w:vertAlign w:val="superscript"/>
        </w:rPr>
        <w:t>2</w:t>
      </w:r>
      <w:r>
        <w:rPr>
          <w:sz w:val="18"/>
        </w:rPr>
        <w:t>) Zusätzlich zur Behandlung von Heroin- bzw. Morphin-Überdosierungen wirkt Naloxon auch gegen Atemdepression, die durch andere Opioide, einschließlich Methadon, ausgelöst wird (in Abhängigkeit von der Dosis und dem Verabreichungsweg).</w:t>
      </w:r>
    </w:p>
    <w:p w:rsidR="00BF4F3A" w:rsidRPr="008155BC" w:rsidRDefault="00BF4F3A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>
        <w:rPr>
          <w:sz w:val="18"/>
        </w:rPr>
        <w:t>(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) Weitere Informationen finden Sie unter </w:t>
      </w:r>
      <w:hyperlink r:id="rId11">
        <w:r>
          <w:rPr>
            <w:rStyle w:val="Hyperlink"/>
            <w:sz w:val="18"/>
          </w:rPr>
          <w:t>www.emcdda.europa.eu/best-practice/guidelines</w:t>
        </w:r>
      </w:hyperlink>
    </w:p>
    <w:p w:rsidR="00267B7E" w:rsidRPr="008155BC" w:rsidRDefault="00267B7E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>
        <w:rPr>
          <w:sz w:val="18"/>
        </w:rPr>
        <w:t>(</w:t>
      </w:r>
      <w:r>
        <w:rPr>
          <w:sz w:val="18"/>
          <w:vertAlign w:val="superscript"/>
        </w:rPr>
        <w:t>4</w:t>
      </w:r>
      <w:r>
        <w:rPr>
          <w:sz w:val="18"/>
        </w:rPr>
        <w:t xml:space="preserve">) Obwohl </w:t>
      </w:r>
      <w:r w:rsidR="00F31CA7">
        <w:rPr>
          <w:sz w:val="18"/>
        </w:rPr>
        <w:t xml:space="preserve">das </w:t>
      </w:r>
      <w:r>
        <w:rPr>
          <w:sz w:val="18"/>
        </w:rPr>
        <w:t xml:space="preserve">von </w:t>
      </w:r>
      <w:r w:rsidR="00F31CA7">
        <w:rPr>
          <w:sz w:val="18"/>
        </w:rPr>
        <w:t>Laienhelfern</w:t>
      </w:r>
      <w:r>
        <w:rPr>
          <w:sz w:val="18"/>
        </w:rPr>
        <w:t xml:space="preserve"> verabreichte Naloxon eine potenziell lebensrettende vorläufige Notfallmaßnahme ist, kann es nicht als Ersatz für eine umfassende medizinische Betreuung betrachtet werden (WHO-Leitlinien).</w:t>
      </w:r>
    </w:p>
    <w:p w:rsidR="006F5D36" w:rsidRPr="008155BC" w:rsidRDefault="006F5D36" w:rsidP="00187F41">
      <w:pPr>
        <w:pStyle w:val="MaintextstyleBlack"/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sz w:val="18"/>
        </w:rPr>
        <w:t>(</w:t>
      </w:r>
      <w:r>
        <w:rPr>
          <w:sz w:val="18"/>
          <w:vertAlign w:val="superscript"/>
        </w:rPr>
        <w:t>5</w:t>
      </w:r>
      <w:r>
        <w:rPr>
          <w:sz w:val="18"/>
        </w:rPr>
        <w:t>) Außerhalb der EU wurden in Australien, Kanada und den Vereinigten Staaten Programme eingeführt.</w:t>
      </w:r>
      <w:r>
        <w:rPr>
          <w:color w:val="000000"/>
          <w:sz w:val="18"/>
        </w:rPr>
        <w:t xml:space="preserve"> </w:t>
      </w:r>
      <w:r>
        <w:rPr>
          <w:sz w:val="18"/>
        </w:rPr>
        <w:t>Außerdem sind Pilotprojekte in Afghanistan, China, Georgien, Indien, Kasachstan, Kirgisistan, Tadschikistan, Thailand, der Ukraine und Vietnam im Gange.</w:t>
      </w:r>
    </w:p>
    <w:p w:rsidR="006E2E83" w:rsidRPr="008155BC" w:rsidRDefault="00FE2469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>
        <w:rPr>
          <w:sz w:val="18"/>
        </w:rPr>
        <w:t>(</w:t>
      </w:r>
      <w:r>
        <w:rPr>
          <w:sz w:val="18"/>
          <w:vertAlign w:val="superscript"/>
        </w:rPr>
        <w:t>6</w:t>
      </w:r>
      <w:r>
        <w:rPr>
          <w:sz w:val="18"/>
        </w:rPr>
        <w:t xml:space="preserve">) Weitere Informationen finden Sie unter </w:t>
      </w:r>
      <w:hyperlink r:id="rId12">
        <w:r>
          <w:rPr>
            <w:rStyle w:val="Hyperlink"/>
            <w:sz w:val="18"/>
          </w:rPr>
          <w:t>www.emcdda.europa.eu/news/2015/naloxone</w:t>
        </w:r>
      </w:hyperlink>
    </w:p>
    <w:sectPr w:rsidR="006E2E83" w:rsidRPr="008155BC" w:rsidSect="00187F41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135" w:right="1276" w:bottom="993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E8" w:rsidRDefault="00690FE8" w:rsidP="009A28FB">
      <w:pPr>
        <w:spacing w:after="0" w:line="240" w:lineRule="auto"/>
      </w:pPr>
      <w:r>
        <w:separator/>
      </w:r>
    </w:p>
  </w:endnote>
  <w:endnote w:type="continuationSeparator" w:id="0">
    <w:p w:rsidR="00690FE8" w:rsidRDefault="00690FE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Light"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Medium">
    <w:altName w:val="Trivia Sans Medium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1235E1" w:rsidRPr="00D84457" w:rsidTr="002F4635">
      <w:tc>
        <w:tcPr>
          <w:tcW w:w="1444" w:type="dxa"/>
        </w:tcPr>
        <w:p w:rsidR="001235E1" w:rsidRPr="00D84457" w:rsidRDefault="001235E1" w:rsidP="00D37865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241812D" wp14:editId="06057E7B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>emcdda.europa.eu</w:t>
          </w:r>
        </w:p>
      </w:tc>
      <w:tc>
        <w:tcPr>
          <w:tcW w:w="3294" w:type="dxa"/>
          <w:vAlign w:val="bottom"/>
        </w:tcPr>
        <w:p w:rsidR="001235E1" w:rsidRPr="00D84457" w:rsidRDefault="001235E1" w:rsidP="00BF1E3B">
          <w:pPr>
            <w:pStyle w:val="newsReference"/>
            <w:jc w:val="right"/>
          </w:pPr>
          <w:r w:rsidRPr="00D84457">
            <w:fldChar w:fldCharType="begin"/>
          </w:r>
          <w:r w:rsidRPr="00D84457">
            <w:instrText xml:space="preserve"> PAGE   \* MERGEFORMAT </w:instrText>
          </w:r>
          <w:r w:rsidRPr="00D84457">
            <w:fldChar w:fldCharType="separate"/>
          </w:r>
          <w:r w:rsidR="00182EC4">
            <w:rPr>
              <w:noProof/>
            </w:rPr>
            <w:t>2</w:t>
          </w:r>
          <w:r w:rsidRPr="00D84457">
            <w:rPr>
              <w:noProof/>
            </w:rPr>
            <w:fldChar w:fldCharType="end"/>
          </w:r>
        </w:p>
      </w:tc>
    </w:tr>
  </w:tbl>
  <w:p w:rsidR="001235E1" w:rsidRPr="00D84457" w:rsidRDefault="00123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1235E1" w:rsidRPr="00D84457" w:rsidTr="00255B84">
      <w:tc>
        <w:tcPr>
          <w:tcW w:w="7196" w:type="dxa"/>
        </w:tcPr>
        <w:p w:rsidR="001235E1" w:rsidRPr="00D84457" w:rsidRDefault="001235E1" w:rsidP="00255B84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BD1F413" wp14:editId="608D4A00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Kontakt: Kathy Robertson, Presse- und Öffentlichkeitsarbeit </w:t>
          </w:r>
          <w:r>
            <w:rPr>
              <w:sz w:val="18"/>
            </w:rPr>
            <w:t>I</w:t>
          </w:r>
          <w:r>
            <w:t xml:space="preserve"> Kathryn.Robertson@emcdda.europa.eu </w:t>
          </w:r>
        </w:p>
        <w:p w:rsidR="001235E1" w:rsidRPr="001E16F4" w:rsidRDefault="001235E1" w:rsidP="00255B84">
          <w:pPr>
            <w:pStyle w:val="newsCoordinates"/>
            <w:rPr>
              <w:lang w:val="pt-PT"/>
            </w:rPr>
          </w:pPr>
          <w:r w:rsidRPr="001E16F4">
            <w:rPr>
              <w:lang w:val="pt-PT"/>
            </w:rPr>
            <w:t xml:space="preserve">Praça Europa 1, Cais do Sodré, 1249-289 </w:t>
          </w:r>
          <w:proofErr w:type="spellStart"/>
          <w:r w:rsidRPr="001E16F4">
            <w:rPr>
              <w:lang w:val="pt-PT"/>
            </w:rPr>
            <w:t>Lissabon</w:t>
          </w:r>
          <w:proofErr w:type="spellEnd"/>
          <w:r w:rsidRPr="001E16F4">
            <w:rPr>
              <w:lang w:val="pt-PT"/>
            </w:rPr>
            <w:t xml:space="preserve">, Portugal </w:t>
          </w:r>
        </w:p>
        <w:p w:rsidR="001235E1" w:rsidRPr="00D84457" w:rsidRDefault="001235E1" w:rsidP="00255B84">
          <w:pPr>
            <w:pStyle w:val="newsCoordinates"/>
          </w:pPr>
          <w:r>
            <w:t xml:space="preserve">Tel.: (351) 211 21 02 00 </w:t>
          </w:r>
          <w:r>
            <w:rPr>
              <w:sz w:val="18"/>
            </w:rPr>
            <w:t xml:space="preserve">I </w:t>
          </w:r>
          <w:r>
            <w:t xml:space="preserve">press@emcdda.europa.eu </w:t>
          </w:r>
          <w:r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1235E1" w:rsidRPr="00D84457" w:rsidRDefault="001235E1" w:rsidP="008D1AF3">
          <w:pPr>
            <w:pStyle w:val="newsReference"/>
            <w:jc w:val="right"/>
          </w:pPr>
          <w:r>
            <w:t>DE — Nr. 1/2016</w:t>
          </w:r>
        </w:p>
      </w:tc>
    </w:tr>
  </w:tbl>
  <w:p w:rsidR="001235E1" w:rsidRPr="00D84457" w:rsidRDefault="001235E1" w:rsidP="00BF1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E8" w:rsidRDefault="00690FE8" w:rsidP="009A28FB">
      <w:pPr>
        <w:spacing w:after="0" w:line="240" w:lineRule="auto"/>
      </w:pPr>
      <w:r>
        <w:separator/>
      </w:r>
    </w:p>
  </w:footnote>
  <w:footnote w:type="continuationSeparator" w:id="0">
    <w:p w:rsidR="00690FE8" w:rsidRDefault="00690FE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1235E1" w:rsidTr="00BF1E3B">
      <w:tc>
        <w:tcPr>
          <w:tcW w:w="7196" w:type="dxa"/>
        </w:tcPr>
        <w:p w:rsidR="001235E1" w:rsidRDefault="001235E1" w:rsidP="00BF15E0">
          <w:pPr>
            <w:pStyle w:val="newsEmbargo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007A042" wp14:editId="0F9BACD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BF15E0" w:rsidRPr="00BF15E0">
            <w:t xml:space="preserve">Prävention </w:t>
          </w:r>
          <w:r w:rsidR="00BF15E0" w:rsidRPr="00BF15E0">
            <w:rPr>
              <w:color w:val="auto"/>
            </w:rPr>
            <w:t>von opiatbedingen Todesfällen durch Naloxon-Vergabeprogramme</w:t>
          </w:r>
        </w:p>
      </w:tc>
      <w:tc>
        <w:tcPr>
          <w:tcW w:w="3294" w:type="dxa"/>
          <w:vAlign w:val="bottom"/>
        </w:tcPr>
        <w:p w:rsidR="001235E1" w:rsidRDefault="00B07154" w:rsidP="008D1AF3">
          <w:pPr>
            <w:pStyle w:val="newsReference"/>
            <w:jc w:val="right"/>
          </w:pPr>
          <w:r>
            <w:t>18</w:t>
          </w:r>
          <w:r w:rsidR="001235E1">
            <w:t>.1.2016</w:t>
          </w:r>
        </w:p>
      </w:tc>
    </w:tr>
  </w:tbl>
  <w:p w:rsidR="001235E1" w:rsidRDefault="001235E1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7F"/>
    <w:rsid w:val="00000FC3"/>
    <w:rsid w:val="00014E8E"/>
    <w:rsid w:val="00020B05"/>
    <w:rsid w:val="000269BB"/>
    <w:rsid w:val="00035C66"/>
    <w:rsid w:val="00036DAA"/>
    <w:rsid w:val="000500EF"/>
    <w:rsid w:val="00051F37"/>
    <w:rsid w:val="000535B7"/>
    <w:rsid w:val="000566BE"/>
    <w:rsid w:val="00057F4E"/>
    <w:rsid w:val="000621D3"/>
    <w:rsid w:val="00067DD3"/>
    <w:rsid w:val="00073411"/>
    <w:rsid w:val="000973E0"/>
    <w:rsid w:val="000A5667"/>
    <w:rsid w:val="000C0B93"/>
    <w:rsid w:val="000C6200"/>
    <w:rsid w:val="000D647E"/>
    <w:rsid w:val="000E38E4"/>
    <w:rsid w:val="00105BFC"/>
    <w:rsid w:val="00107C96"/>
    <w:rsid w:val="001235E1"/>
    <w:rsid w:val="001324CB"/>
    <w:rsid w:val="0014568E"/>
    <w:rsid w:val="00173D37"/>
    <w:rsid w:val="0017713E"/>
    <w:rsid w:val="001800D0"/>
    <w:rsid w:val="00182EC4"/>
    <w:rsid w:val="00187F41"/>
    <w:rsid w:val="00193094"/>
    <w:rsid w:val="00194A4C"/>
    <w:rsid w:val="001967AB"/>
    <w:rsid w:val="001A03E8"/>
    <w:rsid w:val="001A1917"/>
    <w:rsid w:val="001A3338"/>
    <w:rsid w:val="001A459A"/>
    <w:rsid w:val="001C795A"/>
    <w:rsid w:val="001D4466"/>
    <w:rsid w:val="001D5C26"/>
    <w:rsid w:val="001E0796"/>
    <w:rsid w:val="001E16F4"/>
    <w:rsid w:val="001E1CDC"/>
    <w:rsid w:val="001F70B4"/>
    <w:rsid w:val="002126B6"/>
    <w:rsid w:val="00221F6B"/>
    <w:rsid w:val="00223753"/>
    <w:rsid w:val="00240A44"/>
    <w:rsid w:val="002557B0"/>
    <w:rsid w:val="00255B84"/>
    <w:rsid w:val="002646E4"/>
    <w:rsid w:val="0026481E"/>
    <w:rsid w:val="00267B7E"/>
    <w:rsid w:val="0027252D"/>
    <w:rsid w:val="002759A2"/>
    <w:rsid w:val="0028141E"/>
    <w:rsid w:val="00291898"/>
    <w:rsid w:val="002948E2"/>
    <w:rsid w:val="002A108E"/>
    <w:rsid w:val="002A61F7"/>
    <w:rsid w:val="002B05CE"/>
    <w:rsid w:val="002B45AC"/>
    <w:rsid w:val="002D09D4"/>
    <w:rsid w:val="002D70DE"/>
    <w:rsid w:val="002E338F"/>
    <w:rsid w:val="002E7CF0"/>
    <w:rsid w:val="002F3696"/>
    <w:rsid w:val="002F4635"/>
    <w:rsid w:val="003264CD"/>
    <w:rsid w:val="0033158E"/>
    <w:rsid w:val="003414F4"/>
    <w:rsid w:val="0036121D"/>
    <w:rsid w:val="00361436"/>
    <w:rsid w:val="00363669"/>
    <w:rsid w:val="00387D02"/>
    <w:rsid w:val="003B0CFA"/>
    <w:rsid w:val="003B41B1"/>
    <w:rsid w:val="003C0395"/>
    <w:rsid w:val="003E7EB1"/>
    <w:rsid w:val="003F44C4"/>
    <w:rsid w:val="003F73AC"/>
    <w:rsid w:val="00405E8C"/>
    <w:rsid w:val="00406914"/>
    <w:rsid w:val="004137B0"/>
    <w:rsid w:val="004221D3"/>
    <w:rsid w:val="0042354B"/>
    <w:rsid w:val="00425B49"/>
    <w:rsid w:val="0044111C"/>
    <w:rsid w:val="00444F9B"/>
    <w:rsid w:val="00445080"/>
    <w:rsid w:val="0045468D"/>
    <w:rsid w:val="0046119F"/>
    <w:rsid w:val="00467360"/>
    <w:rsid w:val="004748BA"/>
    <w:rsid w:val="004847FB"/>
    <w:rsid w:val="004A5932"/>
    <w:rsid w:val="004B2A25"/>
    <w:rsid w:val="004B330A"/>
    <w:rsid w:val="004C3028"/>
    <w:rsid w:val="004C64DF"/>
    <w:rsid w:val="004D6E0C"/>
    <w:rsid w:val="004E46FB"/>
    <w:rsid w:val="004F2978"/>
    <w:rsid w:val="004F6951"/>
    <w:rsid w:val="00520EF1"/>
    <w:rsid w:val="00521C23"/>
    <w:rsid w:val="0052637D"/>
    <w:rsid w:val="00542CEE"/>
    <w:rsid w:val="00544E47"/>
    <w:rsid w:val="00575859"/>
    <w:rsid w:val="00593633"/>
    <w:rsid w:val="005A0DC8"/>
    <w:rsid w:val="005A69AF"/>
    <w:rsid w:val="005B05A0"/>
    <w:rsid w:val="005B0882"/>
    <w:rsid w:val="005B1B63"/>
    <w:rsid w:val="005C4033"/>
    <w:rsid w:val="005D1A69"/>
    <w:rsid w:val="005D7413"/>
    <w:rsid w:val="005E0E3B"/>
    <w:rsid w:val="006116D9"/>
    <w:rsid w:val="00623A55"/>
    <w:rsid w:val="006345E6"/>
    <w:rsid w:val="0063677C"/>
    <w:rsid w:val="00637053"/>
    <w:rsid w:val="006557EC"/>
    <w:rsid w:val="00666A63"/>
    <w:rsid w:val="00672271"/>
    <w:rsid w:val="00687761"/>
    <w:rsid w:val="00690FE8"/>
    <w:rsid w:val="006A473A"/>
    <w:rsid w:val="006A5514"/>
    <w:rsid w:val="006D22FC"/>
    <w:rsid w:val="006D56A0"/>
    <w:rsid w:val="006E2E83"/>
    <w:rsid w:val="006F0842"/>
    <w:rsid w:val="006F5D36"/>
    <w:rsid w:val="006F65C7"/>
    <w:rsid w:val="006F69D3"/>
    <w:rsid w:val="007132B5"/>
    <w:rsid w:val="00713EE5"/>
    <w:rsid w:val="00721DCD"/>
    <w:rsid w:val="00723313"/>
    <w:rsid w:val="00730132"/>
    <w:rsid w:val="0074043F"/>
    <w:rsid w:val="007439AA"/>
    <w:rsid w:val="00746B3A"/>
    <w:rsid w:val="00751866"/>
    <w:rsid w:val="00773814"/>
    <w:rsid w:val="00791F09"/>
    <w:rsid w:val="007B0E03"/>
    <w:rsid w:val="007B1CCD"/>
    <w:rsid w:val="007D74FA"/>
    <w:rsid w:val="00806053"/>
    <w:rsid w:val="0081367F"/>
    <w:rsid w:val="00813FB5"/>
    <w:rsid w:val="008155BC"/>
    <w:rsid w:val="00826804"/>
    <w:rsid w:val="00840D40"/>
    <w:rsid w:val="00840DA7"/>
    <w:rsid w:val="00841E86"/>
    <w:rsid w:val="008449A5"/>
    <w:rsid w:val="00881730"/>
    <w:rsid w:val="00892B45"/>
    <w:rsid w:val="00895C8A"/>
    <w:rsid w:val="00896AB3"/>
    <w:rsid w:val="008C1172"/>
    <w:rsid w:val="008C5CB7"/>
    <w:rsid w:val="008D1AF3"/>
    <w:rsid w:val="008D54B3"/>
    <w:rsid w:val="008F177B"/>
    <w:rsid w:val="008F399E"/>
    <w:rsid w:val="0090147F"/>
    <w:rsid w:val="00902300"/>
    <w:rsid w:val="0090549D"/>
    <w:rsid w:val="009059B3"/>
    <w:rsid w:val="00906CD1"/>
    <w:rsid w:val="00913C99"/>
    <w:rsid w:val="009316DD"/>
    <w:rsid w:val="00933371"/>
    <w:rsid w:val="00952E8E"/>
    <w:rsid w:val="009543CB"/>
    <w:rsid w:val="00955712"/>
    <w:rsid w:val="00955F0C"/>
    <w:rsid w:val="00962276"/>
    <w:rsid w:val="009642C0"/>
    <w:rsid w:val="00974A27"/>
    <w:rsid w:val="009827A8"/>
    <w:rsid w:val="0098500B"/>
    <w:rsid w:val="00985AF1"/>
    <w:rsid w:val="009A28FB"/>
    <w:rsid w:val="009B6F20"/>
    <w:rsid w:val="009B7560"/>
    <w:rsid w:val="009C4BBB"/>
    <w:rsid w:val="009D6255"/>
    <w:rsid w:val="009E427A"/>
    <w:rsid w:val="009F0118"/>
    <w:rsid w:val="009F2F05"/>
    <w:rsid w:val="009F399D"/>
    <w:rsid w:val="009F4FB0"/>
    <w:rsid w:val="009F657B"/>
    <w:rsid w:val="00A02C06"/>
    <w:rsid w:val="00A0788A"/>
    <w:rsid w:val="00A16B77"/>
    <w:rsid w:val="00A300B6"/>
    <w:rsid w:val="00A311EF"/>
    <w:rsid w:val="00A3254D"/>
    <w:rsid w:val="00A661E2"/>
    <w:rsid w:val="00A67193"/>
    <w:rsid w:val="00A67E40"/>
    <w:rsid w:val="00A74111"/>
    <w:rsid w:val="00A8407D"/>
    <w:rsid w:val="00A856B7"/>
    <w:rsid w:val="00A91484"/>
    <w:rsid w:val="00A92FDC"/>
    <w:rsid w:val="00AB6C13"/>
    <w:rsid w:val="00AC7A46"/>
    <w:rsid w:val="00AD2444"/>
    <w:rsid w:val="00AD6CBC"/>
    <w:rsid w:val="00AD7BFC"/>
    <w:rsid w:val="00AE093C"/>
    <w:rsid w:val="00AE1738"/>
    <w:rsid w:val="00AE30BD"/>
    <w:rsid w:val="00AF13B3"/>
    <w:rsid w:val="00AF259D"/>
    <w:rsid w:val="00AF7C1F"/>
    <w:rsid w:val="00B00F71"/>
    <w:rsid w:val="00B045F4"/>
    <w:rsid w:val="00B07154"/>
    <w:rsid w:val="00B11B73"/>
    <w:rsid w:val="00B22F43"/>
    <w:rsid w:val="00B24BD6"/>
    <w:rsid w:val="00B25554"/>
    <w:rsid w:val="00B2725E"/>
    <w:rsid w:val="00B272F1"/>
    <w:rsid w:val="00B515D2"/>
    <w:rsid w:val="00B51E08"/>
    <w:rsid w:val="00B550E7"/>
    <w:rsid w:val="00B57464"/>
    <w:rsid w:val="00B61036"/>
    <w:rsid w:val="00B72DD3"/>
    <w:rsid w:val="00B7335C"/>
    <w:rsid w:val="00B811C1"/>
    <w:rsid w:val="00B835F8"/>
    <w:rsid w:val="00B84FFD"/>
    <w:rsid w:val="00B95BD5"/>
    <w:rsid w:val="00B97BC5"/>
    <w:rsid w:val="00BB0794"/>
    <w:rsid w:val="00BB5651"/>
    <w:rsid w:val="00BB60CF"/>
    <w:rsid w:val="00BC3E15"/>
    <w:rsid w:val="00BC59C2"/>
    <w:rsid w:val="00BF15E0"/>
    <w:rsid w:val="00BF1E3B"/>
    <w:rsid w:val="00BF4F3A"/>
    <w:rsid w:val="00BF6ED1"/>
    <w:rsid w:val="00C001A5"/>
    <w:rsid w:val="00C00F38"/>
    <w:rsid w:val="00C17AEA"/>
    <w:rsid w:val="00C30D55"/>
    <w:rsid w:val="00C36147"/>
    <w:rsid w:val="00C36BC1"/>
    <w:rsid w:val="00C46863"/>
    <w:rsid w:val="00C628C4"/>
    <w:rsid w:val="00C63254"/>
    <w:rsid w:val="00C63BD7"/>
    <w:rsid w:val="00C874C0"/>
    <w:rsid w:val="00CA2FF5"/>
    <w:rsid w:val="00CA3769"/>
    <w:rsid w:val="00CA47CB"/>
    <w:rsid w:val="00CB49DA"/>
    <w:rsid w:val="00CC1F19"/>
    <w:rsid w:val="00CC4FDA"/>
    <w:rsid w:val="00CC6A8B"/>
    <w:rsid w:val="00CC6D11"/>
    <w:rsid w:val="00CE391C"/>
    <w:rsid w:val="00CE5495"/>
    <w:rsid w:val="00CF1F71"/>
    <w:rsid w:val="00D01335"/>
    <w:rsid w:val="00D0143C"/>
    <w:rsid w:val="00D03EC6"/>
    <w:rsid w:val="00D066E6"/>
    <w:rsid w:val="00D16FFB"/>
    <w:rsid w:val="00D230CA"/>
    <w:rsid w:val="00D3312B"/>
    <w:rsid w:val="00D37865"/>
    <w:rsid w:val="00D55CE1"/>
    <w:rsid w:val="00D57367"/>
    <w:rsid w:val="00D60097"/>
    <w:rsid w:val="00D71673"/>
    <w:rsid w:val="00D80048"/>
    <w:rsid w:val="00D84457"/>
    <w:rsid w:val="00D84AE3"/>
    <w:rsid w:val="00D86903"/>
    <w:rsid w:val="00D87509"/>
    <w:rsid w:val="00D92A34"/>
    <w:rsid w:val="00DB73FD"/>
    <w:rsid w:val="00DC13CB"/>
    <w:rsid w:val="00DD14AC"/>
    <w:rsid w:val="00DE70BF"/>
    <w:rsid w:val="00DE7734"/>
    <w:rsid w:val="00E05F32"/>
    <w:rsid w:val="00E31BEB"/>
    <w:rsid w:val="00E321BA"/>
    <w:rsid w:val="00E3647B"/>
    <w:rsid w:val="00E41C8E"/>
    <w:rsid w:val="00E43B13"/>
    <w:rsid w:val="00E57C9D"/>
    <w:rsid w:val="00E6029A"/>
    <w:rsid w:val="00E66CCD"/>
    <w:rsid w:val="00E81F3D"/>
    <w:rsid w:val="00E83FC3"/>
    <w:rsid w:val="00EB0E35"/>
    <w:rsid w:val="00EB16B2"/>
    <w:rsid w:val="00ED75AF"/>
    <w:rsid w:val="00EE23CC"/>
    <w:rsid w:val="00EE4FFC"/>
    <w:rsid w:val="00EF01D5"/>
    <w:rsid w:val="00F06CDE"/>
    <w:rsid w:val="00F079A0"/>
    <w:rsid w:val="00F108A6"/>
    <w:rsid w:val="00F21CA9"/>
    <w:rsid w:val="00F24096"/>
    <w:rsid w:val="00F31CA7"/>
    <w:rsid w:val="00F34A75"/>
    <w:rsid w:val="00F414EF"/>
    <w:rsid w:val="00F463A6"/>
    <w:rsid w:val="00F47542"/>
    <w:rsid w:val="00F63E33"/>
    <w:rsid w:val="00F7025C"/>
    <w:rsid w:val="00F741DB"/>
    <w:rsid w:val="00F90D54"/>
    <w:rsid w:val="00FB351B"/>
    <w:rsid w:val="00FB44BC"/>
    <w:rsid w:val="00FC0187"/>
    <w:rsid w:val="00FC4683"/>
    <w:rsid w:val="00FD201B"/>
    <w:rsid w:val="00FE2469"/>
    <w:rsid w:val="00FE29D6"/>
    <w:rsid w:val="00FE3721"/>
    <w:rsid w:val="00FE4789"/>
    <w:rsid w:val="00FE7386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073411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D0143C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126B6"/>
    <w:pPr>
      <w:spacing w:line="241" w:lineRule="atLeast"/>
    </w:pPr>
    <w:rPr>
      <w:rFonts w:ascii="Trivia Sans Light" w:hAnsi="Trivia Sans Light" w:cstheme="minorBidi"/>
      <w:color w:val="auto"/>
    </w:rPr>
  </w:style>
  <w:style w:type="character" w:customStyle="1" w:styleId="A9">
    <w:name w:val="A9"/>
    <w:uiPriority w:val="99"/>
    <w:rsid w:val="002126B6"/>
    <w:rPr>
      <w:rFonts w:cs="Trivia Sans Light"/>
      <w:color w:val="525252"/>
      <w:sz w:val="15"/>
      <w:szCs w:val="15"/>
    </w:rPr>
  </w:style>
  <w:style w:type="character" w:customStyle="1" w:styleId="A7">
    <w:name w:val="A7"/>
    <w:uiPriority w:val="99"/>
    <w:rsid w:val="002126B6"/>
    <w:rPr>
      <w:rFonts w:ascii="Trivia Sans Medium" w:hAnsi="Trivia Sans Medium" w:cs="Trivia Sans Medium"/>
      <w:color w:val="949494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A5514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6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52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073411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D0143C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126B6"/>
    <w:pPr>
      <w:spacing w:line="241" w:lineRule="atLeast"/>
    </w:pPr>
    <w:rPr>
      <w:rFonts w:ascii="Trivia Sans Light" w:hAnsi="Trivia Sans Light" w:cstheme="minorBidi"/>
      <w:color w:val="auto"/>
    </w:rPr>
  </w:style>
  <w:style w:type="character" w:customStyle="1" w:styleId="A9">
    <w:name w:val="A9"/>
    <w:uiPriority w:val="99"/>
    <w:rsid w:val="002126B6"/>
    <w:rPr>
      <w:rFonts w:cs="Trivia Sans Light"/>
      <w:color w:val="525252"/>
      <w:sz w:val="15"/>
      <w:szCs w:val="15"/>
    </w:rPr>
  </w:style>
  <w:style w:type="character" w:customStyle="1" w:styleId="A7">
    <w:name w:val="A7"/>
    <w:uiPriority w:val="99"/>
    <w:rsid w:val="002126B6"/>
    <w:rPr>
      <w:rFonts w:ascii="Trivia Sans Medium" w:hAnsi="Trivia Sans Medium" w:cs="Trivia Sans Medium"/>
      <w:color w:val="949494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A5514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6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5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mcdda.europa.eu/news/2015/naloxo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best-practice/guidelin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mcdda.europa.eu/publications/insigh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3026-7413-4BEE-9C6E-62C52A4F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7171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Manager>EMCDDA</Manager>
  <Company>EMCDDA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keywords>News release EN</cp:keywords>
  <cp:lastModifiedBy>Olga Kalomenidu</cp:lastModifiedBy>
  <cp:revision>2</cp:revision>
  <cp:lastPrinted>2016-01-15T10:32:00Z</cp:lastPrinted>
  <dcterms:created xsi:type="dcterms:W3CDTF">2016-01-20T09:36:00Z</dcterms:created>
  <dcterms:modified xsi:type="dcterms:W3CDTF">2016-01-20T09:36:00Z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