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56B47" w:rsidTr="001F70B4">
        <w:trPr>
          <w:trHeight w:val="1695"/>
        </w:trPr>
        <w:tc>
          <w:tcPr>
            <w:tcW w:w="2331" w:type="pct"/>
          </w:tcPr>
          <w:p w:rsidR="00EE23CC" w:rsidRPr="00F56B47" w:rsidRDefault="00E90AC8" w:rsidP="00EE23CC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17C4A072" wp14:editId="6D4BEAB0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56B47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56B47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56B47" w:rsidRDefault="00E90AC8" w:rsidP="001F70B4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39B42CA9" wp14:editId="5022317A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1D3" w:rsidRPr="000718D4" w:rsidRDefault="00D16FFB" w:rsidP="0026481E">
      <w:pPr>
        <w:pStyle w:val="newsTitle"/>
        <w:keepNext/>
        <w:spacing w:before="160"/>
        <w:rPr>
          <w:sz w:val="20"/>
          <w:szCs w:val="20"/>
        </w:rPr>
      </w:pPr>
      <w:r w:rsidRPr="000718D4">
        <w:rPr>
          <w:sz w:val="20"/>
          <w:szCs w:val="20"/>
        </w:rPr>
        <w:t xml:space="preserve">prevenção </w:t>
      </w:r>
      <w:r w:rsidR="000718D4" w:rsidRPr="000718D4">
        <w:rPr>
          <w:sz w:val="20"/>
          <w:szCs w:val="20"/>
        </w:rPr>
        <w:t xml:space="preserve">de </w:t>
      </w:r>
      <w:r w:rsidRPr="000718D4">
        <w:rPr>
          <w:i/>
          <w:sz w:val="20"/>
          <w:szCs w:val="20"/>
        </w:rPr>
        <w:t>overdose</w:t>
      </w:r>
      <w:r w:rsidRPr="000718D4">
        <w:rPr>
          <w:sz w:val="20"/>
          <w:szCs w:val="20"/>
        </w:rPr>
        <w:t xml:space="preserve"> </w:t>
      </w:r>
      <w:r w:rsidR="00DF2377" w:rsidRPr="000718D4">
        <w:rPr>
          <w:sz w:val="20"/>
          <w:szCs w:val="20"/>
        </w:rPr>
        <w:t xml:space="preserve">DE OPIÁCEOS </w:t>
      </w:r>
      <w:r w:rsidRPr="000718D4">
        <w:rPr>
          <w:sz w:val="20"/>
          <w:szCs w:val="20"/>
        </w:rPr>
        <w:t>com naloxona para utilização no domicílio</w:t>
      </w:r>
    </w:p>
    <w:p w:rsidR="002D70DE" w:rsidRPr="00F56B47" w:rsidRDefault="00D16FFB" w:rsidP="0026481E">
      <w:pPr>
        <w:pStyle w:val="newsSubTitle"/>
        <w:keepNext/>
        <w:rPr>
          <w:sz w:val="22"/>
        </w:rPr>
      </w:pPr>
      <w:proofErr w:type="gramStart"/>
      <w:r w:rsidRPr="00F56B47">
        <w:rPr>
          <w:sz w:val="22"/>
        </w:rPr>
        <w:t xml:space="preserve">Novas </w:t>
      </w:r>
      <w:proofErr w:type="spellStart"/>
      <w:r w:rsidRPr="00F56B47">
        <w:rPr>
          <w:sz w:val="22"/>
        </w:rPr>
        <w:t>perspetivas</w:t>
      </w:r>
      <w:proofErr w:type="spellEnd"/>
      <w:r w:rsidRPr="00F56B47">
        <w:rPr>
          <w:sz w:val="22"/>
        </w:rPr>
        <w:t xml:space="preserve"> do EMCDDA sobre a </w:t>
      </w:r>
      <w:proofErr w:type="spellStart"/>
      <w:r w:rsidRPr="00F56B47">
        <w:rPr>
          <w:sz w:val="22"/>
        </w:rPr>
        <w:t>naloxona</w:t>
      </w:r>
      <w:proofErr w:type="spellEnd"/>
      <w:r w:rsidRPr="00F56B47">
        <w:rPr>
          <w:sz w:val="22"/>
        </w:rPr>
        <w:t xml:space="preserve">, o antídoto para </w:t>
      </w:r>
      <w:r w:rsidR="00DF2377">
        <w:rPr>
          <w:sz w:val="22"/>
        </w:rPr>
        <w:t xml:space="preserve">a </w:t>
      </w:r>
      <w:r w:rsidRPr="00F56B47">
        <w:rPr>
          <w:i/>
          <w:sz w:val="22"/>
        </w:rPr>
        <w:t>overdose</w:t>
      </w:r>
      <w:r w:rsidRPr="00F56B47">
        <w:rPr>
          <w:sz w:val="22"/>
        </w:rPr>
        <w:t xml:space="preserve"> que pode ajudar a salvar</w:t>
      </w:r>
      <w:proofErr w:type="gramEnd"/>
      <w:r w:rsidRPr="00F56B47">
        <w:rPr>
          <w:sz w:val="22"/>
        </w:rPr>
        <w:t xml:space="preserve"> vidas</w:t>
      </w:r>
    </w:p>
    <w:p w:rsidR="00B84FFD" w:rsidRPr="00F56B47" w:rsidRDefault="00073411" w:rsidP="00A16B77">
      <w:pPr>
        <w:pStyle w:val="newsContent"/>
        <w:rPr>
          <w:color w:val="auto"/>
          <w:szCs w:val="20"/>
        </w:rPr>
      </w:pPr>
      <w:r w:rsidRPr="000718D4">
        <w:rPr>
          <w:color w:val="auto"/>
        </w:rPr>
        <w:t>(</w:t>
      </w:r>
      <w:r w:rsidR="000718D4" w:rsidRPr="000718D4">
        <w:rPr>
          <w:color w:val="auto"/>
        </w:rPr>
        <w:t>18</w:t>
      </w:r>
      <w:r w:rsidRPr="000718D4">
        <w:rPr>
          <w:color w:val="auto"/>
        </w:rPr>
        <w:t>.</w:t>
      </w:r>
      <w:r w:rsidRPr="00F56B47">
        <w:rPr>
          <w:color w:val="auto"/>
        </w:rPr>
        <w:t xml:space="preserve">1.2016, LISBOA) </w:t>
      </w:r>
      <w:r w:rsidR="00A961FA">
        <w:rPr>
          <w:color w:val="auto"/>
        </w:rPr>
        <w:t>Registam-se t</w:t>
      </w:r>
      <w:r w:rsidRPr="00F56B47">
        <w:rPr>
          <w:color w:val="auto"/>
        </w:rPr>
        <w:t xml:space="preserve">odos os </w:t>
      </w:r>
      <w:r w:rsidR="000718D4" w:rsidRPr="00F56B47">
        <w:rPr>
          <w:color w:val="auto"/>
        </w:rPr>
        <w:t xml:space="preserve">anos </w:t>
      </w:r>
      <w:r w:rsidRPr="00F56B47">
        <w:rPr>
          <w:color w:val="auto"/>
        </w:rPr>
        <w:t>na Europa entre 6000 e 8000 mortes</w:t>
      </w:r>
      <w:r w:rsidR="00DF2377">
        <w:rPr>
          <w:color w:val="auto"/>
        </w:rPr>
        <w:t xml:space="preserve"> relacionadas com a droga,</w:t>
      </w:r>
      <w:r w:rsidRPr="00F56B47">
        <w:rPr>
          <w:color w:val="auto"/>
        </w:rPr>
        <w:t xml:space="preserve"> </w:t>
      </w:r>
      <w:r w:rsidR="00DF2377">
        <w:rPr>
          <w:color w:val="auto"/>
        </w:rPr>
        <w:t>com</w:t>
      </w:r>
      <w:r w:rsidRPr="00F56B47">
        <w:rPr>
          <w:color w:val="auto"/>
        </w:rPr>
        <w:t xml:space="preserve"> opiáceos, como a heroína, presente na maioria dos casos de </w:t>
      </w:r>
      <w:proofErr w:type="gramStart"/>
      <w:r w:rsidRPr="00F56B47">
        <w:rPr>
          <w:i/>
          <w:color w:val="auto"/>
        </w:rPr>
        <w:t>overdose</w:t>
      </w:r>
      <w:proofErr w:type="gramEnd"/>
      <w:r w:rsidRPr="00F56B47">
        <w:rPr>
          <w:color w:val="auto"/>
        </w:rPr>
        <w:t xml:space="preserve">. </w:t>
      </w:r>
      <w:r w:rsidR="00EF4ECB">
        <w:rPr>
          <w:color w:val="auto"/>
        </w:rPr>
        <w:t>No entanto</w:t>
      </w:r>
      <w:r w:rsidRPr="00F56B47">
        <w:rPr>
          <w:color w:val="auto"/>
        </w:rPr>
        <w:t xml:space="preserve">, </w:t>
      </w:r>
      <w:r w:rsidR="00EF4ECB">
        <w:rPr>
          <w:color w:val="auto"/>
        </w:rPr>
        <w:t xml:space="preserve">com </w:t>
      </w:r>
      <w:r w:rsidRPr="00F56B47">
        <w:rPr>
          <w:color w:val="auto"/>
        </w:rPr>
        <w:t xml:space="preserve">uma intervenção </w:t>
      </w:r>
      <w:r w:rsidR="000718D4" w:rsidRPr="00F56B47">
        <w:rPr>
          <w:color w:val="auto"/>
        </w:rPr>
        <w:t>adequada</w:t>
      </w:r>
      <w:r w:rsidR="000718D4">
        <w:rPr>
          <w:color w:val="auto"/>
        </w:rPr>
        <w:t xml:space="preserve"> </w:t>
      </w:r>
      <w:r w:rsidR="00A961FA">
        <w:rPr>
          <w:color w:val="auto"/>
        </w:rPr>
        <w:t xml:space="preserve">e </w:t>
      </w:r>
      <w:r w:rsidR="000718D4" w:rsidRPr="00F56B47">
        <w:rPr>
          <w:color w:val="auto"/>
        </w:rPr>
        <w:t>com</w:t>
      </w:r>
      <w:r w:rsidR="00EF4ECB">
        <w:rPr>
          <w:color w:val="auto"/>
        </w:rPr>
        <w:t xml:space="preserve"> a ajuda da</w:t>
      </w:r>
      <w:r w:rsidRPr="00F56B47">
        <w:rPr>
          <w:color w:val="auto"/>
        </w:rPr>
        <w:t xml:space="preserve"> </w:t>
      </w:r>
      <w:proofErr w:type="spellStart"/>
      <w:r w:rsidRPr="00F56B47">
        <w:rPr>
          <w:color w:val="auto"/>
        </w:rPr>
        <w:t>naloxona</w:t>
      </w:r>
      <w:proofErr w:type="spellEnd"/>
      <w:r w:rsidRPr="00F56B47">
        <w:rPr>
          <w:color w:val="auto"/>
        </w:rPr>
        <w:t xml:space="preserve">, um fármaco capaz de reverter </w:t>
      </w:r>
      <w:r w:rsidR="00DF2377">
        <w:rPr>
          <w:color w:val="auto"/>
        </w:rPr>
        <w:t>os efeitos de</w:t>
      </w:r>
      <w:r w:rsidRPr="00F56B47">
        <w:rPr>
          <w:color w:val="auto"/>
        </w:rPr>
        <w:t xml:space="preserve"> </w:t>
      </w:r>
      <w:proofErr w:type="gramStart"/>
      <w:r w:rsidRPr="00F56B47">
        <w:rPr>
          <w:i/>
          <w:color w:val="auto"/>
        </w:rPr>
        <w:t>overdose</w:t>
      </w:r>
      <w:proofErr w:type="gramEnd"/>
      <w:r w:rsidRPr="00F56B47">
        <w:rPr>
          <w:color w:val="auto"/>
        </w:rPr>
        <w:t>, muitas des</w:t>
      </w:r>
      <w:r w:rsidR="00EF4ECB">
        <w:rPr>
          <w:color w:val="auto"/>
        </w:rPr>
        <w:t>t</w:t>
      </w:r>
      <w:r w:rsidRPr="00F56B47">
        <w:rPr>
          <w:color w:val="auto"/>
        </w:rPr>
        <w:t>as mortes</w:t>
      </w:r>
      <w:r w:rsidR="00EF4ECB">
        <w:rPr>
          <w:color w:val="auto"/>
        </w:rPr>
        <w:t xml:space="preserve"> podem ser evitadas</w:t>
      </w:r>
      <w:r w:rsidRPr="00F56B47">
        <w:rPr>
          <w:color w:val="auto"/>
        </w:rPr>
        <w:t>. Esta questão é hoje analisada num novo relatório do</w:t>
      </w:r>
      <w:r w:rsidRPr="00F56B47">
        <w:rPr>
          <w:b/>
          <w:color w:val="auto"/>
        </w:rPr>
        <w:t xml:space="preserve"> Observatório Europeu da Droga e da </w:t>
      </w:r>
      <w:r w:rsidR="00DF2377">
        <w:rPr>
          <w:b/>
          <w:color w:val="auto"/>
        </w:rPr>
        <w:t>T</w:t>
      </w:r>
      <w:r w:rsidRPr="00F56B47">
        <w:rPr>
          <w:b/>
          <w:color w:val="auto"/>
        </w:rPr>
        <w:t>oxicodependência (EMCDDA)</w:t>
      </w:r>
      <w:r w:rsidRPr="00F56B47">
        <w:rPr>
          <w:color w:val="auto"/>
        </w:rPr>
        <w:t xml:space="preserve"> intitulado </w:t>
      </w:r>
      <w:r w:rsidRPr="00F56B47">
        <w:rPr>
          <w:b/>
          <w:i/>
          <w:color w:val="auto"/>
        </w:rPr>
        <w:t xml:space="preserve">Prevenção de mortes por </w:t>
      </w:r>
      <w:proofErr w:type="gramStart"/>
      <w:r w:rsidRPr="00F56B47">
        <w:rPr>
          <w:b/>
          <w:i/>
          <w:color w:val="auto"/>
        </w:rPr>
        <w:t>overdose</w:t>
      </w:r>
      <w:proofErr w:type="gramEnd"/>
      <w:r w:rsidR="00EF4ECB">
        <w:rPr>
          <w:b/>
          <w:i/>
          <w:color w:val="auto"/>
        </w:rPr>
        <w:t xml:space="preserve"> de opiáceos</w:t>
      </w:r>
      <w:r w:rsidRPr="00F56B47">
        <w:rPr>
          <w:b/>
          <w:i/>
          <w:color w:val="auto"/>
        </w:rPr>
        <w:t xml:space="preserve"> com </w:t>
      </w:r>
      <w:proofErr w:type="spellStart"/>
      <w:r w:rsidRPr="00F56B47">
        <w:rPr>
          <w:b/>
          <w:i/>
          <w:color w:val="auto"/>
        </w:rPr>
        <w:t>naloxona</w:t>
      </w:r>
      <w:proofErr w:type="spellEnd"/>
      <w:r w:rsidRPr="00F56B47">
        <w:rPr>
          <w:b/>
          <w:i/>
          <w:color w:val="auto"/>
        </w:rPr>
        <w:t xml:space="preserve"> para utilização no domicílio</w:t>
      </w:r>
      <w:r w:rsidRPr="00F56B47">
        <w:rPr>
          <w:color w:val="auto"/>
        </w:rPr>
        <w:t xml:space="preserve"> (</w:t>
      </w:r>
      <w:r w:rsidRPr="00F56B47">
        <w:rPr>
          <w:color w:val="auto"/>
          <w:vertAlign w:val="superscript"/>
        </w:rPr>
        <w:t>1</w:t>
      </w:r>
      <w:r w:rsidRPr="00F56B47">
        <w:rPr>
          <w:color w:val="auto"/>
        </w:rPr>
        <w:t>).</w:t>
      </w:r>
    </w:p>
    <w:p w:rsidR="00E6029A" w:rsidRPr="00F56B47" w:rsidRDefault="006345E6" w:rsidP="00B2725E">
      <w:pPr>
        <w:pStyle w:val="newsContent"/>
        <w:rPr>
          <w:rFonts w:cs="Arial"/>
          <w:color w:val="auto"/>
          <w:szCs w:val="20"/>
        </w:rPr>
      </w:pPr>
      <w:r w:rsidRPr="00F56B47">
        <w:rPr>
          <w:color w:val="auto"/>
        </w:rPr>
        <w:t xml:space="preserve">A </w:t>
      </w:r>
      <w:proofErr w:type="spellStart"/>
      <w:r w:rsidRPr="00F56B47">
        <w:rPr>
          <w:color w:val="auto"/>
        </w:rPr>
        <w:t>naloxona</w:t>
      </w:r>
      <w:proofErr w:type="spellEnd"/>
      <w:r w:rsidRPr="00F56B47">
        <w:rPr>
          <w:color w:val="auto"/>
        </w:rPr>
        <w:t xml:space="preserve">, um fármaco utilizado para reverter a depressão respiratória causada por </w:t>
      </w:r>
      <w:proofErr w:type="gramStart"/>
      <w:r w:rsidRPr="00F56B47">
        <w:rPr>
          <w:i/>
          <w:color w:val="auto"/>
        </w:rPr>
        <w:t>overdose</w:t>
      </w:r>
      <w:proofErr w:type="gramEnd"/>
      <w:r w:rsidRPr="00F56B47">
        <w:rPr>
          <w:color w:val="auto"/>
        </w:rPr>
        <w:t xml:space="preserve"> de opiáceos, é utilizada em medicina de emergência desde a década de 1970 (</w:t>
      </w:r>
      <w:r w:rsidRPr="00F56B47">
        <w:rPr>
          <w:color w:val="auto"/>
          <w:vertAlign w:val="superscript"/>
        </w:rPr>
        <w:t>2</w:t>
      </w:r>
      <w:r w:rsidRPr="00F56B47">
        <w:rPr>
          <w:color w:val="auto"/>
        </w:rPr>
        <w:t xml:space="preserve">). </w:t>
      </w:r>
      <w:r w:rsidR="00B86ED0">
        <w:rPr>
          <w:color w:val="auto"/>
        </w:rPr>
        <w:t>Registrada</w:t>
      </w:r>
      <w:r w:rsidRPr="00F56B47">
        <w:rPr>
          <w:color w:val="auto"/>
        </w:rPr>
        <w:t xml:space="preserve"> </w:t>
      </w:r>
      <w:r w:rsidR="00B86ED0">
        <w:rPr>
          <w:color w:val="auto"/>
        </w:rPr>
        <w:t>pela</w:t>
      </w:r>
      <w:r w:rsidRPr="00F56B47">
        <w:rPr>
          <w:color w:val="auto"/>
        </w:rPr>
        <w:t xml:space="preserve"> </w:t>
      </w:r>
      <w:r w:rsidRPr="00F56B47">
        <w:rPr>
          <w:b/>
          <w:color w:val="auto"/>
        </w:rPr>
        <w:t>Organização Mundial de Saúde (OMS)</w:t>
      </w:r>
      <w:r w:rsidR="00840C60">
        <w:rPr>
          <w:b/>
          <w:color w:val="auto"/>
        </w:rPr>
        <w:t xml:space="preserve"> </w:t>
      </w:r>
      <w:r w:rsidR="00B86ED0">
        <w:rPr>
          <w:color w:val="auto"/>
        </w:rPr>
        <w:t xml:space="preserve">como um </w:t>
      </w:r>
      <w:r w:rsidR="002544C0" w:rsidRPr="00F56B47">
        <w:rPr>
          <w:color w:val="auto"/>
        </w:rPr>
        <w:t>«</w:t>
      </w:r>
      <w:r w:rsidR="00B86ED0">
        <w:rPr>
          <w:color w:val="auto"/>
        </w:rPr>
        <w:t>medicamento essencial</w:t>
      </w:r>
      <w:r w:rsidR="002544C0" w:rsidRPr="00F56B47">
        <w:rPr>
          <w:color w:val="auto"/>
        </w:rPr>
        <w:t>»</w:t>
      </w:r>
      <w:proofErr w:type="gramStart"/>
      <w:r w:rsidRPr="00F56B47">
        <w:rPr>
          <w:color w:val="auto"/>
        </w:rPr>
        <w:t>,</w:t>
      </w:r>
      <w:proofErr w:type="gramEnd"/>
      <w:r w:rsidRPr="00F56B47">
        <w:rPr>
          <w:color w:val="auto"/>
        </w:rPr>
        <w:t xml:space="preserve"> est</w:t>
      </w:r>
      <w:r w:rsidR="009F2EBE">
        <w:rPr>
          <w:color w:val="auto"/>
        </w:rPr>
        <w:t>á</w:t>
      </w:r>
      <w:r w:rsidRPr="00F56B47">
        <w:rPr>
          <w:color w:val="auto"/>
        </w:rPr>
        <w:t xml:space="preserve"> </w:t>
      </w:r>
      <w:r w:rsidR="009F2EBE">
        <w:rPr>
          <w:color w:val="auto"/>
        </w:rPr>
        <w:t>ger</w:t>
      </w:r>
      <w:r w:rsidRPr="00F56B47">
        <w:rPr>
          <w:color w:val="auto"/>
        </w:rPr>
        <w:t xml:space="preserve">almente disponível na forma </w:t>
      </w:r>
      <w:proofErr w:type="spellStart"/>
      <w:r w:rsidRPr="00F56B47">
        <w:rPr>
          <w:color w:val="auto"/>
        </w:rPr>
        <w:t>injetável</w:t>
      </w:r>
      <w:proofErr w:type="spellEnd"/>
      <w:r w:rsidRPr="00F56B47">
        <w:rPr>
          <w:color w:val="auto"/>
        </w:rPr>
        <w:t xml:space="preserve">, apesar de </w:t>
      </w:r>
      <w:r w:rsidR="009F2EBE">
        <w:rPr>
          <w:color w:val="auto"/>
        </w:rPr>
        <w:t xml:space="preserve">actualmente </w:t>
      </w:r>
      <w:r w:rsidRPr="00F56B47">
        <w:rPr>
          <w:color w:val="auto"/>
        </w:rPr>
        <w:t xml:space="preserve">estarem a surgir formulações não </w:t>
      </w:r>
      <w:r w:rsidR="000718D4">
        <w:rPr>
          <w:color w:val="auto"/>
        </w:rPr>
        <w:t xml:space="preserve">injectáveis </w:t>
      </w:r>
      <w:r w:rsidR="009F2EBE">
        <w:rPr>
          <w:color w:val="auto"/>
        </w:rPr>
        <w:t>desta substância.</w:t>
      </w:r>
      <w:r w:rsidRPr="00F56B47">
        <w:rPr>
          <w:color w:val="auto"/>
        </w:rPr>
        <w:t xml:space="preserve"> </w:t>
      </w:r>
      <w:r w:rsidRPr="00F56B47">
        <w:rPr>
          <w:b/>
          <w:color w:val="auto"/>
        </w:rPr>
        <w:t xml:space="preserve">As </w:t>
      </w:r>
      <w:proofErr w:type="spellStart"/>
      <w:r w:rsidR="006E4DF0">
        <w:rPr>
          <w:b/>
          <w:color w:val="auto"/>
        </w:rPr>
        <w:t>diretivas</w:t>
      </w:r>
      <w:proofErr w:type="spellEnd"/>
      <w:r w:rsidRPr="00F56B47">
        <w:rPr>
          <w:b/>
          <w:color w:val="auto"/>
        </w:rPr>
        <w:t xml:space="preserve"> da OMS</w:t>
      </w:r>
      <w:r w:rsidRPr="00F56B47">
        <w:rPr>
          <w:color w:val="auto"/>
        </w:rPr>
        <w:t xml:space="preserve"> relativas à disponibili</w:t>
      </w:r>
      <w:r w:rsidR="003E7084">
        <w:rPr>
          <w:color w:val="auto"/>
        </w:rPr>
        <w:t>dade</w:t>
      </w:r>
      <w:r w:rsidR="00F56B47" w:rsidRPr="00F56B47">
        <w:rPr>
          <w:color w:val="auto"/>
        </w:rPr>
        <w:t xml:space="preserve"> </w:t>
      </w:r>
      <w:r w:rsidRPr="00F56B47">
        <w:rPr>
          <w:color w:val="auto"/>
        </w:rPr>
        <w:t xml:space="preserve">de </w:t>
      </w:r>
      <w:proofErr w:type="spellStart"/>
      <w:r w:rsidRPr="00F56B47">
        <w:rPr>
          <w:color w:val="auto"/>
        </w:rPr>
        <w:t>naloxona</w:t>
      </w:r>
      <w:proofErr w:type="spellEnd"/>
      <w:r w:rsidRPr="00F56B47">
        <w:rPr>
          <w:color w:val="auto"/>
        </w:rPr>
        <w:t xml:space="preserve"> na comunidade foram publicadas em 2014 (</w:t>
      </w:r>
      <w:r w:rsidRPr="00F56B47">
        <w:rPr>
          <w:color w:val="auto"/>
          <w:vertAlign w:val="superscript"/>
        </w:rPr>
        <w:t>3</w:t>
      </w:r>
      <w:r w:rsidRPr="00F56B47">
        <w:rPr>
          <w:color w:val="auto"/>
        </w:rPr>
        <w:t>).</w:t>
      </w:r>
    </w:p>
    <w:p w:rsidR="000621D3" w:rsidRPr="00F56B47" w:rsidRDefault="00B2725E" w:rsidP="00C00F38">
      <w:pPr>
        <w:pStyle w:val="newsContent"/>
        <w:rPr>
          <w:rFonts w:cs="Trivia Sans Book"/>
          <w:color w:val="auto"/>
          <w:szCs w:val="20"/>
        </w:rPr>
      </w:pPr>
      <w:r w:rsidRPr="00F56B47">
        <w:rPr>
          <w:color w:val="auto"/>
        </w:rPr>
        <w:t>A investigação mostra que muitas</w:t>
      </w:r>
      <w:r w:rsidR="006E4DF0">
        <w:rPr>
          <w:color w:val="auto"/>
        </w:rPr>
        <w:t xml:space="preserve"> das</w:t>
      </w:r>
      <w:r w:rsidRPr="00F56B47">
        <w:rPr>
          <w:color w:val="auto"/>
        </w:rPr>
        <w:t xml:space="preserve"> </w:t>
      </w:r>
      <w:proofErr w:type="gramStart"/>
      <w:r w:rsidRPr="00F56B47">
        <w:rPr>
          <w:i/>
          <w:color w:val="auto"/>
        </w:rPr>
        <w:t>overdoses</w:t>
      </w:r>
      <w:proofErr w:type="gramEnd"/>
      <w:r w:rsidRPr="00F56B47">
        <w:rPr>
          <w:color w:val="auto"/>
        </w:rPr>
        <w:t xml:space="preserve"> por opiáceos ocorrem na presença de outras pessoas que, se estive</w:t>
      </w:r>
      <w:r w:rsidR="006E4DF0">
        <w:rPr>
          <w:color w:val="auto"/>
        </w:rPr>
        <w:t>ss</w:t>
      </w:r>
      <w:r w:rsidRPr="00F56B47">
        <w:rPr>
          <w:color w:val="auto"/>
        </w:rPr>
        <w:t>em habilitadas a agir de forma apropriada, pode</w:t>
      </w:r>
      <w:r w:rsidR="006E4DF0">
        <w:rPr>
          <w:color w:val="auto"/>
        </w:rPr>
        <w:t>ria</w:t>
      </w:r>
      <w:r w:rsidRPr="00F56B47">
        <w:rPr>
          <w:color w:val="auto"/>
        </w:rPr>
        <w:t>m salvar vidas enquanto espera</w:t>
      </w:r>
      <w:r w:rsidR="006E4DF0">
        <w:rPr>
          <w:color w:val="auto"/>
        </w:rPr>
        <w:t>va</w:t>
      </w:r>
      <w:r w:rsidRPr="00F56B47">
        <w:rPr>
          <w:color w:val="auto"/>
        </w:rPr>
        <w:t>m pela chegada dos serviços de emergência (</w:t>
      </w:r>
      <w:r w:rsidRPr="00F56B47">
        <w:rPr>
          <w:color w:val="auto"/>
          <w:vertAlign w:val="superscript"/>
        </w:rPr>
        <w:t>4</w:t>
      </w:r>
      <w:r w:rsidRPr="00F56B47">
        <w:rPr>
          <w:color w:val="auto"/>
        </w:rPr>
        <w:t xml:space="preserve">). Isto levou a que a </w:t>
      </w:r>
      <w:proofErr w:type="spellStart"/>
      <w:r w:rsidRPr="00F56B47">
        <w:rPr>
          <w:color w:val="auto"/>
        </w:rPr>
        <w:t>naloxona</w:t>
      </w:r>
      <w:proofErr w:type="spellEnd"/>
      <w:r w:rsidRPr="00F56B47">
        <w:rPr>
          <w:color w:val="auto"/>
        </w:rPr>
        <w:t xml:space="preserve"> tenha começado a ser utilizada como medida de </w:t>
      </w:r>
      <w:r w:rsidR="006E4DF0">
        <w:rPr>
          <w:color w:val="auto"/>
        </w:rPr>
        <w:t>redução</w:t>
      </w:r>
      <w:r w:rsidRPr="00F56B47">
        <w:rPr>
          <w:color w:val="auto"/>
        </w:rPr>
        <w:t xml:space="preserve"> de </w:t>
      </w:r>
      <w:r w:rsidR="003E0F49">
        <w:rPr>
          <w:color w:val="auto"/>
        </w:rPr>
        <w:t>danos</w:t>
      </w:r>
      <w:r w:rsidRPr="00F56B47">
        <w:rPr>
          <w:color w:val="auto"/>
        </w:rPr>
        <w:t xml:space="preserve"> desde </w:t>
      </w:r>
      <w:r w:rsidR="006E4DF0">
        <w:rPr>
          <w:color w:val="auto"/>
        </w:rPr>
        <w:t>os anos</w:t>
      </w:r>
      <w:r w:rsidRPr="00F56B47">
        <w:rPr>
          <w:color w:val="auto"/>
        </w:rPr>
        <w:t xml:space="preserve"> 90, disponibiliza</w:t>
      </w:r>
      <w:r w:rsidR="006E4DF0">
        <w:rPr>
          <w:color w:val="auto"/>
        </w:rPr>
        <w:t>ndo</w:t>
      </w:r>
      <w:r w:rsidRPr="00F56B47">
        <w:rPr>
          <w:color w:val="auto"/>
        </w:rPr>
        <w:t xml:space="preserve"> </w:t>
      </w:r>
      <w:r w:rsidR="006E4DF0">
        <w:rPr>
          <w:color w:val="auto"/>
        </w:rPr>
        <w:t>aos consumidores</w:t>
      </w:r>
      <w:r w:rsidRPr="00F56B47">
        <w:rPr>
          <w:color w:val="auto"/>
        </w:rPr>
        <w:t xml:space="preserve"> </w:t>
      </w:r>
      <w:proofErr w:type="gramStart"/>
      <w:r w:rsidRPr="00F56B47">
        <w:rPr>
          <w:color w:val="auto"/>
        </w:rPr>
        <w:t>de</w:t>
      </w:r>
      <w:proofErr w:type="gramEnd"/>
      <w:r w:rsidRPr="00F56B47">
        <w:rPr>
          <w:color w:val="auto"/>
        </w:rPr>
        <w:t xml:space="preserve"> </w:t>
      </w:r>
      <w:proofErr w:type="gramStart"/>
      <w:r w:rsidRPr="00F56B47">
        <w:rPr>
          <w:color w:val="auto"/>
        </w:rPr>
        <w:t>opiáceos</w:t>
      </w:r>
      <w:proofErr w:type="gramEnd"/>
      <w:r w:rsidRPr="00F56B47">
        <w:rPr>
          <w:color w:val="auto"/>
        </w:rPr>
        <w:t xml:space="preserve"> e </w:t>
      </w:r>
      <w:r w:rsidR="00DD5920">
        <w:rPr>
          <w:color w:val="auto"/>
        </w:rPr>
        <w:t>às</w:t>
      </w:r>
      <w:r w:rsidRPr="00F56B47">
        <w:rPr>
          <w:color w:val="auto"/>
        </w:rPr>
        <w:t xml:space="preserve"> pessoas </w:t>
      </w:r>
      <w:proofErr w:type="spellStart"/>
      <w:r w:rsidRPr="00F56B47">
        <w:rPr>
          <w:color w:val="auto"/>
        </w:rPr>
        <w:t>suscetíveis</w:t>
      </w:r>
      <w:proofErr w:type="spellEnd"/>
      <w:r w:rsidRPr="00F56B47">
        <w:rPr>
          <w:color w:val="auto"/>
        </w:rPr>
        <w:t xml:space="preserve"> de </w:t>
      </w:r>
      <w:r w:rsidR="00DD5920">
        <w:rPr>
          <w:color w:val="auto"/>
        </w:rPr>
        <w:t xml:space="preserve">serem testemunhas de </w:t>
      </w:r>
      <w:r w:rsidRPr="00F56B47">
        <w:rPr>
          <w:i/>
          <w:color w:val="auto"/>
        </w:rPr>
        <w:t>overdoses</w:t>
      </w:r>
      <w:r w:rsidRPr="00F56B47">
        <w:rPr>
          <w:color w:val="auto"/>
        </w:rPr>
        <w:t xml:space="preserve"> por opiáceos</w:t>
      </w:r>
      <w:r w:rsidR="00DD5920">
        <w:rPr>
          <w:color w:val="auto"/>
        </w:rPr>
        <w:t xml:space="preserve">, </w:t>
      </w:r>
      <w:r w:rsidR="006E4DF0">
        <w:rPr>
          <w:i/>
          <w:color w:val="auto"/>
        </w:rPr>
        <w:t>kits</w:t>
      </w:r>
      <w:r w:rsidR="00DD5920">
        <w:rPr>
          <w:color w:val="auto"/>
        </w:rPr>
        <w:t xml:space="preserve"> de </w:t>
      </w:r>
      <w:proofErr w:type="spellStart"/>
      <w:r w:rsidR="00DD5920">
        <w:rPr>
          <w:color w:val="auto"/>
        </w:rPr>
        <w:t>naloxona</w:t>
      </w:r>
      <w:proofErr w:type="spellEnd"/>
      <w:r w:rsidR="00DD5920">
        <w:rPr>
          <w:color w:val="auto"/>
        </w:rPr>
        <w:t xml:space="preserve"> para utilização no domicílio</w:t>
      </w:r>
      <w:r w:rsidRPr="00F56B47">
        <w:rPr>
          <w:color w:val="auto"/>
        </w:rPr>
        <w:t>.</w:t>
      </w:r>
    </w:p>
    <w:p w:rsidR="000621D3" w:rsidRPr="00F56B47" w:rsidRDefault="00D0143C" w:rsidP="00D0143C">
      <w:pPr>
        <w:pStyle w:val="newsContent"/>
        <w:rPr>
          <w:rFonts w:cs="Arial"/>
          <w:color w:val="auto"/>
          <w:szCs w:val="20"/>
        </w:rPr>
      </w:pPr>
      <w:r w:rsidRPr="00F56B47">
        <w:rPr>
          <w:color w:val="auto"/>
        </w:rPr>
        <w:t xml:space="preserve">«Cada uma das vidas que se perdem diariamente na Europa devido a </w:t>
      </w:r>
      <w:r w:rsidR="008D26FE">
        <w:rPr>
          <w:color w:val="auto"/>
        </w:rPr>
        <w:t xml:space="preserve">uma </w:t>
      </w:r>
      <w:proofErr w:type="gramStart"/>
      <w:r w:rsidRPr="00F56B47">
        <w:rPr>
          <w:i/>
          <w:color w:val="auto"/>
        </w:rPr>
        <w:t>overdose</w:t>
      </w:r>
      <w:proofErr w:type="gramEnd"/>
      <w:r w:rsidRPr="00F56B47">
        <w:rPr>
          <w:color w:val="auto"/>
        </w:rPr>
        <w:t xml:space="preserve"> por opiáceos merece todos os nossos esforços para melhorar a prevenção e as respostas</w:t>
      </w:r>
      <w:r w:rsidR="002544C0" w:rsidRPr="00F56B47">
        <w:rPr>
          <w:color w:val="auto"/>
        </w:rPr>
        <w:t>»</w:t>
      </w:r>
      <w:r w:rsidRPr="00F56B47">
        <w:rPr>
          <w:color w:val="auto"/>
        </w:rPr>
        <w:t xml:space="preserve">, afirma </w:t>
      </w:r>
      <w:proofErr w:type="spellStart"/>
      <w:r w:rsidRPr="00F56B47">
        <w:rPr>
          <w:b/>
          <w:color w:val="auto"/>
        </w:rPr>
        <w:t>Alexis</w:t>
      </w:r>
      <w:proofErr w:type="spellEnd"/>
      <w:r w:rsidRPr="00F56B47">
        <w:rPr>
          <w:b/>
          <w:color w:val="auto"/>
        </w:rPr>
        <w:t xml:space="preserve"> </w:t>
      </w:r>
      <w:proofErr w:type="spellStart"/>
      <w:r w:rsidRPr="00F56B47">
        <w:rPr>
          <w:b/>
          <w:color w:val="auto"/>
        </w:rPr>
        <w:t>Goosdeel</w:t>
      </w:r>
      <w:proofErr w:type="spellEnd"/>
      <w:r w:rsidRPr="00F56B47">
        <w:rPr>
          <w:b/>
          <w:color w:val="auto"/>
        </w:rPr>
        <w:t xml:space="preserve">, </w:t>
      </w:r>
      <w:proofErr w:type="spellStart"/>
      <w:r w:rsidRPr="00F56B47">
        <w:rPr>
          <w:b/>
          <w:color w:val="auto"/>
        </w:rPr>
        <w:t>Diretor</w:t>
      </w:r>
      <w:proofErr w:type="spellEnd"/>
      <w:r w:rsidRPr="00F56B47">
        <w:rPr>
          <w:b/>
          <w:color w:val="auto"/>
        </w:rPr>
        <w:t xml:space="preserve"> do EMCDDA</w:t>
      </w:r>
      <w:r w:rsidRPr="00F56B47">
        <w:rPr>
          <w:color w:val="auto"/>
        </w:rPr>
        <w:t>. «Capacitar as pessoas presentes para uma intervenção</w:t>
      </w:r>
      <w:r w:rsidR="00A961FA">
        <w:rPr>
          <w:color w:val="auto"/>
        </w:rPr>
        <w:t xml:space="preserve"> que pode,</w:t>
      </w:r>
      <w:r w:rsidRPr="00F56B47">
        <w:rPr>
          <w:color w:val="auto"/>
        </w:rPr>
        <w:t xml:space="preserve"> </w:t>
      </w:r>
      <w:r w:rsidR="008D26FE">
        <w:rPr>
          <w:color w:val="auto"/>
        </w:rPr>
        <w:t>potencialmente</w:t>
      </w:r>
      <w:r w:rsidR="00A961FA">
        <w:rPr>
          <w:color w:val="auto"/>
        </w:rPr>
        <w:t>,</w:t>
      </w:r>
      <w:r w:rsidR="008D26FE">
        <w:rPr>
          <w:color w:val="auto"/>
        </w:rPr>
        <w:t xml:space="preserve"> </w:t>
      </w:r>
      <w:proofErr w:type="spellStart"/>
      <w:r w:rsidR="008D26FE">
        <w:rPr>
          <w:color w:val="auto"/>
        </w:rPr>
        <w:t>salva</w:t>
      </w:r>
      <w:r w:rsidR="00A961FA">
        <w:rPr>
          <w:color w:val="auto"/>
        </w:rPr>
        <w:t>r</w:t>
      </w:r>
      <w:r w:rsidR="008D26FE">
        <w:rPr>
          <w:color w:val="auto"/>
        </w:rPr>
        <w:t>vidas</w:t>
      </w:r>
      <w:proofErr w:type="spellEnd"/>
      <w:r w:rsidRPr="00F56B47">
        <w:rPr>
          <w:color w:val="auto"/>
        </w:rPr>
        <w:t xml:space="preserve"> é um passo importante </w:t>
      </w:r>
      <w:r w:rsidR="008D26FE">
        <w:rPr>
          <w:color w:val="auto"/>
        </w:rPr>
        <w:t xml:space="preserve">para </w:t>
      </w:r>
      <w:r w:rsidRPr="00F56B47">
        <w:rPr>
          <w:color w:val="auto"/>
        </w:rPr>
        <w:t>uma resposta europeia diversificada e equilibrada ao fenómeno da droga.»</w:t>
      </w:r>
    </w:p>
    <w:p w:rsidR="000621D3" w:rsidRPr="00F56B47" w:rsidRDefault="00896AB3" w:rsidP="00057F4E">
      <w:pPr>
        <w:pStyle w:val="MaintextstyleBlack"/>
        <w:spacing w:after="260"/>
        <w:rPr>
          <w:rFonts w:cs="Arial"/>
        </w:rPr>
      </w:pPr>
      <w:r w:rsidRPr="00F56B47">
        <w:t>Na Europa, as iniciativas de disponibili</w:t>
      </w:r>
      <w:r w:rsidR="003E0F49">
        <w:t>dade</w:t>
      </w:r>
      <w:r w:rsidRPr="00F56B47">
        <w:t xml:space="preserve"> de </w:t>
      </w:r>
      <w:proofErr w:type="spellStart"/>
      <w:r w:rsidRPr="00F56B47">
        <w:t>naloxona</w:t>
      </w:r>
      <w:proofErr w:type="spellEnd"/>
      <w:r w:rsidRPr="00F56B47">
        <w:t xml:space="preserve"> para utilização no domicílio estão</w:t>
      </w:r>
      <w:r w:rsidR="008C11E4">
        <w:t xml:space="preserve"> </w:t>
      </w:r>
      <w:proofErr w:type="spellStart"/>
      <w:r w:rsidR="008C11E4">
        <w:t>atualmente</w:t>
      </w:r>
      <w:proofErr w:type="spellEnd"/>
      <w:r w:rsidRPr="00F56B47">
        <w:t xml:space="preserve"> </w:t>
      </w:r>
      <w:r w:rsidR="008C11E4">
        <w:t xml:space="preserve">a funcionar </w:t>
      </w:r>
      <w:r w:rsidRPr="00F56B47">
        <w:t xml:space="preserve">a nível </w:t>
      </w:r>
      <w:r w:rsidR="008C11E4">
        <w:t xml:space="preserve">municipal </w:t>
      </w:r>
      <w:r w:rsidRPr="00F56B47">
        <w:t xml:space="preserve">na </w:t>
      </w:r>
      <w:r w:rsidRPr="00F56B47">
        <w:rPr>
          <w:b/>
        </w:rPr>
        <w:t>Dinamarca, Alemanha, Estónia, Irlanda, Itália</w:t>
      </w:r>
      <w:r w:rsidR="000718D4" w:rsidRPr="008F1910">
        <w:t>,</w:t>
      </w:r>
      <w:r w:rsidR="000718D4">
        <w:rPr>
          <w:b/>
        </w:rPr>
        <w:t xml:space="preserve"> </w:t>
      </w:r>
      <w:r w:rsidR="008F1910" w:rsidRPr="008F1910">
        <w:t xml:space="preserve">no </w:t>
      </w:r>
      <w:r w:rsidR="000718D4" w:rsidRPr="00F56B47">
        <w:rPr>
          <w:b/>
        </w:rPr>
        <w:t>Reino Unido</w:t>
      </w:r>
      <w:r w:rsidRPr="00F56B47">
        <w:rPr>
          <w:b/>
        </w:rPr>
        <w:t xml:space="preserve"> </w:t>
      </w:r>
      <w:r w:rsidR="000718D4">
        <w:rPr>
          <w:b/>
        </w:rPr>
        <w:t>(</w:t>
      </w:r>
      <w:r w:rsidR="000718D4" w:rsidRPr="00F56B47">
        <w:rPr>
          <w:b/>
        </w:rPr>
        <w:t>Inglaterra</w:t>
      </w:r>
      <w:r w:rsidR="000718D4">
        <w:rPr>
          <w:b/>
        </w:rPr>
        <w:t>)</w:t>
      </w:r>
      <w:r w:rsidR="000718D4" w:rsidRPr="00F56B47">
        <w:rPr>
          <w:b/>
        </w:rPr>
        <w:t xml:space="preserve"> </w:t>
      </w:r>
      <w:r w:rsidRPr="00F56B47">
        <w:t>e</w:t>
      </w:r>
      <w:r w:rsidRPr="00F56B47">
        <w:rPr>
          <w:b/>
        </w:rPr>
        <w:t xml:space="preserve"> </w:t>
      </w:r>
      <w:r w:rsidR="008F1910" w:rsidRPr="008F1910">
        <w:t xml:space="preserve">na </w:t>
      </w:r>
      <w:r w:rsidRPr="00F56B47">
        <w:rPr>
          <w:b/>
        </w:rPr>
        <w:t>Noruega</w:t>
      </w:r>
      <w:r w:rsidRPr="00F56B47">
        <w:t xml:space="preserve">, </w:t>
      </w:r>
      <w:r w:rsidR="008C11E4">
        <w:t xml:space="preserve">e </w:t>
      </w:r>
      <w:r w:rsidRPr="00F56B47">
        <w:t xml:space="preserve">a nível regional na </w:t>
      </w:r>
      <w:r w:rsidRPr="00F56B47">
        <w:rPr>
          <w:b/>
        </w:rPr>
        <w:t xml:space="preserve">Espanha (Catalunha) </w:t>
      </w:r>
      <w:r w:rsidRPr="00F56B47">
        <w:t>e no</w:t>
      </w:r>
      <w:r w:rsidRPr="00F56B47">
        <w:rPr>
          <w:b/>
        </w:rPr>
        <w:t xml:space="preserve"> Reino Unido (Escócia </w:t>
      </w:r>
      <w:r w:rsidRPr="00F56B47">
        <w:t xml:space="preserve">e </w:t>
      </w:r>
      <w:r w:rsidRPr="00F56B47">
        <w:rPr>
          <w:b/>
        </w:rPr>
        <w:t>País de Gales)</w:t>
      </w:r>
      <w:r w:rsidRPr="00F56B47">
        <w:t xml:space="preserve">. Vários outros países da UE estão </w:t>
      </w:r>
      <w:r w:rsidR="008C11E4">
        <w:t>igualmente</w:t>
      </w:r>
      <w:r w:rsidRPr="00F56B47">
        <w:t xml:space="preserve"> a explorar esta prática e a considerar acrescentar a </w:t>
      </w:r>
      <w:proofErr w:type="spellStart"/>
      <w:r w:rsidRPr="00F56B47">
        <w:t>naloxona</w:t>
      </w:r>
      <w:proofErr w:type="spellEnd"/>
      <w:r w:rsidRPr="00F56B47">
        <w:t xml:space="preserve"> para utilização no domicílio ao leque de intervenções existentes para prevenir as mortes relacionadas com as drogas (</w:t>
      </w:r>
      <w:r w:rsidRPr="00F56B47">
        <w:rPr>
          <w:vertAlign w:val="superscript"/>
        </w:rPr>
        <w:t>5</w:t>
      </w:r>
      <w:r w:rsidRPr="00F56B47">
        <w:t>).</w:t>
      </w:r>
    </w:p>
    <w:p w:rsidR="009543CB" w:rsidRPr="00F56B47" w:rsidRDefault="00DF0867" w:rsidP="009543CB">
      <w:pPr>
        <w:pStyle w:val="MaintextstyleBlack"/>
        <w:spacing w:after="260"/>
        <w:rPr>
          <w:rFonts w:cs="Arial"/>
        </w:rPr>
      </w:pPr>
      <w:r>
        <w:t xml:space="preserve">Na sequência </w:t>
      </w:r>
      <w:r w:rsidR="00B835F8" w:rsidRPr="00F56B47">
        <w:t xml:space="preserve">de uma análise realizada pelo </w:t>
      </w:r>
      <w:r w:rsidR="00B835F8" w:rsidRPr="00F56B47">
        <w:rPr>
          <w:b/>
        </w:rPr>
        <w:t>EMCDDA</w:t>
      </w:r>
      <w:r w:rsidR="00B835F8" w:rsidRPr="00F56B47">
        <w:t xml:space="preserve"> em 2015 </w:t>
      </w:r>
      <w:r>
        <w:t>sobre a</w:t>
      </w:r>
      <w:r w:rsidR="00B835F8" w:rsidRPr="00F56B47">
        <w:t xml:space="preserve"> eficácia da </w:t>
      </w:r>
      <w:proofErr w:type="spellStart"/>
      <w:r w:rsidR="00B835F8" w:rsidRPr="00F56B47">
        <w:t>naloxona</w:t>
      </w:r>
      <w:proofErr w:type="spellEnd"/>
      <w:r w:rsidR="00B835F8" w:rsidRPr="00F56B47">
        <w:t xml:space="preserve"> para utilização no domicílio (</w:t>
      </w:r>
      <w:r w:rsidR="00B835F8" w:rsidRPr="00F56B47">
        <w:rPr>
          <w:vertAlign w:val="superscript"/>
        </w:rPr>
        <w:t>6</w:t>
      </w:r>
      <w:r w:rsidR="00B835F8" w:rsidRPr="00F56B47">
        <w:t>), o presente relatório disponibiliza aos profissionais e decisores</w:t>
      </w:r>
      <w:r>
        <w:t xml:space="preserve"> políticos</w:t>
      </w:r>
      <w:r w:rsidR="00B835F8" w:rsidRPr="00F56B47">
        <w:t xml:space="preserve"> uma revisão abrangente e </w:t>
      </w:r>
      <w:proofErr w:type="spellStart"/>
      <w:r w:rsidR="00B835F8" w:rsidRPr="00F56B47">
        <w:t>atualizada</w:t>
      </w:r>
      <w:proofErr w:type="spellEnd"/>
      <w:r w:rsidR="00B835F8" w:rsidRPr="00F56B47">
        <w:t xml:space="preserve"> </w:t>
      </w:r>
      <w:r w:rsidR="00606AA4">
        <w:t>com base n</w:t>
      </w:r>
      <w:r w:rsidR="00B835F8" w:rsidRPr="00F56B47">
        <w:t xml:space="preserve">as evidências </w:t>
      </w:r>
      <w:r w:rsidR="00606AA4">
        <w:t>sobre a questão</w:t>
      </w:r>
      <w:r w:rsidR="00B835F8" w:rsidRPr="00F56B47">
        <w:t xml:space="preserve">. </w:t>
      </w:r>
      <w:r w:rsidR="00606AA4">
        <w:t>A</w:t>
      </w:r>
      <w:r w:rsidR="00B835F8" w:rsidRPr="00F56B47">
        <w:t>nalisa</w:t>
      </w:r>
      <w:r w:rsidR="00606AA4">
        <w:t>ndo</w:t>
      </w:r>
      <w:r w:rsidR="00B835F8" w:rsidRPr="00F56B47">
        <w:t xml:space="preserve"> a possibilidade da distribuição de </w:t>
      </w:r>
      <w:proofErr w:type="spellStart"/>
      <w:r w:rsidR="00B835F8" w:rsidRPr="00F56B47">
        <w:t>naloxona</w:t>
      </w:r>
      <w:proofErr w:type="spellEnd"/>
      <w:r w:rsidR="00B835F8" w:rsidRPr="00F56B47">
        <w:t xml:space="preserve">, </w:t>
      </w:r>
      <w:r w:rsidR="00606AA4">
        <w:t xml:space="preserve">o relatório </w:t>
      </w:r>
      <w:r w:rsidR="00B835F8" w:rsidRPr="00F56B47">
        <w:t xml:space="preserve">descreve os desenvolvimentos históricos do fármaco, apresenta </w:t>
      </w:r>
      <w:r w:rsidR="00B835F8" w:rsidRPr="00F56B47">
        <w:lastRenderedPageBreak/>
        <w:t xml:space="preserve">exemplos de boas práticas e formação, e </w:t>
      </w:r>
      <w:r w:rsidR="00DE45C2">
        <w:t>contempla</w:t>
      </w:r>
      <w:r w:rsidR="00B835F8" w:rsidRPr="00F56B47">
        <w:t xml:space="preserve"> os debates em curso sobre a disponibili</w:t>
      </w:r>
      <w:r w:rsidR="00DE45C2">
        <w:t>dade</w:t>
      </w:r>
      <w:r w:rsidR="00B835F8" w:rsidRPr="00F56B47">
        <w:t xml:space="preserve"> d</w:t>
      </w:r>
      <w:r w:rsidR="00FF0AD9">
        <w:t>e</w:t>
      </w:r>
      <w:r w:rsidR="00B835F8" w:rsidRPr="00F56B47">
        <w:t xml:space="preserve"> </w:t>
      </w:r>
      <w:proofErr w:type="spellStart"/>
      <w:r w:rsidR="00B835F8" w:rsidRPr="00F56B47">
        <w:t>naloxona</w:t>
      </w:r>
      <w:proofErr w:type="spellEnd"/>
      <w:r w:rsidR="00B835F8" w:rsidRPr="00F56B47">
        <w:t xml:space="preserve"> e os </w:t>
      </w:r>
      <w:proofErr w:type="spellStart"/>
      <w:r w:rsidR="00B835F8" w:rsidRPr="00F56B47">
        <w:t>respetivos</w:t>
      </w:r>
      <w:proofErr w:type="spellEnd"/>
      <w:r w:rsidR="00B835F8" w:rsidRPr="00F56B47">
        <w:t xml:space="preserve"> enquadramentos legais.</w:t>
      </w:r>
    </w:p>
    <w:p w:rsidR="009543CB" w:rsidRPr="00F56B47" w:rsidRDefault="009543CB" w:rsidP="0026481E">
      <w:pPr>
        <w:keepNext/>
        <w:rPr>
          <w:rFonts w:ascii="Arial" w:hAnsi="Arial" w:cs="Arial"/>
          <w:b/>
          <w:sz w:val="20"/>
          <w:szCs w:val="20"/>
        </w:rPr>
      </w:pPr>
      <w:r w:rsidRPr="00F56B47">
        <w:rPr>
          <w:rFonts w:ascii="Arial" w:hAnsi="Arial"/>
          <w:b/>
          <w:sz w:val="20"/>
        </w:rPr>
        <w:t xml:space="preserve">Barreiras e </w:t>
      </w:r>
      <w:r w:rsidR="000718D4" w:rsidRPr="00F56B47">
        <w:rPr>
          <w:rFonts w:ascii="Arial" w:hAnsi="Arial"/>
          <w:b/>
          <w:sz w:val="20"/>
        </w:rPr>
        <w:t>evoluç</w:t>
      </w:r>
      <w:r w:rsidR="000718D4">
        <w:rPr>
          <w:rFonts w:ascii="Arial" w:hAnsi="Arial"/>
          <w:b/>
          <w:sz w:val="20"/>
        </w:rPr>
        <w:t>ões</w:t>
      </w:r>
      <w:r w:rsidR="000718D4" w:rsidRPr="000718D4">
        <w:rPr>
          <w:rFonts w:ascii="Arial" w:hAnsi="Arial"/>
          <w:b/>
          <w:sz w:val="20"/>
        </w:rPr>
        <w:t xml:space="preserve"> </w:t>
      </w:r>
      <w:r w:rsidR="000718D4" w:rsidRPr="00F56B47">
        <w:rPr>
          <w:rFonts w:ascii="Arial" w:hAnsi="Arial"/>
          <w:b/>
          <w:sz w:val="20"/>
        </w:rPr>
        <w:t>legais</w:t>
      </w:r>
    </w:p>
    <w:p w:rsidR="000621D3" w:rsidRPr="00F56B47" w:rsidRDefault="00A74111" w:rsidP="00A74111">
      <w:pPr>
        <w:rPr>
          <w:rFonts w:cs="Trivia Sans Book"/>
        </w:rPr>
      </w:pPr>
      <w:r w:rsidRPr="00F56B47">
        <w:rPr>
          <w:rFonts w:ascii="Arial" w:hAnsi="Arial"/>
          <w:sz w:val="20"/>
        </w:rPr>
        <w:t xml:space="preserve">Relativamente às barreiras legais na UE, o relatório </w:t>
      </w:r>
      <w:r w:rsidR="00924E76">
        <w:rPr>
          <w:rFonts w:ascii="Arial" w:hAnsi="Arial"/>
          <w:sz w:val="20"/>
        </w:rPr>
        <w:t>diz</w:t>
      </w:r>
      <w:r w:rsidRPr="00F56B47">
        <w:rPr>
          <w:rFonts w:ascii="Arial" w:hAnsi="Arial"/>
          <w:sz w:val="20"/>
        </w:rPr>
        <w:t xml:space="preserve"> </w:t>
      </w:r>
      <w:proofErr w:type="gramStart"/>
      <w:r w:rsidRPr="00F56B47">
        <w:rPr>
          <w:rFonts w:ascii="Arial" w:hAnsi="Arial"/>
          <w:sz w:val="20"/>
        </w:rPr>
        <w:t>que</w:t>
      </w:r>
      <w:proofErr w:type="gramEnd"/>
      <w:r w:rsidRPr="00F56B47">
        <w:rPr>
          <w:rFonts w:ascii="Arial" w:hAnsi="Arial"/>
          <w:sz w:val="20"/>
        </w:rPr>
        <w:t xml:space="preserve">: «Na maioria das jurisdições, a </w:t>
      </w:r>
      <w:proofErr w:type="spellStart"/>
      <w:r w:rsidRPr="00F56B47">
        <w:rPr>
          <w:rFonts w:ascii="Arial" w:hAnsi="Arial"/>
          <w:sz w:val="20"/>
        </w:rPr>
        <w:t>naloxona</w:t>
      </w:r>
      <w:proofErr w:type="spellEnd"/>
      <w:r w:rsidRPr="00F56B47">
        <w:rPr>
          <w:rFonts w:ascii="Arial" w:hAnsi="Arial"/>
          <w:sz w:val="20"/>
        </w:rPr>
        <w:t xml:space="preserve"> é um medicamento disponível unicamente </w:t>
      </w:r>
      <w:r w:rsidR="00D01F45">
        <w:rPr>
          <w:rFonts w:ascii="Arial" w:hAnsi="Arial"/>
          <w:sz w:val="20"/>
        </w:rPr>
        <w:t>mediante</w:t>
      </w:r>
      <w:r w:rsidRPr="00F56B47">
        <w:rPr>
          <w:rFonts w:ascii="Arial" w:hAnsi="Arial"/>
          <w:sz w:val="20"/>
        </w:rPr>
        <w:t xml:space="preserve"> receita médica e o seu uso é limitado ao pessoal médico ou aos doentes a quem tenha sido prescrit</w:t>
      </w:r>
      <w:r w:rsidR="00D01F45">
        <w:rPr>
          <w:rFonts w:ascii="Arial" w:hAnsi="Arial"/>
          <w:sz w:val="20"/>
        </w:rPr>
        <w:t>a</w:t>
      </w:r>
      <w:r w:rsidRPr="00F56B47">
        <w:rPr>
          <w:rFonts w:ascii="Arial" w:hAnsi="Arial"/>
          <w:sz w:val="20"/>
        </w:rPr>
        <w:t>. A introdução da dis</w:t>
      </w:r>
      <w:r w:rsidR="00D01F45">
        <w:rPr>
          <w:rFonts w:ascii="Arial" w:hAnsi="Arial"/>
          <w:sz w:val="20"/>
        </w:rPr>
        <w:t>tribuição</w:t>
      </w:r>
      <w:r w:rsidRPr="00F56B47">
        <w:rPr>
          <w:rFonts w:ascii="Arial" w:hAnsi="Arial"/>
          <w:sz w:val="20"/>
        </w:rPr>
        <w:t xml:space="preserve"> de </w:t>
      </w:r>
      <w:proofErr w:type="spellStart"/>
      <w:r w:rsidRPr="00F56B47">
        <w:rPr>
          <w:rFonts w:ascii="Arial" w:hAnsi="Arial"/>
          <w:sz w:val="20"/>
        </w:rPr>
        <w:t>naloxona</w:t>
      </w:r>
      <w:proofErr w:type="spellEnd"/>
      <w:r w:rsidRPr="00F56B47">
        <w:rPr>
          <w:rFonts w:ascii="Arial" w:hAnsi="Arial"/>
          <w:sz w:val="20"/>
        </w:rPr>
        <w:t xml:space="preserve"> para utilização no domicílio em alguns países obrigaria, por isso, a ajust</w:t>
      </w:r>
      <w:r w:rsidR="00556103">
        <w:rPr>
          <w:rFonts w:ascii="Arial" w:hAnsi="Arial"/>
          <w:sz w:val="20"/>
        </w:rPr>
        <w:t>amentos</w:t>
      </w:r>
      <w:r w:rsidRPr="00F56B47">
        <w:rPr>
          <w:rFonts w:ascii="Arial" w:hAnsi="Arial"/>
          <w:sz w:val="20"/>
        </w:rPr>
        <w:t xml:space="preserve"> </w:t>
      </w:r>
      <w:r w:rsidR="00556103">
        <w:rPr>
          <w:rFonts w:ascii="Arial" w:hAnsi="Arial"/>
          <w:sz w:val="20"/>
        </w:rPr>
        <w:t>à</w:t>
      </w:r>
      <w:r w:rsidRPr="00F56B47">
        <w:rPr>
          <w:rFonts w:ascii="Arial" w:hAnsi="Arial"/>
          <w:sz w:val="20"/>
        </w:rPr>
        <w:t>s regulamentações atuais.»</w:t>
      </w:r>
    </w:p>
    <w:p w:rsidR="000621D3" w:rsidRPr="00F56B47" w:rsidRDefault="00A74111" w:rsidP="00A74111">
      <w:pPr>
        <w:rPr>
          <w:rFonts w:ascii="Arial" w:hAnsi="Arial" w:cs="Arial"/>
          <w:sz w:val="20"/>
          <w:szCs w:val="20"/>
        </w:rPr>
      </w:pPr>
      <w:r w:rsidRPr="00F56B47">
        <w:rPr>
          <w:rFonts w:ascii="Arial" w:hAnsi="Arial"/>
          <w:sz w:val="20"/>
        </w:rPr>
        <w:t xml:space="preserve">Nalgumas jurisdições, a notificação de </w:t>
      </w:r>
      <w:r w:rsidR="00556103">
        <w:rPr>
          <w:rFonts w:ascii="Arial" w:hAnsi="Arial"/>
          <w:sz w:val="20"/>
        </w:rPr>
        <w:t>casos</w:t>
      </w:r>
      <w:r w:rsidRPr="00F56B47">
        <w:rPr>
          <w:rFonts w:ascii="Arial" w:hAnsi="Arial"/>
          <w:sz w:val="20"/>
        </w:rPr>
        <w:t xml:space="preserve"> de </w:t>
      </w:r>
      <w:proofErr w:type="gramStart"/>
      <w:r w:rsidRPr="00F56B47">
        <w:rPr>
          <w:rFonts w:ascii="Arial" w:hAnsi="Arial"/>
          <w:i/>
          <w:sz w:val="20"/>
        </w:rPr>
        <w:t>overdose</w:t>
      </w:r>
      <w:proofErr w:type="gramEnd"/>
      <w:r w:rsidRPr="00F56B47">
        <w:rPr>
          <w:rFonts w:ascii="Arial" w:hAnsi="Arial"/>
          <w:sz w:val="20"/>
        </w:rPr>
        <w:t xml:space="preserve"> pode dar </w:t>
      </w:r>
      <w:r w:rsidR="00556103">
        <w:rPr>
          <w:rFonts w:ascii="Arial" w:hAnsi="Arial"/>
          <w:sz w:val="20"/>
        </w:rPr>
        <w:t>origem</w:t>
      </w:r>
      <w:r w:rsidRPr="00F56B47">
        <w:rPr>
          <w:rFonts w:ascii="Arial" w:hAnsi="Arial"/>
          <w:sz w:val="20"/>
        </w:rPr>
        <w:t xml:space="preserve"> a uma comunicação à polícia, que pode desencorajar as testemunhas de uma </w:t>
      </w:r>
      <w:r w:rsidRPr="00F56B47">
        <w:rPr>
          <w:rFonts w:ascii="Arial" w:hAnsi="Arial"/>
          <w:i/>
          <w:sz w:val="20"/>
        </w:rPr>
        <w:t>overdose</w:t>
      </w:r>
      <w:r w:rsidRPr="00F56B47">
        <w:rPr>
          <w:rFonts w:ascii="Arial" w:hAnsi="Arial"/>
          <w:sz w:val="20"/>
        </w:rPr>
        <w:t xml:space="preserve"> a contactarem os serviços de emergência médica. O relatório descreve o modo como a disseminação da </w:t>
      </w:r>
      <w:proofErr w:type="spellStart"/>
      <w:r w:rsidRPr="00F56B47">
        <w:rPr>
          <w:rFonts w:ascii="Arial" w:hAnsi="Arial"/>
          <w:sz w:val="20"/>
        </w:rPr>
        <w:t>naloxona</w:t>
      </w:r>
      <w:proofErr w:type="spellEnd"/>
      <w:r w:rsidRPr="00F56B47">
        <w:rPr>
          <w:rFonts w:ascii="Arial" w:hAnsi="Arial"/>
          <w:sz w:val="20"/>
        </w:rPr>
        <w:t xml:space="preserve"> para utilização no domicílio foi facilitada pela introdução da legislação conhecida como a lei do «Bom Samaritano» em alguns países (</w:t>
      </w:r>
      <w:r w:rsidRPr="00F56B47">
        <w:rPr>
          <w:rFonts w:ascii="Arial" w:hAnsi="Arial"/>
          <w:b/>
          <w:sz w:val="20"/>
        </w:rPr>
        <w:t>Luxemburgo, Escócia</w:t>
      </w:r>
      <w:r w:rsidR="005D45C6">
        <w:rPr>
          <w:rFonts w:ascii="Arial" w:hAnsi="Arial"/>
          <w:sz w:val="20"/>
        </w:rPr>
        <w:t xml:space="preserve"> e</w:t>
      </w:r>
      <w:r w:rsidRPr="00F56B47">
        <w:rPr>
          <w:rFonts w:ascii="Arial" w:hAnsi="Arial"/>
          <w:b/>
          <w:sz w:val="20"/>
        </w:rPr>
        <w:t xml:space="preserve"> </w:t>
      </w:r>
      <w:r w:rsidRPr="00F56B47">
        <w:rPr>
          <w:rFonts w:ascii="Arial" w:hAnsi="Arial"/>
          <w:sz w:val="20"/>
        </w:rPr>
        <w:t>alguns estados dos</w:t>
      </w:r>
      <w:r w:rsidRPr="00F56B47">
        <w:rPr>
          <w:rFonts w:ascii="Arial" w:hAnsi="Arial"/>
          <w:b/>
          <w:sz w:val="20"/>
        </w:rPr>
        <w:t xml:space="preserve"> EUA</w:t>
      </w:r>
      <w:r w:rsidRPr="00F56B47">
        <w:rPr>
          <w:rFonts w:ascii="Arial" w:hAnsi="Arial"/>
          <w:sz w:val="20"/>
        </w:rPr>
        <w:t xml:space="preserve">), que isentam de responsabilidade pessoas sem formação específica que intervenham </w:t>
      </w:r>
      <w:r w:rsidR="005D45C6">
        <w:rPr>
          <w:rFonts w:ascii="Arial" w:hAnsi="Arial"/>
          <w:sz w:val="20"/>
        </w:rPr>
        <w:t xml:space="preserve">quando prestam </w:t>
      </w:r>
      <w:r w:rsidRPr="00F56B47">
        <w:rPr>
          <w:rFonts w:ascii="Arial" w:hAnsi="Arial"/>
          <w:sz w:val="20"/>
        </w:rPr>
        <w:t>assistência.</w:t>
      </w:r>
    </w:p>
    <w:p w:rsidR="000621D3" w:rsidRPr="00F56B47" w:rsidRDefault="00A02C06" w:rsidP="00A74111">
      <w:pPr>
        <w:rPr>
          <w:rFonts w:ascii="Arial" w:hAnsi="Arial" w:cs="Arial"/>
          <w:sz w:val="20"/>
          <w:szCs w:val="20"/>
        </w:rPr>
      </w:pPr>
      <w:r w:rsidRPr="00F56B47">
        <w:rPr>
          <w:rFonts w:ascii="Arial" w:hAnsi="Arial"/>
          <w:sz w:val="20"/>
        </w:rPr>
        <w:t xml:space="preserve">Apesar de a maioria dos Estados-Membros da UE não ter implementado disposições legais formais relativas à </w:t>
      </w:r>
      <w:proofErr w:type="spellStart"/>
      <w:r w:rsidRPr="00F56B47">
        <w:rPr>
          <w:rFonts w:ascii="Arial" w:hAnsi="Arial"/>
          <w:sz w:val="20"/>
        </w:rPr>
        <w:t>naloxona</w:t>
      </w:r>
      <w:proofErr w:type="spellEnd"/>
      <w:r w:rsidRPr="00F56B47">
        <w:rPr>
          <w:rFonts w:ascii="Arial" w:hAnsi="Arial"/>
          <w:sz w:val="20"/>
        </w:rPr>
        <w:t xml:space="preserve"> para utilização no domicílio, vári</w:t>
      </w:r>
      <w:r w:rsidR="005D45C6">
        <w:rPr>
          <w:rFonts w:ascii="Arial" w:hAnsi="Arial"/>
          <w:sz w:val="20"/>
        </w:rPr>
        <w:t>a</w:t>
      </w:r>
      <w:r w:rsidRPr="00F56B47">
        <w:rPr>
          <w:rFonts w:ascii="Arial" w:hAnsi="Arial"/>
          <w:sz w:val="20"/>
        </w:rPr>
        <w:t>s comunidades</w:t>
      </w:r>
      <w:r w:rsidR="005D45C6">
        <w:rPr>
          <w:rFonts w:ascii="Arial" w:hAnsi="Arial"/>
          <w:sz w:val="20"/>
        </w:rPr>
        <w:t xml:space="preserve"> e países</w:t>
      </w:r>
      <w:r w:rsidRPr="00F56B47">
        <w:rPr>
          <w:rFonts w:ascii="Arial" w:hAnsi="Arial"/>
          <w:sz w:val="20"/>
        </w:rPr>
        <w:t xml:space="preserve"> clarificaram </w:t>
      </w:r>
      <w:r w:rsidR="003554B7">
        <w:rPr>
          <w:rFonts w:ascii="Arial" w:hAnsi="Arial"/>
          <w:sz w:val="20"/>
        </w:rPr>
        <w:t>os estatutos jurídicos</w:t>
      </w:r>
      <w:r w:rsidR="008C1F0E">
        <w:rPr>
          <w:rFonts w:ascii="Arial" w:hAnsi="Arial"/>
          <w:sz w:val="20"/>
        </w:rPr>
        <w:t xml:space="preserve"> </w:t>
      </w:r>
      <w:r w:rsidR="003554B7">
        <w:rPr>
          <w:rFonts w:ascii="Arial" w:hAnsi="Arial"/>
          <w:sz w:val="20"/>
        </w:rPr>
        <w:t>no que se refere</w:t>
      </w:r>
      <w:r w:rsidR="008C1F0E">
        <w:rPr>
          <w:rFonts w:ascii="Arial" w:hAnsi="Arial"/>
          <w:sz w:val="20"/>
        </w:rPr>
        <w:t xml:space="preserve"> </w:t>
      </w:r>
      <w:r w:rsidR="003554B7">
        <w:rPr>
          <w:rFonts w:ascii="Arial" w:hAnsi="Arial"/>
          <w:sz w:val="20"/>
        </w:rPr>
        <w:t>à</w:t>
      </w:r>
      <w:r w:rsidRPr="00F56B47">
        <w:rPr>
          <w:rFonts w:ascii="Arial" w:hAnsi="Arial"/>
          <w:sz w:val="20"/>
        </w:rPr>
        <w:t xml:space="preserve"> sua prescrição e administração.</w:t>
      </w:r>
    </w:p>
    <w:p w:rsidR="000621D3" w:rsidRPr="00F56B47" w:rsidRDefault="006F5D36" w:rsidP="0026481E">
      <w:pPr>
        <w:pStyle w:val="MaintextstyleBlack"/>
        <w:keepNext/>
        <w:spacing w:after="260"/>
        <w:rPr>
          <w:rFonts w:cs="Trivia Sans Book"/>
          <w:b/>
        </w:rPr>
      </w:pPr>
      <w:proofErr w:type="gramStart"/>
      <w:r w:rsidRPr="00F56B47">
        <w:rPr>
          <w:b/>
        </w:rPr>
        <w:t>Opções para</w:t>
      </w:r>
      <w:proofErr w:type="gramEnd"/>
      <w:r w:rsidRPr="00F56B47">
        <w:rPr>
          <w:b/>
        </w:rPr>
        <w:t xml:space="preserve"> o futuro: novos produtos</w:t>
      </w:r>
    </w:p>
    <w:p w:rsidR="000621D3" w:rsidRPr="00F56B47" w:rsidRDefault="006F5D36" w:rsidP="006F5D36">
      <w:pPr>
        <w:pStyle w:val="MaintextstyleBlack"/>
        <w:spacing w:after="260"/>
        <w:rPr>
          <w:rFonts w:cs="Arial"/>
        </w:rPr>
      </w:pPr>
      <w:r w:rsidRPr="00F56B47">
        <w:t xml:space="preserve">As formulações de </w:t>
      </w:r>
      <w:proofErr w:type="spellStart"/>
      <w:r w:rsidRPr="00F56B47">
        <w:t>naloxona</w:t>
      </w:r>
      <w:proofErr w:type="spellEnd"/>
      <w:r w:rsidRPr="00F56B47">
        <w:t xml:space="preserve"> estão </w:t>
      </w:r>
      <w:proofErr w:type="spellStart"/>
      <w:r w:rsidRPr="00F56B47">
        <w:t>atualmente</w:t>
      </w:r>
      <w:proofErr w:type="spellEnd"/>
      <w:r w:rsidRPr="00F56B47">
        <w:t xml:space="preserve"> autorizadas </w:t>
      </w:r>
      <w:r w:rsidR="009B2CBA">
        <w:t>sob a</w:t>
      </w:r>
      <w:r w:rsidRPr="00F56B47">
        <w:t xml:space="preserve"> forma </w:t>
      </w:r>
      <w:proofErr w:type="spellStart"/>
      <w:r w:rsidRPr="00F56B47">
        <w:t>injetável</w:t>
      </w:r>
      <w:proofErr w:type="spellEnd"/>
      <w:r w:rsidRPr="00F56B47">
        <w:t>, o que pode constituir um obstáculo psicológico para a sua administração por pessoas sem formação médica, bem como um risco para quem administra o medicamento. Outras vias de administração mais seguras e fáceis estão</w:t>
      </w:r>
      <w:r w:rsidR="00E12E20">
        <w:t xml:space="preserve"> </w:t>
      </w:r>
      <w:proofErr w:type="spellStart"/>
      <w:r w:rsidR="009B2CBA">
        <w:t>atualmente</w:t>
      </w:r>
      <w:proofErr w:type="spellEnd"/>
      <w:r w:rsidR="009B2CBA">
        <w:t xml:space="preserve"> </w:t>
      </w:r>
      <w:r w:rsidRPr="00F56B47">
        <w:t xml:space="preserve">a ser desenvolvidas, as quais </w:t>
      </w:r>
      <w:r w:rsidR="009B2CBA">
        <w:t>pod</w:t>
      </w:r>
      <w:r w:rsidRPr="00F56B47">
        <w:t>erão contribuir para o uso mais alargado do medicamento.</w:t>
      </w:r>
    </w:p>
    <w:p w:rsidR="006F5D36" w:rsidRPr="00F56B47" w:rsidRDefault="006F5D36" w:rsidP="006F5D36">
      <w:pPr>
        <w:pStyle w:val="MaintextstyleBlack"/>
        <w:spacing w:after="260"/>
      </w:pPr>
      <w:r w:rsidRPr="00F56B47">
        <w:t xml:space="preserve">Em </w:t>
      </w:r>
      <w:proofErr w:type="spellStart"/>
      <w:r w:rsidRPr="00F56B47">
        <w:t>novembro</w:t>
      </w:r>
      <w:proofErr w:type="spellEnd"/>
      <w:r w:rsidRPr="00F56B47">
        <w:t xml:space="preserve"> de 2015, a</w:t>
      </w:r>
      <w:r w:rsidRPr="00F56B47">
        <w:rPr>
          <w:rFonts w:eastAsiaTheme="minorHAnsi"/>
          <w:b/>
        </w:rPr>
        <w:t xml:space="preserve"> </w:t>
      </w:r>
      <w:proofErr w:type="spellStart"/>
      <w:r w:rsidRPr="00D35151">
        <w:rPr>
          <w:rFonts w:eastAsiaTheme="minorHAnsi"/>
          <w:b/>
          <w:i/>
        </w:rPr>
        <w:t>Food</w:t>
      </w:r>
      <w:proofErr w:type="spellEnd"/>
      <w:r w:rsidRPr="00D35151">
        <w:rPr>
          <w:rFonts w:eastAsiaTheme="minorHAnsi"/>
          <w:b/>
          <w:i/>
        </w:rPr>
        <w:t xml:space="preserve"> </w:t>
      </w:r>
      <w:proofErr w:type="spellStart"/>
      <w:r w:rsidRPr="00D35151">
        <w:rPr>
          <w:rFonts w:eastAsiaTheme="minorHAnsi"/>
          <w:b/>
          <w:i/>
        </w:rPr>
        <w:t>and</w:t>
      </w:r>
      <w:proofErr w:type="spellEnd"/>
      <w:r w:rsidRPr="00D35151">
        <w:rPr>
          <w:rFonts w:eastAsiaTheme="minorHAnsi"/>
          <w:b/>
          <w:i/>
        </w:rPr>
        <w:t xml:space="preserve"> </w:t>
      </w:r>
      <w:proofErr w:type="spellStart"/>
      <w:r w:rsidRPr="00D35151">
        <w:rPr>
          <w:rFonts w:eastAsiaTheme="minorHAnsi"/>
          <w:b/>
          <w:i/>
        </w:rPr>
        <w:t>Drug</w:t>
      </w:r>
      <w:proofErr w:type="spellEnd"/>
      <w:r w:rsidRPr="00D35151">
        <w:rPr>
          <w:rFonts w:eastAsiaTheme="minorHAnsi"/>
          <w:b/>
          <w:i/>
        </w:rPr>
        <w:t xml:space="preserve"> </w:t>
      </w:r>
      <w:proofErr w:type="spellStart"/>
      <w:r w:rsidRPr="00D35151">
        <w:rPr>
          <w:rFonts w:eastAsiaTheme="minorHAnsi"/>
          <w:b/>
          <w:i/>
        </w:rPr>
        <w:t>Administration</w:t>
      </w:r>
      <w:proofErr w:type="spellEnd"/>
      <w:r w:rsidRPr="00F56B47">
        <w:rPr>
          <w:rFonts w:eastAsiaTheme="minorHAnsi"/>
          <w:b/>
        </w:rPr>
        <w:t xml:space="preserve"> </w:t>
      </w:r>
      <w:r w:rsidRPr="007B2F16">
        <w:rPr>
          <w:rFonts w:eastAsiaTheme="minorHAnsi"/>
        </w:rPr>
        <w:t>dos</w:t>
      </w:r>
      <w:r w:rsidRPr="00F56B47">
        <w:rPr>
          <w:rFonts w:eastAsiaTheme="minorHAnsi"/>
          <w:b/>
        </w:rPr>
        <w:t xml:space="preserve"> Estados Unidos</w:t>
      </w:r>
      <w:r w:rsidRPr="00F56B47">
        <w:t xml:space="preserve"> aprovou uma formulação concentrada de </w:t>
      </w:r>
      <w:proofErr w:type="spellStart"/>
      <w:r w:rsidRPr="00F56B47">
        <w:t>naloxona</w:t>
      </w:r>
      <w:proofErr w:type="spellEnd"/>
      <w:r w:rsidRPr="00F56B47">
        <w:t xml:space="preserve"> para uso nasal. Este desenvolvimento importante para facilitar o uso da </w:t>
      </w:r>
      <w:proofErr w:type="spellStart"/>
      <w:r w:rsidRPr="00F56B47">
        <w:t>naloxona</w:t>
      </w:r>
      <w:proofErr w:type="spellEnd"/>
      <w:r w:rsidRPr="00F56B47">
        <w:t xml:space="preserve"> por testemunhas de </w:t>
      </w:r>
      <w:proofErr w:type="gramStart"/>
      <w:r w:rsidRPr="00F56B47">
        <w:rPr>
          <w:i/>
        </w:rPr>
        <w:t>overdose</w:t>
      </w:r>
      <w:proofErr w:type="gramEnd"/>
      <w:r w:rsidRPr="00F56B47">
        <w:t xml:space="preserve"> abre a </w:t>
      </w:r>
      <w:proofErr w:type="spellStart"/>
      <w:r w:rsidRPr="00F56B47">
        <w:t>perspetiva</w:t>
      </w:r>
      <w:proofErr w:type="spellEnd"/>
      <w:r w:rsidRPr="00F56B47">
        <w:t xml:space="preserve"> </w:t>
      </w:r>
      <w:r w:rsidR="00A961FA">
        <w:t xml:space="preserve">para que </w:t>
      </w:r>
      <w:r w:rsidRPr="00F56B47">
        <w:t xml:space="preserve">a </w:t>
      </w:r>
      <w:proofErr w:type="spellStart"/>
      <w:r w:rsidRPr="00F56B47">
        <w:t>naloxona</w:t>
      </w:r>
      <w:proofErr w:type="spellEnd"/>
      <w:r w:rsidRPr="00F56B47">
        <w:t xml:space="preserve"> para uso nasal venha a ser disponibilizada na UE num futuro próximo. Na Europa, estão em curso programas piloto de </w:t>
      </w:r>
      <w:proofErr w:type="gramStart"/>
      <w:r w:rsidRPr="00F56B47">
        <w:rPr>
          <w:i/>
        </w:rPr>
        <w:t>spray</w:t>
      </w:r>
      <w:proofErr w:type="gramEnd"/>
      <w:r w:rsidRPr="00F56B47">
        <w:t xml:space="preserve"> nasal de </w:t>
      </w:r>
      <w:proofErr w:type="spellStart"/>
      <w:r w:rsidRPr="00F56B47">
        <w:t>naloxona</w:t>
      </w:r>
      <w:proofErr w:type="spellEnd"/>
      <w:r w:rsidR="00A15B7F">
        <w:t>, nomeadamente</w:t>
      </w:r>
      <w:r w:rsidRPr="00F56B47">
        <w:t xml:space="preserve"> na </w:t>
      </w:r>
      <w:r w:rsidRPr="00F56B47">
        <w:rPr>
          <w:b/>
        </w:rPr>
        <w:t>Dinamarca</w:t>
      </w:r>
      <w:r w:rsidRPr="00F56B47">
        <w:t xml:space="preserve"> e </w:t>
      </w:r>
      <w:r w:rsidRPr="00F56B47">
        <w:rPr>
          <w:b/>
        </w:rPr>
        <w:t>Noruega</w:t>
      </w:r>
      <w:r w:rsidRPr="00F56B47">
        <w:t xml:space="preserve">, enquanto a viabilidade de um comprimido bucal está a ser explorada no </w:t>
      </w:r>
      <w:r w:rsidRPr="00F56B47">
        <w:rPr>
          <w:b/>
        </w:rPr>
        <w:t>Reino Unido</w:t>
      </w:r>
      <w:r w:rsidRPr="00F56B47">
        <w:t>.</w:t>
      </w:r>
    </w:p>
    <w:p w:rsidR="000621D3" w:rsidRPr="00F56B47" w:rsidRDefault="003D09C3" w:rsidP="0026481E">
      <w:pPr>
        <w:keepNext/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b/>
          <w:sz w:val="20"/>
          <w:szCs w:val="18"/>
        </w:rPr>
      </w:pPr>
      <w:r>
        <w:rPr>
          <w:rFonts w:ascii="Arial" w:hAnsi="Arial"/>
          <w:b/>
          <w:sz w:val="20"/>
        </w:rPr>
        <w:t>Formação para</w:t>
      </w:r>
      <w:r w:rsidR="001967AB" w:rsidRPr="00F56B47">
        <w:rPr>
          <w:rFonts w:ascii="Arial" w:hAnsi="Arial"/>
          <w:b/>
          <w:sz w:val="20"/>
        </w:rPr>
        <w:t xml:space="preserve"> a família e amigos: um elemento essencial</w:t>
      </w:r>
    </w:p>
    <w:p w:rsidR="000621D3" w:rsidRPr="00F56B47" w:rsidRDefault="003D09C3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formação </w:t>
      </w:r>
      <w:r w:rsidR="0098500B" w:rsidRPr="00F56B47">
        <w:rPr>
          <w:rFonts w:ascii="Arial" w:hAnsi="Arial"/>
          <w:sz w:val="20"/>
        </w:rPr>
        <w:t xml:space="preserve">da família e </w:t>
      </w:r>
      <w:r w:rsidR="00171DBF">
        <w:rPr>
          <w:rFonts w:ascii="Arial" w:hAnsi="Arial"/>
          <w:sz w:val="20"/>
        </w:rPr>
        <w:t>dos</w:t>
      </w:r>
      <w:r w:rsidR="0098500B" w:rsidRPr="00F56B47">
        <w:rPr>
          <w:rFonts w:ascii="Arial" w:hAnsi="Arial"/>
          <w:sz w:val="20"/>
        </w:rPr>
        <w:t xml:space="preserve"> amigos é cada vez mais reconhecid</w:t>
      </w:r>
      <w:r>
        <w:rPr>
          <w:rFonts w:ascii="Arial" w:hAnsi="Arial"/>
          <w:sz w:val="20"/>
        </w:rPr>
        <w:t>a</w:t>
      </w:r>
      <w:r w:rsidR="0098500B" w:rsidRPr="00F56B47">
        <w:rPr>
          <w:rFonts w:ascii="Arial" w:hAnsi="Arial"/>
          <w:sz w:val="20"/>
        </w:rPr>
        <w:t xml:space="preserve"> como um elemento </w:t>
      </w:r>
      <w:proofErr w:type="gramStart"/>
      <w:r w:rsidR="0098500B" w:rsidRPr="00F56B47">
        <w:rPr>
          <w:rFonts w:ascii="Arial" w:hAnsi="Arial"/>
          <w:sz w:val="20"/>
        </w:rPr>
        <w:t xml:space="preserve">essencial  </w:t>
      </w:r>
      <w:r w:rsidR="003022BE">
        <w:rPr>
          <w:rFonts w:ascii="Arial" w:hAnsi="Arial"/>
          <w:sz w:val="20"/>
        </w:rPr>
        <w:t>para</w:t>
      </w:r>
      <w:proofErr w:type="gramEnd"/>
      <w:r w:rsidR="003022BE">
        <w:rPr>
          <w:rFonts w:ascii="Arial" w:hAnsi="Arial"/>
          <w:sz w:val="20"/>
        </w:rPr>
        <w:t xml:space="preserve"> uma</w:t>
      </w:r>
      <w:r w:rsidR="0098500B" w:rsidRPr="00F56B47">
        <w:rPr>
          <w:rFonts w:ascii="Arial" w:hAnsi="Arial"/>
          <w:sz w:val="20"/>
        </w:rPr>
        <w:t xml:space="preserve"> </w:t>
      </w:r>
      <w:r w:rsidR="003E7084">
        <w:rPr>
          <w:rFonts w:ascii="Arial" w:hAnsi="Arial"/>
          <w:sz w:val="20"/>
        </w:rPr>
        <w:t>resposta</w:t>
      </w:r>
      <w:r w:rsidR="004605F5">
        <w:rPr>
          <w:rFonts w:ascii="Arial" w:hAnsi="Arial"/>
          <w:sz w:val="20"/>
        </w:rPr>
        <w:t xml:space="preserve"> urgente e</w:t>
      </w:r>
      <w:r w:rsidR="003E7084">
        <w:rPr>
          <w:rFonts w:ascii="Arial" w:hAnsi="Arial"/>
          <w:sz w:val="20"/>
        </w:rPr>
        <w:t xml:space="preserve"> </w:t>
      </w:r>
      <w:r w:rsidR="0098500B" w:rsidRPr="00F56B47">
        <w:rPr>
          <w:rFonts w:ascii="Arial" w:hAnsi="Arial"/>
          <w:sz w:val="20"/>
        </w:rPr>
        <w:t>provisória</w:t>
      </w:r>
      <w:r w:rsidR="004605F5">
        <w:rPr>
          <w:rFonts w:ascii="Arial" w:hAnsi="Arial"/>
          <w:sz w:val="20"/>
        </w:rPr>
        <w:t xml:space="preserve"> </w:t>
      </w:r>
      <w:r w:rsidR="00685545">
        <w:rPr>
          <w:rFonts w:ascii="Arial" w:hAnsi="Arial"/>
          <w:sz w:val="20"/>
        </w:rPr>
        <w:t>em casos de</w:t>
      </w:r>
      <w:r w:rsidR="004605F5">
        <w:rPr>
          <w:rFonts w:ascii="Arial" w:hAnsi="Arial"/>
          <w:sz w:val="20"/>
        </w:rPr>
        <w:t xml:space="preserve"> </w:t>
      </w:r>
      <w:r w:rsidR="0098500B" w:rsidRPr="00F56B47">
        <w:rPr>
          <w:rFonts w:ascii="Arial" w:hAnsi="Arial"/>
          <w:i/>
          <w:sz w:val="20"/>
        </w:rPr>
        <w:t>overdose</w:t>
      </w:r>
      <w:r w:rsidR="00E12E20">
        <w:rPr>
          <w:rFonts w:ascii="Arial" w:hAnsi="Arial"/>
          <w:i/>
          <w:sz w:val="20"/>
        </w:rPr>
        <w:t xml:space="preserve"> </w:t>
      </w:r>
      <w:r w:rsidR="00685545">
        <w:rPr>
          <w:rFonts w:ascii="Arial" w:hAnsi="Arial"/>
          <w:sz w:val="20"/>
        </w:rPr>
        <w:t>utilizando</w:t>
      </w:r>
      <w:r w:rsidR="00F70A1E">
        <w:rPr>
          <w:rFonts w:ascii="Arial" w:hAnsi="Arial"/>
          <w:sz w:val="20"/>
        </w:rPr>
        <w:t>,</w:t>
      </w:r>
      <w:r w:rsidR="00685545">
        <w:rPr>
          <w:rFonts w:ascii="Arial" w:hAnsi="Arial"/>
          <w:sz w:val="20"/>
        </w:rPr>
        <w:t xml:space="preserve"> para o efeito</w:t>
      </w:r>
      <w:r w:rsidR="00F70A1E">
        <w:rPr>
          <w:rFonts w:ascii="Arial" w:hAnsi="Arial"/>
          <w:sz w:val="20"/>
        </w:rPr>
        <w:t>,</w:t>
      </w:r>
      <w:r w:rsidR="0098500B" w:rsidRPr="00F56B47">
        <w:rPr>
          <w:rFonts w:ascii="Arial" w:hAnsi="Arial"/>
          <w:sz w:val="20"/>
        </w:rPr>
        <w:t xml:space="preserve"> </w:t>
      </w:r>
      <w:r w:rsidR="00101677">
        <w:rPr>
          <w:rFonts w:ascii="Arial" w:hAnsi="Arial"/>
          <w:sz w:val="20"/>
        </w:rPr>
        <w:t xml:space="preserve">a </w:t>
      </w:r>
      <w:proofErr w:type="spellStart"/>
      <w:r w:rsidR="0098500B" w:rsidRPr="00F56B47">
        <w:rPr>
          <w:rFonts w:ascii="Arial" w:hAnsi="Arial"/>
          <w:sz w:val="20"/>
        </w:rPr>
        <w:t>naloxona</w:t>
      </w:r>
      <w:proofErr w:type="spellEnd"/>
      <w:r w:rsidR="0098500B" w:rsidRPr="00F56B47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A formação</w:t>
      </w:r>
      <w:r w:rsidR="0098500B" w:rsidRPr="00F56B47">
        <w:rPr>
          <w:rFonts w:ascii="Arial" w:hAnsi="Arial"/>
          <w:sz w:val="20"/>
        </w:rPr>
        <w:t xml:space="preserve"> ajuda as pessoas a familiarizarem-se com o medicamento e com as questões legais</w:t>
      </w:r>
      <w:r w:rsidR="004605F5">
        <w:rPr>
          <w:rFonts w:ascii="Arial" w:hAnsi="Arial"/>
          <w:sz w:val="20"/>
        </w:rPr>
        <w:t xml:space="preserve"> a ele</w:t>
      </w:r>
      <w:r w:rsidR="0098500B" w:rsidRPr="00F56B47">
        <w:rPr>
          <w:rFonts w:ascii="Arial" w:hAnsi="Arial"/>
          <w:sz w:val="20"/>
        </w:rPr>
        <w:t xml:space="preserve"> associadas, e a sentirem-se competentes para o usarem enquanto aguardam</w:t>
      </w:r>
      <w:r>
        <w:rPr>
          <w:rFonts w:ascii="Arial" w:hAnsi="Arial"/>
          <w:sz w:val="20"/>
        </w:rPr>
        <w:t xml:space="preserve"> a chegada</w:t>
      </w:r>
      <w:r w:rsidR="0098500B" w:rsidRPr="00F56B47">
        <w:rPr>
          <w:rFonts w:ascii="Arial" w:hAnsi="Arial"/>
          <w:sz w:val="20"/>
        </w:rPr>
        <w:t xml:space="preserve"> </w:t>
      </w:r>
      <w:r w:rsidR="00AE6F7A">
        <w:rPr>
          <w:rFonts w:ascii="Arial" w:hAnsi="Arial"/>
          <w:sz w:val="20"/>
        </w:rPr>
        <w:t>das equipas</w:t>
      </w:r>
      <w:r w:rsidR="0098500B" w:rsidRPr="00F56B47">
        <w:rPr>
          <w:rFonts w:ascii="Arial" w:hAnsi="Arial"/>
          <w:sz w:val="20"/>
        </w:rPr>
        <w:t xml:space="preserve"> de emergência.</w:t>
      </w:r>
    </w:p>
    <w:p w:rsidR="00FE29D6" w:rsidRPr="00F56B47" w:rsidRDefault="001E25E6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formação</w:t>
      </w:r>
      <w:r w:rsidR="00D87509" w:rsidRPr="00F56B47">
        <w:rPr>
          <w:rFonts w:ascii="Arial" w:hAnsi="Arial"/>
          <w:sz w:val="20"/>
        </w:rPr>
        <w:t xml:space="preserve"> para a utilização de </w:t>
      </w:r>
      <w:proofErr w:type="spellStart"/>
      <w:r w:rsidR="00D87509" w:rsidRPr="00F56B47">
        <w:rPr>
          <w:rFonts w:ascii="Arial" w:hAnsi="Arial"/>
          <w:sz w:val="20"/>
        </w:rPr>
        <w:t>naloxona</w:t>
      </w:r>
      <w:proofErr w:type="spellEnd"/>
      <w:r w:rsidR="00D87509" w:rsidRPr="00F56B4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 domicílio</w:t>
      </w:r>
      <w:r w:rsidR="00D87509" w:rsidRPr="00F56B47">
        <w:rPr>
          <w:rFonts w:ascii="Arial" w:hAnsi="Arial"/>
          <w:sz w:val="20"/>
        </w:rPr>
        <w:t xml:space="preserve"> pode variar em termos de intensidade e cobertura, devendo o nível de formação ser escolhido conforme o contexto, as necessidades do grupo-alvo e os recursos disponíveis. Entre as questões </w:t>
      </w:r>
      <w:r w:rsidR="007B4E19">
        <w:rPr>
          <w:rFonts w:ascii="Arial" w:hAnsi="Arial"/>
          <w:sz w:val="20"/>
        </w:rPr>
        <w:t>tratadas</w:t>
      </w:r>
      <w:r w:rsidR="00D87509" w:rsidRPr="00F56B47">
        <w:rPr>
          <w:rFonts w:ascii="Arial" w:hAnsi="Arial"/>
          <w:sz w:val="20"/>
        </w:rPr>
        <w:t xml:space="preserve"> durante a formação estão os potenciais efeitos secundários do uso de </w:t>
      </w:r>
      <w:proofErr w:type="spellStart"/>
      <w:r w:rsidR="00D87509" w:rsidRPr="00F56B47">
        <w:rPr>
          <w:rFonts w:ascii="Arial" w:hAnsi="Arial"/>
          <w:sz w:val="20"/>
        </w:rPr>
        <w:t>naloxona</w:t>
      </w:r>
      <w:proofErr w:type="spellEnd"/>
      <w:r w:rsidR="00D87509" w:rsidRPr="00F56B47">
        <w:rPr>
          <w:rFonts w:ascii="Arial" w:hAnsi="Arial"/>
          <w:sz w:val="20"/>
        </w:rPr>
        <w:t xml:space="preserve">, incluindo sintomas agudos de abstinência de opiáceos e o risco de </w:t>
      </w:r>
      <w:r w:rsidR="007B4E19">
        <w:rPr>
          <w:rFonts w:ascii="Arial" w:hAnsi="Arial"/>
          <w:sz w:val="20"/>
        </w:rPr>
        <w:t>nova-</w:t>
      </w:r>
      <w:r w:rsidR="00D87509" w:rsidRPr="00F56B47">
        <w:rPr>
          <w:rFonts w:ascii="Arial" w:hAnsi="Arial"/>
          <w:sz w:val="20"/>
        </w:rPr>
        <w:t xml:space="preserve">intoxicação após a recuperação, à medida que os efeitos da </w:t>
      </w:r>
      <w:proofErr w:type="spellStart"/>
      <w:r w:rsidR="00D87509" w:rsidRPr="00F56B47">
        <w:rPr>
          <w:rFonts w:ascii="Arial" w:hAnsi="Arial"/>
          <w:sz w:val="20"/>
        </w:rPr>
        <w:t>naloxona</w:t>
      </w:r>
      <w:proofErr w:type="spellEnd"/>
      <w:r w:rsidR="00D87509" w:rsidRPr="00F56B47">
        <w:rPr>
          <w:rFonts w:ascii="Arial" w:hAnsi="Arial"/>
          <w:sz w:val="20"/>
        </w:rPr>
        <w:t xml:space="preserve"> desaparecem.</w:t>
      </w:r>
    </w:p>
    <w:p w:rsidR="00CE5495" w:rsidRPr="00F56B47" w:rsidRDefault="00CE5495" w:rsidP="0026481E">
      <w:pPr>
        <w:keepNext/>
        <w:rPr>
          <w:rFonts w:ascii="Arial" w:hAnsi="Arial" w:cs="Arial"/>
          <w:b/>
          <w:sz w:val="20"/>
          <w:szCs w:val="20"/>
        </w:rPr>
      </w:pPr>
      <w:r w:rsidRPr="00F56B47">
        <w:rPr>
          <w:rFonts w:ascii="Arial" w:hAnsi="Arial"/>
          <w:b/>
          <w:sz w:val="20"/>
        </w:rPr>
        <w:t>Melhorar a disponibilidade para salvar mais vidas</w:t>
      </w:r>
    </w:p>
    <w:p w:rsidR="000621D3" w:rsidRPr="00F56B47" w:rsidRDefault="00BF4F3A" w:rsidP="00BF4F3A">
      <w:pPr>
        <w:pStyle w:val="MaintextstyleBlack"/>
        <w:spacing w:after="260"/>
        <w:rPr>
          <w:rFonts w:cs="Arial"/>
        </w:rPr>
      </w:pPr>
      <w:r w:rsidRPr="00F56B47">
        <w:t xml:space="preserve">A redução de </w:t>
      </w:r>
      <w:proofErr w:type="gramStart"/>
      <w:r w:rsidRPr="00F56B47">
        <w:rPr>
          <w:i/>
        </w:rPr>
        <w:t>overdoses</w:t>
      </w:r>
      <w:proofErr w:type="gramEnd"/>
      <w:r w:rsidRPr="00F56B47">
        <w:t xml:space="preserve"> fatais continua a constituir um desafio importante para a política de saúde pública. De acordo com o relatório </w:t>
      </w:r>
      <w:r w:rsidR="007B4E19">
        <w:t xml:space="preserve">hoje </w:t>
      </w:r>
      <w:r w:rsidRPr="00F56B47">
        <w:t>divulgado: «É urgente tomar medidas para melhorar a disponibili</w:t>
      </w:r>
      <w:r w:rsidR="00027E44">
        <w:t>dade</w:t>
      </w:r>
      <w:r w:rsidRPr="00F56B47">
        <w:t xml:space="preserve"> d</w:t>
      </w:r>
      <w:r w:rsidR="00027E44">
        <w:t>e</w:t>
      </w:r>
      <w:r w:rsidRPr="00F56B47">
        <w:t xml:space="preserve"> </w:t>
      </w:r>
      <w:proofErr w:type="spellStart"/>
      <w:r w:rsidRPr="00F56B47">
        <w:t>naloxona</w:t>
      </w:r>
      <w:proofErr w:type="spellEnd"/>
      <w:r w:rsidRPr="00F56B47">
        <w:t xml:space="preserve"> para utilização no domicílio»</w:t>
      </w:r>
      <w:r w:rsidR="00027E44">
        <w:t>, com</w:t>
      </w:r>
      <w:r w:rsidRPr="00F56B47">
        <w:t xml:space="preserve"> o antídoto </w:t>
      </w:r>
      <w:r w:rsidR="00621C45">
        <w:t xml:space="preserve">a estar </w:t>
      </w:r>
      <w:proofErr w:type="spellStart"/>
      <w:r w:rsidRPr="00F56B47">
        <w:t>atualmente</w:t>
      </w:r>
      <w:proofErr w:type="spellEnd"/>
      <w:r w:rsidRPr="00F56B47">
        <w:t xml:space="preserve"> disponível </w:t>
      </w:r>
      <w:r w:rsidR="00B80CE2">
        <w:t>apenas</w:t>
      </w:r>
      <w:r w:rsidR="00A961FA">
        <w:t xml:space="preserve"> </w:t>
      </w:r>
      <w:r w:rsidRPr="00F56B47">
        <w:t>em</w:t>
      </w:r>
      <w:r w:rsidR="00C46018">
        <w:t xml:space="preserve"> menos de</w:t>
      </w:r>
      <w:r w:rsidRPr="00F56B47">
        <w:t xml:space="preserve"> </w:t>
      </w:r>
      <w:r w:rsidR="00A71B2A">
        <w:t>um terço</w:t>
      </w:r>
      <w:bookmarkStart w:id="0" w:name="_GoBack"/>
      <w:bookmarkEnd w:id="0"/>
      <w:r w:rsidRPr="00F56B47">
        <w:t xml:space="preserve"> dos 28 Estados-Membros da UE.</w:t>
      </w:r>
    </w:p>
    <w:p w:rsidR="000621D3" w:rsidRPr="00F56B47" w:rsidRDefault="000621D3" w:rsidP="00BF4F3A">
      <w:pPr>
        <w:spacing w:after="260" w:line="260" w:lineRule="exact"/>
        <w:rPr>
          <w:rFonts w:ascii="Arial" w:hAnsi="Arial" w:cs="Arial"/>
          <w:sz w:val="20"/>
          <w:szCs w:val="20"/>
        </w:rPr>
      </w:pPr>
    </w:p>
    <w:p w:rsidR="00FE2469" w:rsidRPr="00F56B47" w:rsidRDefault="00187F41" w:rsidP="00BF4F3A">
      <w:pPr>
        <w:pStyle w:val="MaintextstyleBlack"/>
        <w:spacing w:after="260"/>
      </w:pPr>
      <w:r w:rsidRPr="00F56B47">
        <w:lastRenderedPageBreak/>
        <w:t>Cerca de 50 anos</w:t>
      </w:r>
      <w:r w:rsidR="00E12E20">
        <w:t xml:space="preserve"> </w:t>
      </w:r>
      <w:r w:rsidR="0041737B">
        <w:t>após</w:t>
      </w:r>
      <w:r w:rsidRPr="00F56B47">
        <w:t xml:space="preserve"> ter sido fabricada pela primeira vez, a </w:t>
      </w:r>
      <w:proofErr w:type="spellStart"/>
      <w:r w:rsidRPr="00F56B47">
        <w:t>naloxona</w:t>
      </w:r>
      <w:proofErr w:type="spellEnd"/>
      <w:r w:rsidRPr="00F56B47">
        <w:t xml:space="preserve"> continua a ser o fármaco preferido para a reversão</w:t>
      </w:r>
      <w:r w:rsidR="0041737B">
        <w:t xml:space="preserve"> dos efeitos</w:t>
      </w:r>
      <w:r w:rsidR="002E3B4A">
        <w:t xml:space="preserve"> provocados pela</w:t>
      </w:r>
      <w:r w:rsidRPr="00F56B47">
        <w:t xml:space="preserve"> </w:t>
      </w:r>
      <w:proofErr w:type="gramStart"/>
      <w:r w:rsidRPr="00F56B47">
        <w:rPr>
          <w:i/>
        </w:rPr>
        <w:t>overdose</w:t>
      </w:r>
      <w:proofErr w:type="gramEnd"/>
      <w:r w:rsidRPr="00F56B47">
        <w:t xml:space="preserve"> por opiáceos. Este relatório partilha as experiências existentes com o medicamento a fim de alargar a </w:t>
      </w:r>
      <w:proofErr w:type="spellStart"/>
      <w:r w:rsidR="009B1784">
        <w:t>atual</w:t>
      </w:r>
      <w:proofErr w:type="spellEnd"/>
      <w:r w:rsidR="009B1784">
        <w:t xml:space="preserve"> </w:t>
      </w:r>
      <w:r w:rsidRPr="00F56B47">
        <w:t xml:space="preserve">base de conhecimento necessária para a tomada de decisões e </w:t>
      </w:r>
      <w:r w:rsidR="00B512A7">
        <w:t>para</w:t>
      </w:r>
      <w:r w:rsidRPr="00F56B47">
        <w:t xml:space="preserve"> melhorar as respostas </w:t>
      </w:r>
      <w:r w:rsidR="00DF0F23">
        <w:t>de</w:t>
      </w:r>
      <w:r w:rsidRPr="00F56B47">
        <w:t xml:space="preserve"> tratamento </w:t>
      </w:r>
      <w:r w:rsidR="00675750">
        <w:t>em</w:t>
      </w:r>
      <w:r w:rsidR="00DF0F23">
        <w:t xml:space="preserve"> situações de</w:t>
      </w:r>
      <w:r w:rsidRPr="00F56B47">
        <w:t xml:space="preserve"> emergência.</w:t>
      </w:r>
    </w:p>
    <w:p w:rsidR="006D56A0" w:rsidRDefault="006D56A0" w:rsidP="00187F41">
      <w:pPr>
        <w:pStyle w:val="MaintextstyleBlack"/>
        <w:spacing w:after="0" w:line="240" w:lineRule="auto"/>
        <w:rPr>
          <w:b/>
          <w:sz w:val="18"/>
        </w:rPr>
      </w:pPr>
      <w:r w:rsidRPr="00F56B47">
        <w:rPr>
          <w:b/>
          <w:sz w:val="18"/>
        </w:rPr>
        <w:t>Notas</w:t>
      </w:r>
    </w:p>
    <w:p w:rsidR="00D604D3" w:rsidRPr="00F56B47" w:rsidRDefault="00D604D3" w:rsidP="00187F41">
      <w:pPr>
        <w:pStyle w:val="MaintextstyleBlack"/>
        <w:spacing w:after="0" w:line="240" w:lineRule="auto"/>
        <w:rPr>
          <w:b/>
          <w:sz w:val="18"/>
          <w:szCs w:val="18"/>
        </w:rPr>
      </w:pPr>
    </w:p>
    <w:p w:rsidR="00D16FFB" w:rsidRPr="007B2F16" w:rsidRDefault="007B2F16" w:rsidP="007B2F16">
      <w:pPr>
        <w:spacing w:after="0" w:line="240" w:lineRule="auto"/>
        <w:rPr>
          <w:rStyle w:val="Hyperlink"/>
          <w:sz w:val="18"/>
        </w:rPr>
      </w:pPr>
      <w:r w:rsidRPr="007B2F16">
        <w:rPr>
          <w:rFonts w:ascii="Arial" w:hAnsi="Arial" w:cs="Arial"/>
          <w:sz w:val="18"/>
          <w:szCs w:val="18"/>
        </w:rPr>
        <w:t>(</w:t>
      </w:r>
      <w:r w:rsidRPr="007B2F16">
        <w:rPr>
          <w:rFonts w:ascii="Arial" w:hAnsi="Arial" w:cs="Arial"/>
          <w:sz w:val="18"/>
          <w:szCs w:val="18"/>
          <w:vertAlign w:val="superscript"/>
        </w:rPr>
        <w:t>1</w:t>
      </w:r>
      <w:r w:rsidRPr="007B2F1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D16FFB" w:rsidRPr="007B2F16">
        <w:rPr>
          <w:rFonts w:ascii="Arial" w:hAnsi="Arial"/>
          <w:sz w:val="18"/>
        </w:rPr>
        <w:t xml:space="preserve">Para mais informações, consulte </w:t>
      </w:r>
      <w:hyperlink r:id="rId11">
        <w:r w:rsidR="00D16FFB" w:rsidRPr="007B2F16">
          <w:rPr>
            <w:rStyle w:val="Hyperlink"/>
            <w:sz w:val="18"/>
          </w:rPr>
          <w:t>www.emcdda.europa.eu/publications/insights</w:t>
        </w:r>
      </w:hyperlink>
    </w:p>
    <w:p w:rsidR="0014034B" w:rsidRPr="007B2F16" w:rsidRDefault="0014034B" w:rsidP="007B2F16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Editores: John </w:t>
      </w:r>
      <w:proofErr w:type="spellStart"/>
      <w:r>
        <w:rPr>
          <w:rFonts w:ascii="Arial" w:hAnsi="Arial" w:cs="Arial"/>
          <w:sz w:val="18"/>
          <w:szCs w:val="18"/>
        </w:rPr>
        <w:t>Strang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Rebecca</w:t>
      </w:r>
      <w:proofErr w:type="spellEnd"/>
      <w:r>
        <w:rPr>
          <w:rFonts w:ascii="Arial" w:hAnsi="Arial" w:cs="Arial"/>
          <w:sz w:val="18"/>
          <w:szCs w:val="18"/>
        </w:rPr>
        <w:t xml:space="preserve"> McDonald, </w:t>
      </w:r>
      <w:proofErr w:type="spellStart"/>
      <w:r w:rsidR="007B2F16" w:rsidRPr="007B2F16">
        <w:rPr>
          <w:rFonts w:ascii="Arial" w:hAnsi="Arial" w:cs="Arial"/>
          <w:i/>
          <w:iCs/>
          <w:sz w:val="18"/>
          <w:szCs w:val="18"/>
        </w:rPr>
        <w:t>National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7B2F16">
        <w:rPr>
          <w:rFonts w:ascii="Arial" w:hAnsi="Arial" w:cs="Arial"/>
          <w:i/>
          <w:iCs/>
          <w:sz w:val="18"/>
          <w:szCs w:val="18"/>
        </w:rPr>
        <w:t>Addiction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Centre, </w:t>
      </w:r>
      <w:proofErr w:type="spellStart"/>
      <w:r w:rsidR="007B2F16" w:rsidRPr="007B2F16">
        <w:rPr>
          <w:rFonts w:ascii="Arial" w:hAnsi="Arial" w:cs="Arial"/>
          <w:i/>
          <w:iCs/>
          <w:sz w:val="18"/>
          <w:szCs w:val="18"/>
        </w:rPr>
        <w:t>Addictions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7B2F16">
        <w:rPr>
          <w:rFonts w:ascii="Arial" w:hAnsi="Arial" w:cs="Arial"/>
          <w:i/>
          <w:iCs/>
          <w:sz w:val="18"/>
          <w:szCs w:val="18"/>
        </w:rPr>
        <w:t>Department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7B2F16" w:rsidRPr="007B2F16">
        <w:rPr>
          <w:rFonts w:ascii="Arial" w:hAnsi="Arial" w:cs="Arial"/>
          <w:i/>
          <w:iCs/>
          <w:sz w:val="18"/>
          <w:szCs w:val="18"/>
        </w:rPr>
        <w:t>Institute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Psychiatry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Psychology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and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Neuroscience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King’s</w:t>
      </w:r>
      <w:proofErr w:type="spellEnd"/>
      <w:r w:rsidR="007B2F16" w:rsidRPr="00D3515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B2F16" w:rsidRPr="00D35151">
        <w:rPr>
          <w:rFonts w:ascii="Arial" w:hAnsi="Arial" w:cs="Arial"/>
          <w:i/>
          <w:iCs/>
          <w:sz w:val="18"/>
          <w:szCs w:val="18"/>
        </w:rPr>
        <w:t>College</w:t>
      </w:r>
      <w:proofErr w:type="spellEnd"/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Londres, Reino Unido.</w:t>
      </w:r>
      <w:r w:rsidR="007B2F16" w:rsidRPr="007B2F16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0621D3" w:rsidRPr="00F56B47" w:rsidRDefault="00D16FFB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F56B47">
        <w:rPr>
          <w:sz w:val="18"/>
        </w:rPr>
        <w:t>(</w:t>
      </w:r>
      <w:r w:rsidRPr="00F56B47">
        <w:rPr>
          <w:sz w:val="18"/>
          <w:vertAlign w:val="superscript"/>
        </w:rPr>
        <w:t>2</w:t>
      </w:r>
      <w:r w:rsidRPr="00F56B47">
        <w:rPr>
          <w:sz w:val="18"/>
        </w:rPr>
        <w:t xml:space="preserve">) Além de reverter os efeitos de uma </w:t>
      </w:r>
      <w:proofErr w:type="gramStart"/>
      <w:r w:rsidRPr="00F56B47">
        <w:rPr>
          <w:i/>
          <w:sz w:val="18"/>
        </w:rPr>
        <w:t>overdose</w:t>
      </w:r>
      <w:proofErr w:type="gramEnd"/>
      <w:r w:rsidRPr="00F56B47">
        <w:rPr>
          <w:sz w:val="18"/>
        </w:rPr>
        <w:t xml:space="preserve"> de heroína ou de morfina, a </w:t>
      </w:r>
      <w:proofErr w:type="spellStart"/>
      <w:r w:rsidRPr="00F56B47">
        <w:rPr>
          <w:sz w:val="18"/>
        </w:rPr>
        <w:t>naloxona</w:t>
      </w:r>
      <w:proofErr w:type="spellEnd"/>
      <w:r w:rsidRPr="00F56B47">
        <w:rPr>
          <w:sz w:val="18"/>
        </w:rPr>
        <w:t xml:space="preserve"> também reverte a depressão respiratória causada por outros opiáceos, incluindo a metadona (dependendo da dose e via de administração).</w:t>
      </w:r>
    </w:p>
    <w:p w:rsidR="00BF4F3A" w:rsidRPr="00F56B47" w:rsidRDefault="00BF4F3A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F56B47">
        <w:rPr>
          <w:sz w:val="18"/>
        </w:rPr>
        <w:t>(</w:t>
      </w:r>
      <w:r w:rsidRPr="00F56B47">
        <w:rPr>
          <w:sz w:val="18"/>
          <w:vertAlign w:val="superscript"/>
        </w:rPr>
        <w:t>3</w:t>
      </w:r>
      <w:r w:rsidRPr="00F56B47">
        <w:rPr>
          <w:sz w:val="18"/>
        </w:rPr>
        <w:t xml:space="preserve">) Para mais informações, consulte </w:t>
      </w:r>
      <w:hyperlink r:id="rId12">
        <w:r w:rsidRPr="00F56B47">
          <w:rPr>
            <w:rStyle w:val="Hyperlink"/>
            <w:sz w:val="18"/>
          </w:rPr>
          <w:t>www.emcdda.europa.eu/best-practice/guidelines</w:t>
        </w:r>
      </w:hyperlink>
    </w:p>
    <w:p w:rsidR="00267B7E" w:rsidRPr="00F56B47" w:rsidRDefault="00267B7E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F56B47">
        <w:rPr>
          <w:sz w:val="18"/>
        </w:rPr>
        <w:t>(</w:t>
      </w:r>
      <w:r w:rsidRPr="00F56B47">
        <w:rPr>
          <w:sz w:val="18"/>
          <w:vertAlign w:val="superscript"/>
        </w:rPr>
        <w:t>4</w:t>
      </w:r>
      <w:r w:rsidRPr="00F56B47">
        <w:rPr>
          <w:sz w:val="18"/>
        </w:rPr>
        <w:t>) Apesar de a administração</w:t>
      </w:r>
      <w:r w:rsidR="00840C60">
        <w:rPr>
          <w:sz w:val="18"/>
        </w:rPr>
        <w:t xml:space="preserve"> </w:t>
      </w:r>
      <w:r w:rsidRPr="00F56B47">
        <w:rPr>
          <w:sz w:val="18"/>
        </w:rPr>
        <w:t xml:space="preserve">de </w:t>
      </w:r>
      <w:proofErr w:type="spellStart"/>
      <w:r w:rsidRPr="00F56B47">
        <w:rPr>
          <w:sz w:val="18"/>
        </w:rPr>
        <w:t>naloxona</w:t>
      </w:r>
      <w:proofErr w:type="spellEnd"/>
      <w:r w:rsidRPr="00F56B47">
        <w:rPr>
          <w:sz w:val="18"/>
        </w:rPr>
        <w:t xml:space="preserve"> por testemunhas ser uma resposta de emergência provisória que pode salvar a vida no caso de uma </w:t>
      </w:r>
      <w:proofErr w:type="gramStart"/>
      <w:r w:rsidRPr="00F56B47">
        <w:rPr>
          <w:i/>
          <w:sz w:val="18"/>
        </w:rPr>
        <w:t>overdose</w:t>
      </w:r>
      <w:proofErr w:type="gramEnd"/>
      <w:r w:rsidRPr="00F56B47">
        <w:rPr>
          <w:sz w:val="18"/>
        </w:rPr>
        <w:t xml:space="preserve"> por opiáceos, esta não deve ser vista como uma substituição dos cuidados médicos completos (orientações da OMS).</w:t>
      </w:r>
    </w:p>
    <w:p w:rsidR="006F5D36" w:rsidRPr="00F56B47" w:rsidRDefault="006F5D36" w:rsidP="00187F41">
      <w:pPr>
        <w:pStyle w:val="MaintextstyleBlack"/>
        <w:spacing w:after="0" w:line="240" w:lineRule="auto"/>
        <w:rPr>
          <w:rFonts w:cs="Arial"/>
          <w:color w:val="000000"/>
          <w:sz w:val="18"/>
          <w:szCs w:val="18"/>
        </w:rPr>
      </w:pPr>
      <w:r w:rsidRPr="00F56B47">
        <w:rPr>
          <w:sz w:val="18"/>
        </w:rPr>
        <w:t>(</w:t>
      </w:r>
      <w:r w:rsidRPr="00F56B47">
        <w:rPr>
          <w:sz w:val="18"/>
          <w:vertAlign w:val="superscript"/>
        </w:rPr>
        <w:t>5</w:t>
      </w:r>
      <w:r w:rsidRPr="00F56B47">
        <w:rPr>
          <w:sz w:val="18"/>
        </w:rPr>
        <w:t xml:space="preserve">) </w:t>
      </w:r>
      <w:r w:rsidRPr="00F56B47">
        <w:rPr>
          <w:color w:val="000000"/>
          <w:sz w:val="18"/>
        </w:rPr>
        <w:t xml:space="preserve">Fora da UE, foram estabelecidos programas na Austrália, Canadá e EUA. Também estão em curso </w:t>
      </w:r>
      <w:proofErr w:type="spellStart"/>
      <w:r w:rsidRPr="00F56B47">
        <w:rPr>
          <w:color w:val="000000"/>
          <w:sz w:val="18"/>
        </w:rPr>
        <w:t>projetos-piloto</w:t>
      </w:r>
      <w:proofErr w:type="spellEnd"/>
      <w:r w:rsidRPr="00F56B47">
        <w:rPr>
          <w:color w:val="000000"/>
          <w:sz w:val="18"/>
        </w:rPr>
        <w:t xml:space="preserve"> </w:t>
      </w:r>
      <w:r w:rsidRPr="00F56B47">
        <w:rPr>
          <w:sz w:val="18"/>
        </w:rPr>
        <w:t>no Afeganistão, China, Geórgia, Índia, Cazaquistão, Quirguistão, Tajiquistão, Tailândia, Ucrânia e no Vietname.</w:t>
      </w:r>
    </w:p>
    <w:p w:rsidR="006E2E83" w:rsidRPr="00F56B47" w:rsidRDefault="00FE2469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F56B47">
        <w:rPr>
          <w:sz w:val="18"/>
        </w:rPr>
        <w:t>(</w:t>
      </w:r>
      <w:r w:rsidRPr="00F56B47">
        <w:rPr>
          <w:sz w:val="18"/>
          <w:vertAlign w:val="superscript"/>
        </w:rPr>
        <w:t>6</w:t>
      </w:r>
      <w:r w:rsidRPr="00F56B47">
        <w:rPr>
          <w:sz w:val="18"/>
        </w:rPr>
        <w:t xml:space="preserve">) Para mais informações, consulte </w:t>
      </w:r>
      <w:hyperlink r:id="rId13">
        <w:r w:rsidRPr="00F56B47">
          <w:rPr>
            <w:rStyle w:val="Hyperlink"/>
            <w:sz w:val="18"/>
          </w:rPr>
          <w:t>www.emcdda.europa.eu/news/2015/naloxone</w:t>
        </w:r>
      </w:hyperlink>
    </w:p>
    <w:sectPr w:rsidR="006E2E83" w:rsidRPr="00F56B47" w:rsidSect="00187F41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135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0" w:rsidRDefault="007435D0" w:rsidP="009A28FB">
      <w:pPr>
        <w:spacing w:after="0" w:line="240" w:lineRule="auto"/>
      </w:pPr>
      <w:r>
        <w:separator/>
      </w:r>
    </w:p>
  </w:endnote>
  <w:endnote w:type="continuationSeparator" w:id="0">
    <w:p w:rsidR="007435D0" w:rsidRDefault="007435D0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F" w:csb1="00000000"/>
  </w:font>
  <w:font w:name="Trivia Sans Light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Medium">
    <w:altName w:val="Trivia Sans Medium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D84457" w:rsidRPr="00D84457" w:rsidTr="002F4635">
      <w:tc>
        <w:tcPr>
          <w:tcW w:w="1444" w:type="dxa"/>
        </w:tcPr>
        <w:p w:rsidR="00BF1E3B" w:rsidRPr="00D84457" w:rsidRDefault="00BF1E3B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7A45882" wp14:editId="76E45F9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proofErr w:type="gramStart"/>
          <w:r>
            <w:t>emcdda.europa.eu</w:t>
          </w:r>
          <w:proofErr w:type="gramEnd"/>
        </w:p>
      </w:tc>
      <w:tc>
        <w:tcPr>
          <w:tcW w:w="3294" w:type="dxa"/>
          <w:vAlign w:val="bottom"/>
        </w:tcPr>
        <w:p w:rsidR="00BF1E3B" w:rsidRPr="00D84457" w:rsidRDefault="002F4635" w:rsidP="00BF1E3B">
          <w:pPr>
            <w:pStyle w:val="newsReference"/>
            <w:jc w:val="right"/>
          </w:pPr>
          <w:r w:rsidRPr="00D84457">
            <w:fldChar w:fldCharType="begin"/>
          </w:r>
          <w:r w:rsidRPr="00D84457">
            <w:instrText xml:space="preserve"> PAGE   \* MERGEFORMAT </w:instrText>
          </w:r>
          <w:r w:rsidRPr="00D84457">
            <w:fldChar w:fldCharType="separate"/>
          </w:r>
          <w:r w:rsidR="00A71B2A">
            <w:rPr>
              <w:noProof/>
            </w:rPr>
            <w:t>2</w:t>
          </w:r>
          <w:r w:rsidRPr="00D84457">
            <w:rPr>
              <w:noProof/>
            </w:rPr>
            <w:fldChar w:fldCharType="end"/>
          </w:r>
        </w:p>
      </w:tc>
    </w:tr>
  </w:tbl>
  <w:p w:rsidR="00BF1E3B" w:rsidRPr="00D84457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D84457" w:rsidRPr="00D84457" w:rsidTr="003B00EE">
      <w:tc>
        <w:tcPr>
          <w:tcW w:w="7196" w:type="dxa"/>
        </w:tcPr>
        <w:p w:rsidR="0063677C" w:rsidRPr="00D84457" w:rsidRDefault="0063677C" w:rsidP="003B00EE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B3DBA50" wp14:editId="5A215186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Contacto: </w:t>
          </w:r>
          <w:proofErr w:type="spellStart"/>
          <w:r>
            <w:t>Kathy</w:t>
          </w:r>
          <w:proofErr w:type="spellEnd"/>
          <w:r>
            <w:t xml:space="preserve"> </w:t>
          </w:r>
          <w:proofErr w:type="spellStart"/>
          <w:r>
            <w:t>Robertson</w:t>
          </w:r>
          <w:proofErr w:type="spellEnd"/>
          <w:r>
            <w:t xml:space="preserve">, Relações media </w:t>
          </w:r>
          <w:r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D84457" w:rsidRDefault="0063677C" w:rsidP="003B00EE">
          <w:pPr>
            <w:pStyle w:val="newsCoordinates"/>
          </w:pPr>
          <w:r>
            <w:t xml:space="preserve">Praça Europa 1, Cais do Sodré, 1249-289 Lisboa, Portugal </w:t>
          </w:r>
        </w:p>
        <w:p w:rsidR="0063677C" w:rsidRPr="00D84457" w:rsidRDefault="0063677C" w:rsidP="003B00EE">
          <w:pPr>
            <w:pStyle w:val="newsCoordinates"/>
          </w:pPr>
          <w:r>
            <w:t xml:space="preserve">Tel.: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Pr="00D84457" w:rsidRDefault="008D1AF3" w:rsidP="008D1AF3">
          <w:pPr>
            <w:pStyle w:val="newsReference"/>
            <w:jc w:val="right"/>
          </w:pPr>
          <w:r>
            <w:t>PT — N.º 1/2016</w:t>
          </w:r>
        </w:p>
      </w:tc>
    </w:tr>
  </w:tbl>
  <w:p w:rsidR="0063677C" w:rsidRPr="00D84457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0" w:rsidRDefault="007435D0" w:rsidP="009A28FB">
      <w:pPr>
        <w:spacing w:after="0" w:line="240" w:lineRule="auto"/>
      </w:pPr>
      <w:r>
        <w:separator/>
      </w:r>
    </w:p>
  </w:footnote>
  <w:footnote w:type="continuationSeparator" w:id="0">
    <w:p w:rsidR="007435D0" w:rsidRDefault="007435D0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0718D4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18AE0FA" wp14:editId="07E5AA2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Prevenção </w:t>
          </w:r>
          <w:proofErr w:type="gramStart"/>
          <w:r>
            <w:rPr>
              <w:i/>
            </w:rPr>
            <w:t>overdose</w:t>
          </w:r>
          <w:proofErr w:type="gramEnd"/>
          <w:r>
            <w:t xml:space="preserve"> </w:t>
          </w:r>
          <w:r w:rsidR="004808B6">
            <w:t xml:space="preserve">de opiáceos </w:t>
          </w:r>
          <w:r>
            <w:t xml:space="preserve">com </w:t>
          </w:r>
          <w:proofErr w:type="spellStart"/>
          <w:r>
            <w:t>naloxona</w:t>
          </w:r>
          <w:proofErr w:type="spellEnd"/>
          <w:r>
            <w:t xml:space="preserve"> para utilização no domicílio </w:t>
          </w:r>
        </w:p>
      </w:tc>
      <w:tc>
        <w:tcPr>
          <w:tcW w:w="3294" w:type="dxa"/>
          <w:vAlign w:val="bottom"/>
        </w:tcPr>
        <w:p w:rsidR="00BF1E3B" w:rsidRDefault="000718D4" w:rsidP="008D1AF3">
          <w:pPr>
            <w:pStyle w:val="newsReference"/>
            <w:jc w:val="right"/>
          </w:pPr>
          <w:r w:rsidRPr="000718D4">
            <w:t>18</w:t>
          </w:r>
          <w:r w:rsidR="00B045F4" w:rsidRPr="000718D4">
            <w:t>.1.2016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E6"/>
    <w:multiLevelType w:val="hybridMultilevel"/>
    <w:tmpl w:val="85CA16E6"/>
    <w:lvl w:ilvl="0" w:tplc="D264FA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F"/>
    <w:rsid w:val="00000FC3"/>
    <w:rsid w:val="00014E8E"/>
    <w:rsid w:val="00025A29"/>
    <w:rsid w:val="000269BB"/>
    <w:rsid w:val="00027E44"/>
    <w:rsid w:val="00034EC2"/>
    <w:rsid w:val="00035C66"/>
    <w:rsid w:val="00036DAA"/>
    <w:rsid w:val="00047AFC"/>
    <w:rsid w:val="000535B7"/>
    <w:rsid w:val="000566BE"/>
    <w:rsid w:val="00057F4E"/>
    <w:rsid w:val="000621D3"/>
    <w:rsid w:val="00067DD3"/>
    <w:rsid w:val="000718D4"/>
    <w:rsid w:val="00073411"/>
    <w:rsid w:val="00073B6C"/>
    <w:rsid w:val="000973E0"/>
    <w:rsid w:val="000A5667"/>
    <w:rsid w:val="000C6200"/>
    <w:rsid w:val="000D647E"/>
    <w:rsid w:val="000E38E4"/>
    <w:rsid w:val="00101677"/>
    <w:rsid w:val="00105BFC"/>
    <w:rsid w:val="00106D5E"/>
    <w:rsid w:val="00107C96"/>
    <w:rsid w:val="0014034B"/>
    <w:rsid w:val="0014568E"/>
    <w:rsid w:val="00156F46"/>
    <w:rsid w:val="001679F3"/>
    <w:rsid w:val="00171DBF"/>
    <w:rsid w:val="00173D37"/>
    <w:rsid w:val="0017713E"/>
    <w:rsid w:val="001800D0"/>
    <w:rsid w:val="00187F41"/>
    <w:rsid w:val="00193094"/>
    <w:rsid w:val="00194A4C"/>
    <w:rsid w:val="001967AB"/>
    <w:rsid w:val="001A03E8"/>
    <w:rsid w:val="001A1917"/>
    <w:rsid w:val="001A3338"/>
    <w:rsid w:val="001A459A"/>
    <w:rsid w:val="001A5B94"/>
    <w:rsid w:val="001C795A"/>
    <w:rsid w:val="001D4466"/>
    <w:rsid w:val="001D5C26"/>
    <w:rsid w:val="001E25E6"/>
    <w:rsid w:val="001F70B4"/>
    <w:rsid w:val="002126B6"/>
    <w:rsid w:val="00221F6B"/>
    <w:rsid w:val="00223753"/>
    <w:rsid w:val="00240A44"/>
    <w:rsid w:val="002544C0"/>
    <w:rsid w:val="002557B0"/>
    <w:rsid w:val="002646E4"/>
    <w:rsid w:val="0026481E"/>
    <w:rsid w:val="00267B7E"/>
    <w:rsid w:val="0027252D"/>
    <w:rsid w:val="002759A2"/>
    <w:rsid w:val="0028141E"/>
    <w:rsid w:val="00291898"/>
    <w:rsid w:val="002920DB"/>
    <w:rsid w:val="002948E2"/>
    <w:rsid w:val="002A61F7"/>
    <w:rsid w:val="002B05CE"/>
    <w:rsid w:val="002B45AC"/>
    <w:rsid w:val="002D09D4"/>
    <w:rsid w:val="002D70DE"/>
    <w:rsid w:val="002E338F"/>
    <w:rsid w:val="002E3B4A"/>
    <w:rsid w:val="002E5B59"/>
    <w:rsid w:val="002E7CF0"/>
    <w:rsid w:val="002F3696"/>
    <w:rsid w:val="002F4635"/>
    <w:rsid w:val="002F6AEF"/>
    <w:rsid w:val="003022BE"/>
    <w:rsid w:val="0033158E"/>
    <w:rsid w:val="003414F4"/>
    <w:rsid w:val="0034612A"/>
    <w:rsid w:val="003554B7"/>
    <w:rsid w:val="0036121D"/>
    <w:rsid w:val="00361436"/>
    <w:rsid w:val="00363669"/>
    <w:rsid w:val="00387D02"/>
    <w:rsid w:val="003B0CFA"/>
    <w:rsid w:val="003B41B1"/>
    <w:rsid w:val="003C0395"/>
    <w:rsid w:val="003D09C3"/>
    <w:rsid w:val="003E0F49"/>
    <w:rsid w:val="003E3925"/>
    <w:rsid w:val="003E4116"/>
    <w:rsid w:val="003E7084"/>
    <w:rsid w:val="003E7EB1"/>
    <w:rsid w:val="003F44C4"/>
    <w:rsid w:val="003F73AC"/>
    <w:rsid w:val="00405E8C"/>
    <w:rsid w:val="00406914"/>
    <w:rsid w:val="004137B0"/>
    <w:rsid w:val="0041737B"/>
    <w:rsid w:val="004221D3"/>
    <w:rsid w:val="0042354B"/>
    <w:rsid w:val="0044111C"/>
    <w:rsid w:val="00444F9B"/>
    <w:rsid w:val="00445080"/>
    <w:rsid w:val="0045468D"/>
    <w:rsid w:val="004605F5"/>
    <w:rsid w:val="00467360"/>
    <w:rsid w:val="004748BA"/>
    <w:rsid w:val="004808B6"/>
    <w:rsid w:val="004847FB"/>
    <w:rsid w:val="00492349"/>
    <w:rsid w:val="004A5932"/>
    <w:rsid w:val="004B2A25"/>
    <w:rsid w:val="004B330A"/>
    <w:rsid w:val="004C3028"/>
    <w:rsid w:val="004C64DF"/>
    <w:rsid w:val="004D6E0C"/>
    <w:rsid w:val="004E46FB"/>
    <w:rsid w:val="004F2978"/>
    <w:rsid w:val="004F6951"/>
    <w:rsid w:val="00507688"/>
    <w:rsid w:val="00520EF1"/>
    <w:rsid w:val="00521C23"/>
    <w:rsid w:val="00523F00"/>
    <w:rsid w:val="0052637D"/>
    <w:rsid w:val="00542CEE"/>
    <w:rsid w:val="00544E47"/>
    <w:rsid w:val="00556103"/>
    <w:rsid w:val="00593633"/>
    <w:rsid w:val="005A0DC8"/>
    <w:rsid w:val="005A69AF"/>
    <w:rsid w:val="005B05A0"/>
    <w:rsid w:val="005B0882"/>
    <w:rsid w:val="005B1B63"/>
    <w:rsid w:val="005C4033"/>
    <w:rsid w:val="005D1A69"/>
    <w:rsid w:val="005D45C6"/>
    <w:rsid w:val="005D7413"/>
    <w:rsid w:val="005E0E3B"/>
    <w:rsid w:val="00606AA4"/>
    <w:rsid w:val="006116D9"/>
    <w:rsid w:val="00621C45"/>
    <w:rsid w:val="00623A55"/>
    <w:rsid w:val="00624E41"/>
    <w:rsid w:val="006303FD"/>
    <w:rsid w:val="006345E6"/>
    <w:rsid w:val="0063677C"/>
    <w:rsid w:val="00637053"/>
    <w:rsid w:val="006557EC"/>
    <w:rsid w:val="00666A63"/>
    <w:rsid w:val="00672271"/>
    <w:rsid w:val="00675750"/>
    <w:rsid w:val="00676297"/>
    <w:rsid w:val="00685545"/>
    <w:rsid w:val="00687761"/>
    <w:rsid w:val="006A473A"/>
    <w:rsid w:val="006A5514"/>
    <w:rsid w:val="006D22FC"/>
    <w:rsid w:val="006D56A0"/>
    <w:rsid w:val="006E2E83"/>
    <w:rsid w:val="006E4DF0"/>
    <w:rsid w:val="006F0842"/>
    <w:rsid w:val="006F5D36"/>
    <w:rsid w:val="007132B5"/>
    <w:rsid w:val="00721DCD"/>
    <w:rsid w:val="00723313"/>
    <w:rsid w:val="00730132"/>
    <w:rsid w:val="0074043F"/>
    <w:rsid w:val="007435D0"/>
    <w:rsid w:val="007439AA"/>
    <w:rsid w:val="00751866"/>
    <w:rsid w:val="00773814"/>
    <w:rsid w:val="00791F09"/>
    <w:rsid w:val="007B0E03"/>
    <w:rsid w:val="007B1CCD"/>
    <w:rsid w:val="007B2F16"/>
    <w:rsid w:val="007B4E19"/>
    <w:rsid w:val="007D74FA"/>
    <w:rsid w:val="00806053"/>
    <w:rsid w:val="00806250"/>
    <w:rsid w:val="0081367F"/>
    <w:rsid w:val="00813FB5"/>
    <w:rsid w:val="008155BC"/>
    <w:rsid w:val="00826804"/>
    <w:rsid w:val="00835601"/>
    <w:rsid w:val="00840C60"/>
    <w:rsid w:val="00840D40"/>
    <w:rsid w:val="00840DA7"/>
    <w:rsid w:val="00841E86"/>
    <w:rsid w:val="008449A5"/>
    <w:rsid w:val="00847A9E"/>
    <w:rsid w:val="00881730"/>
    <w:rsid w:val="00892B45"/>
    <w:rsid w:val="00895C8A"/>
    <w:rsid w:val="00896AB3"/>
    <w:rsid w:val="008C1172"/>
    <w:rsid w:val="008C11E4"/>
    <w:rsid w:val="008C1F0E"/>
    <w:rsid w:val="008C5CB7"/>
    <w:rsid w:val="008D1AF3"/>
    <w:rsid w:val="008D26FE"/>
    <w:rsid w:val="008D54B3"/>
    <w:rsid w:val="008F177B"/>
    <w:rsid w:val="008F1910"/>
    <w:rsid w:val="008F399E"/>
    <w:rsid w:val="0090147F"/>
    <w:rsid w:val="00902300"/>
    <w:rsid w:val="009059B3"/>
    <w:rsid w:val="00906CD1"/>
    <w:rsid w:val="00913C99"/>
    <w:rsid w:val="00924E76"/>
    <w:rsid w:val="009316DD"/>
    <w:rsid w:val="00933371"/>
    <w:rsid w:val="00936CEB"/>
    <w:rsid w:val="00952E8E"/>
    <w:rsid w:val="009543CB"/>
    <w:rsid w:val="00955712"/>
    <w:rsid w:val="00955F0C"/>
    <w:rsid w:val="00962276"/>
    <w:rsid w:val="009642C0"/>
    <w:rsid w:val="00974A27"/>
    <w:rsid w:val="0098500B"/>
    <w:rsid w:val="009A28FB"/>
    <w:rsid w:val="009B1784"/>
    <w:rsid w:val="009B2CBA"/>
    <w:rsid w:val="009C4C43"/>
    <w:rsid w:val="009C665E"/>
    <w:rsid w:val="009D6255"/>
    <w:rsid w:val="009E427A"/>
    <w:rsid w:val="009F0118"/>
    <w:rsid w:val="009F2EBE"/>
    <w:rsid w:val="009F2F05"/>
    <w:rsid w:val="009F399D"/>
    <w:rsid w:val="009F4FB0"/>
    <w:rsid w:val="009F657B"/>
    <w:rsid w:val="00A02C06"/>
    <w:rsid w:val="00A0788A"/>
    <w:rsid w:val="00A15B7F"/>
    <w:rsid w:val="00A16B77"/>
    <w:rsid w:val="00A300B6"/>
    <w:rsid w:val="00A311EF"/>
    <w:rsid w:val="00A3254D"/>
    <w:rsid w:val="00A43A68"/>
    <w:rsid w:val="00A661E2"/>
    <w:rsid w:val="00A67E40"/>
    <w:rsid w:val="00A71B2A"/>
    <w:rsid w:val="00A74111"/>
    <w:rsid w:val="00A8176C"/>
    <w:rsid w:val="00A8407D"/>
    <w:rsid w:val="00A856B7"/>
    <w:rsid w:val="00A91484"/>
    <w:rsid w:val="00A92FDC"/>
    <w:rsid w:val="00A961FA"/>
    <w:rsid w:val="00AB6C13"/>
    <w:rsid w:val="00AC7A46"/>
    <w:rsid w:val="00AD2444"/>
    <w:rsid w:val="00AD6CBC"/>
    <w:rsid w:val="00AD7BFC"/>
    <w:rsid w:val="00AE093C"/>
    <w:rsid w:val="00AE1738"/>
    <w:rsid w:val="00AE30BD"/>
    <w:rsid w:val="00AE6F7A"/>
    <w:rsid w:val="00AF13B3"/>
    <w:rsid w:val="00AF259D"/>
    <w:rsid w:val="00AF7C1F"/>
    <w:rsid w:val="00B00F71"/>
    <w:rsid w:val="00B045F4"/>
    <w:rsid w:val="00B11B73"/>
    <w:rsid w:val="00B22F43"/>
    <w:rsid w:val="00B24BD6"/>
    <w:rsid w:val="00B25554"/>
    <w:rsid w:val="00B2725E"/>
    <w:rsid w:val="00B272F1"/>
    <w:rsid w:val="00B352CD"/>
    <w:rsid w:val="00B512A7"/>
    <w:rsid w:val="00B51E08"/>
    <w:rsid w:val="00B550E7"/>
    <w:rsid w:val="00B57464"/>
    <w:rsid w:val="00B61036"/>
    <w:rsid w:val="00B72DD3"/>
    <w:rsid w:val="00B7335C"/>
    <w:rsid w:val="00B80CE2"/>
    <w:rsid w:val="00B835F8"/>
    <w:rsid w:val="00B84FFD"/>
    <w:rsid w:val="00B86ED0"/>
    <w:rsid w:val="00B97BC5"/>
    <w:rsid w:val="00BA43A0"/>
    <w:rsid w:val="00BB0794"/>
    <w:rsid w:val="00BB60CF"/>
    <w:rsid w:val="00BC3E15"/>
    <w:rsid w:val="00BC59C2"/>
    <w:rsid w:val="00BF1E3B"/>
    <w:rsid w:val="00BF4F3A"/>
    <w:rsid w:val="00BF6ED1"/>
    <w:rsid w:val="00C001A5"/>
    <w:rsid w:val="00C00F38"/>
    <w:rsid w:val="00C17AEA"/>
    <w:rsid w:val="00C30D55"/>
    <w:rsid w:val="00C36147"/>
    <w:rsid w:val="00C36BC1"/>
    <w:rsid w:val="00C46018"/>
    <w:rsid w:val="00C628C4"/>
    <w:rsid w:val="00C63254"/>
    <w:rsid w:val="00C63BD7"/>
    <w:rsid w:val="00C874C0"/>
    <w:rsid w:val="00CA2FF5"/>
    <w:rsid w:val="00CA47CB"/>
    <w:rsid w:val="00CB49DA"/>
    <w:rsid w:val="00CC1F19"/>
    <w:rsid w:val="00CC4FDA"/>
    <w:rsid w:val="00CC6A8B"/>
    <w:rsid w:val="00CE391C"/>
    <w:rsid w:val="00CE5495"/>
    <w:rsid w:val="00CF1F71"/>
    <w:rsid w:val="00CF6779"/>
    <w:rsid w:val="00D01335"/>
    <w:rsid w:val="00D0143C"/>
    <w:rsid w:val="00D01F45"/>
    <w:rsid w:val="00D03EC6"/>
    <w:rsid w:val="00D066E6"/>
    <w:rsid w:val="00D16FFB"/>
    <w:rsid w:val="00D230CA"/>
    <w:rsid w:val="00D3312B"/>
    <w:rsid w:val="00D35151"/>
    <w:rsid w:val="00D37865"/>
    <w:rsid w:val="00D55CE1"/>
    <w:rsid w:val="00D57367"/>
    <w:rsid w:val="00D60097"/>
    <w:rsid w:val="00D604D3"/>
    <w:rsid w:val="00D71673"/>
    <w:rsid w:val="00D80048"/>
    <w:rsid w:val="00D84457"/>
    <w:rsid w:val="00D84AE3"/>
    <w:rsid w:val="00D86903"/>
    <w:rsid w:val="00D87509"/>
    <w:rsid w:val="00D92A34"/>
    <w:rsid w:val="00DB73FD"/>
    <w:rsid w:val="00DC13CB"/>
    <w:rsid w:val="00DD14AC"/>
    <w:rsid w:val="00DD5920"/>
    <w:rsid w:val="00DD5D20"/>
    <w:rsid w:val="00DE45C2"/>
    <w:rsid w:val="00DE70BF"/>
    <w:rsid w:val="00DF0867"/>
    <w:rsid w:val="00DF0F23"/>
    <w:rsid w:val="00DF2377"/>
    <w:rsid w:val="00E05F32"/>
    <w:rsid w:val="00E12E20"/>
    <w:rsid w:val="00E31BEB"/>
    <w:rsid w:val="00E321BA"/>
    <w:rsid w:val="00E43B13"/>
    <w:rsid w:val="00E57C9D"/>
    <w:rsid w:val="00E6029A"/>
    <w:rsid w:val="00E66CCD"/>
    <w:rsid w:val="00E6737B"/>
    <w:rsid w:val="00E73C8D"/>
    <w:rsid w:val="00E81F3D"/>
    <w:rsid w:val="00E83FC3"/>
    <w:rsid w:val="00E90AC8"/>
    <w:rsid w:val="00EB0E35"/>
    <w:rsid w:val="00EB16B2"/>
    <w:rsid w:val="00EE23CC"/>
    <w:rsid w:val="00EF01D5"/>
    <w:rsid w:val="00EF4ECB"/>
    <w:rsid w:val="00EF69DA"/>
    <w:rsid w:val="00F06CDE"/>
    <w:rsid w:val="00F079A0"/>
    <w:rsid w:val="00F108A6"/>
    <w:rsid w:val="00F21CA9"/>
    <w:rsid w:val="00F24096"/>
    <w:rsid w:val="00F321D5"/>
    <w:rsid w:val="00F34A75"/>
    <w:rsid w:val="00F414EF"/>
    <w:rsid w:val="00F47542"/>
    <w:rsid w:val="00F56B47"/>
    <w:rsid w:val="00F63E33"/>
    <w:rsid w:val="00F7025C"/>
    <w:rsid w:val="00F70A1E"/>
    <w:rsid w:val="00F741DB"/>
    <w:rsid w:val="00F8638B"/>
    <w:rsid w:val="00F90D54"/>
    <w:rsid w:val="00FB351B"/>
    <w:rsid w:val="00FB4AD6"/>
    <w:rsid w:val="00FC0187"/>
    <w:rsid w:val="00FC4683"/>
    <w:rsid w:val="00FC5EB4"/>
    <w:rsid w:val="00FD38B4"/>
    <w:rsid w:val="00FE2469"/>
    <w:rsid w:val="00FE29D6"/>
    <w:rsid w:val="00FE3721"/>
    <w:rsid w:val="00FE4789"/>
    <w:rsid w:val="00FE7386"/>
    <w:rsid w:val="00FE738A"/>
    <w:rsid w:val="00FF0AD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  <w:style w:type="character" w:styleId="FollowedHyperlink">
    <w:name w:val="FollowedHyperlink"/>
    <w:basedOn w:val="DefaultParagraphFont"/>
    <w:uiPriority w:val="99"/>
    <w:semiHidden/>
    <w:unhideWhenUsed/>
    <w:rsid w:val="00F56B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  <w:style w:type="character" w:styleId="FollowedHyperlink">
    <w:name w:val="FollowedHyperlink"/>
    <w:basedOn w:val="DefaultParagraphFont"/>
    <w:uiPriority w:val="99"/>
    <w:semiHidden/>
    <w:unhideWhenUsed/>
    <w:rsid w:val="00F56B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news/2015/naloxo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best-practice/guidel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publications/insigh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1B76-0DDB-43DB-80F4-C684E3AC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Translation Centre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keywords>News release EN</cp:keywords>
  <cp:lastModifiedBy>Rosemary Martin de Sousa</cp:lastModifiedBy>
  <cp:revision>7</cp:revision>
  <cp:lastPrinted>2016-01-18T11:16:00Z</cp:lastPrinted>
  <dcterms:created xsi:type="dcterms:W3CDTF">2016-01-15T14:57:00Z</dcterms:created>
  <dcterms:modified xsi:type="dcterms:W3CDTF">2016-01-18T11:21:00Z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