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Tr="001F70B4">
        <w:trPr>
          <w:trHeight w:val="1695"/>
        </w:trPr>
        <w:tc>
          <w:tcPr>
            <w:tcW w:w="2331" w:type="pct"/>
          </w:tcPr>
          <w:p w:rsidR="00EE23CC" w:rsidRDefault="00EE23CC" w:rsidP="00EE23CC">
            <w:r>
              <w:rPr>
                <w:noProof/>
                <w:lang w:eastAsia="en-GB"/>
              </w:rPr>
              <w:drawing>
                <wp:inline distT="0" distB="0" distL="0" distR="0" wp14:anchorId="7A53FDF3" wp14:editId="034246F8">
                  <wp:extent cx="2588260" cy="611505"/>
                  <wp:effectExtent l="19050" t="19050" r="21590" b="171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260" cy="6115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Default="00EE23CC" w:rsidP="00EE23CC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Tr="001F70B4">
        <w:trPr>
          <w:trHeight w:val="1304"/>
        </w:trPr>
        <w:tc>
          <w:tcPr>
            <w:tcW w:w="12796" w:type="dxa"/>
            <w:vAlign w:val="bottom"/>
          </w:tcPr>
          <w:p w:rsidR="00EE23CC" w:rsidRDefault="001F70B4" w:rsidP="001F70B4">
            <w:r>
              <w:rPr>
                <w:noProof/>
                <w:lang w:eastAsia="en-GB"/>
              </w:rPr>
              <w:drawing>
                <wp:inline distT="0" distB="0" distL="0" distR="0" wp14:anchorId="3B2239F8" wp14:editId="2B16B470">
                  <wp:extent cx="7562850" cy="9239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B77" w:rsidRPr="00B24BD6" w:rsidRDefault="00D16FFB" w:rsidP="00291898">
      <w:pPr>
        <w:pStyle w:val="newsTitle"/>
        <w:spacing w:before="160"/>
        <w:rPr>
          <w:b/>
          <w:sz w:val="22"/>
        </w:rPr>
      </w:pPr>
      <w:r>
        <w:rPr>
          <w:sz w:val="22"/>
        </w:rPr>
        <w:t xml:space="preserve">preventing opioid overdose deaths with </w:t>
      </w:r>
      <w:r w:rsidR="00B24BD6" w:rsidRPr="00B24BD6">
        <w:rPr>
          <w:sz w:val="22"/>
        </w:rPr>
        <w:t xml:space="preserve">take-home </w:t>
      </w:r>
      <w:r>
        <w:rPr>
          <w:sz w:val="22"/>
        </w:rPr>
        <w:t xml:space="preserve">naloxone </w:t>
      </w:r>
    </w:p>
    <w:p w:rsidR="002D70DE" w:rsidRPr="009642C0" w:rsidRDefault="00D16FFB" w:rsidP="002D70DE">
      <w:pPr>
        <w:pStyle w:val="newsSubTitle"/>
        <w:rPr>
          <w:sz w:val="22"/>
        </w:rPr>
      </w:pPr>
      <w:r>
        <w:rPr>
          <w:sz w:val="22"/>
        </w:rPr>
        <w:t>New EMCDDA insights into n</w:t>
      </w:r>
      <w:r w:rsidRPr="00D16FFB">
        <w:rPr>
          <w:sz w:val="22"/>
        </w:rPr>
        <w:t>aloxone, the o</w:t>
      </w:r>
      <w:r w:rsidR="002D70DE" w:rsidRPr="00D16FFB">
        <w:rPr>
          <w:sz w:val="22"/>
        </w:rPr>
        <w:t xml:space="preserve">verdose antidote </w:t>
      </w:r>
      <w:r w:rsidRPr="00D16FFB">
        <w:rPr>
          <w:sz w:val="22"/>
        </w:rPr>
        <w:t>tha</w:t>
      </w:r>
      <w:r w:rsidR="00CC2C33">
        <w:rPr>
          <w:sz w:val="22"/>
        </w:rPr>
        <w:t>t</w:t>
      </w:r>
      <w:r w:rsidRPr="00D16FFB">
        <w:rPr>
          <w:sz w:val="22"/>
        </w:rPr>
        <w:t xml:space="preserve"> can </w:t>
      </w:r>
      <w:r>
        <w:rPr>
          <w:sz w:val="22"/>
        </w:rPr>
        <w:t xml:space="preserve">help </w:t>
      </w:r>
      <w:r w:rsidR="002D70DE" w:rsidRPr="00D16FFB">
        <w:rPr>
          <w:sz w:val="22"/>
        </w:rPr>
        <w:t>save lives</w:t>
      </w:r>
    </w:p>
    <w:p w:rsidR="00B84FFD" w:rsidRPr="00E6029A" w:rsidRDefault="00073411" w:rsidP="00A16B77">
      <w:pPr>
        <w:pStyle w:val="newsContent"/>
        <w:rPr>
          <w:szCs w:val="20"/>
        </w:rPr>
      </w:pPr>
      <w:r w:rsidRPr="006D56A0">
        <w:rPr>
          <w:szCs w:val="20"/>
        </w:rPr>
        <w:t>(</w:t>
      </w:r>
      <w:r w:rsidR="00E125F0">
        <w:rPr>
          <w:szCs w:val="20"/>
        </w:rPr>
        <w:t>18</w:t>
      </w:r>
      <w:r w:rsidRPr="006D56A0">
        <w:rPr>
          <w:szCs w:val="20"/>
        </w:rPr>
        <w:t>.</w:t>
      </w:r>
      <w:r w:rsidRPr="00E6029A">
        <w:rPr>
          <w:szCs w:val="20"/>
        </w:rPr>
        <w:t xml:space="preserve">1.2016, LISBON) </w:t>
      </w:r>
      <w:r w:rsidR="000269BB" w:rsidRPr="00E6029A">
        <w:rPr>
          <w:szCs w:val="20"/>
        </w:rPr>
        <w:t>B</w:t>
      </w:r>
      <w:r w:rsidR="009642C0" w:rsidRPr="00E6029A">
        <w:rPr>
          <w:szCs w:val="20"/>
        </w:rPr>
        <w:t>etween 6 000 and 8 000 drug-induced deaths are reported in Europe</w:t>
      </w:r>
      <w:r w:rsidR="000269BB" w:rsidRPr="00E6029A">
        <w:rPr>
          <w:szCs w:val="20"/>
        </w:rPr>
        <w:t xml:space="preserve"> every year</w:t>
      </w:r>
      <w:r w:rsidR="009642C0" w:rsidRPr="00E6029A">
        <w:rPr>
          <w:szCs w:val="20"/>
        </w:rPr>
        <w:t>, with opioids</w:t>
      </w:r>
      <w:r w:rsidR="00193094" w:rsidRPr="00E6029A">
        <w:rPr>
          <w:szCs w:val="20"/>
        </w:rPr>
        <w:t>, such as heroin,</w:t>
      </w:r>
      <w:r w:rsidR="009642C0" w:rsidRPr="00E6029A">
        <w:rPr>
          <w:szCs w:val="20"/>
        </w:rPr>
        <w:t xml:space="preserve"> </w:t>
      </w:r>
      <w:r w:rsidR="00CA47CB" w:rsidRPr="00E6029A">
        <w:rPr>
          <w:szCs w:val="20"/>
        </w:rPr>
        <w:t xml:space="preserve">found </w:t>
      </w:r>
      <w:r w:rsidR="009642C0" w:rsidRPr="00E6029A">
        <w:rPr>
          <w:szCs w:val="20"/>
        </w:rPr>
        <w:t xml:space="preserve">in most </w:t>
      </w:r>
      <w:r w:rsidR="00CA47CB" w:rsidRPr="00E6029A">
        <w:rPr>
          <w:szCs w:val="20"/>
        </w:rPr>
        <w:t xml:space="preserve">overdose </w:t>
      </w:r>
      <w:r w:rsidR="009642C0" w:rsidRPr="00E6029A">
        <w:rPr>
          <w:szCs w:val="20"/>
        </w:rPr>
        <w:t xml:space="preserve">cases. </w:t>
      </w:r>
      <w:r w:rsidR="00CA47CB" w:rsidRPr="00E6029A">
        <w:rPr>
          <w:szCs w:val="20"/>
        </w:rPr>
        <w:t xml:space="preserve">Yet with </w:t>
      </w:r>
      <w:r w:rsidR="00B84FFD" w:rsidRPr="00E6029A">
        <w:rPr>
          <w:szCs w:val="20"/>
        </w:rPr>
        <w:t xml:space="preserve">adequate </w:t>
      </w:r>
      <w:r w:rsidR="00F7025C" w:rsidRPr="00E6029A">
        <w:rPr>
          <w:szCs w:val="20"/>
        </w:rPr>
        <w:t>intervention</w:t>
      </w:r>
      <w:r w:rsidR="00F90D54" w:rsidRPr="00E6029A">
        <w:rPr>
          <w:szCs w:val="20"/>
        </w:rPr>
        <w:t>,</w:t>
      </w:r>
      <w:r w:rsidR="00F7025C" w:rsidRPr="00E6029A">
        <w:rPr>
          <w:szCs w:val="20"/>
        </w:rPr>
        <w:t xml:space="preserve"> using the </w:t>
      </w:r>
      <w:r w:rsidR="001A03E8" w:rsidRPr="00E6029A">
        <w:rPr>
          <w:szCs w:val="20"/>
        </w:rPr>
        <w:t>overdose-</w:t>
      </w:r>
      <w:r w:rsidR="00F7025C" w:rsidRPr="00E6029A">
        <w:rPr>
          <w:szCs w:val="20"/>
        </w:rPr>
        <w:t>reversal drug naloxone</w:t>
      </w:r>
      <w:r w:rsidR="00CA47CB" w:rsidRPr="00E6029A">
        <w:rPr>
          <w:szCs w:val="20"/>
        </w:rPr>
        <w:t xml:space="preserve">, many of these </w:t>
      </w:r>
      <w:r w:rsidR="000269BB" w:rsidRPr="00E6029A">
        <w:rPr>
          <w:szCs w:val="20"/>
        </w:rPr>
        <w:t xml:space="preserve">deaths </w:t>
      </w:r>
      <w:r w:rsidR="009316DD">
        <w:rPr>
          <w:szCs w:val="20"/>
        </w:rPr>
        <w:t>can</w:t>
      </w:r>
      <w:r w:rsidR="000269BB" w:rsidRPr="00E6029A">
        <w:rPr>
          <w:szCs w:val="20"/>
        </w:rPr>
        <w:t xml:space="preserve"> be prevented. </w:t>
      </w:r>
      <w:r w:rsidR="00B84FFD" w:rsidRPr="00E6029A">
        <w:rPr>
          <w:szCs w:val="20"/>
        </w:rPr>
        <w:t xml:space="preserve">This </w:t>
      </w:r>
      <w:r w:rsidR="00F90D54" w:rsidRPr="00E6029A">
        <w:rPr>
          <w:szCs w:val="20"/>
        </w:rPr>
        <w:t>issue</w:t>
      </w:r>
      <w:r w:rsidR="00B84FFD" w:rsidRPr="00E6029A">
        <w:rPr>
          <w:szCs w:val="20"/>
        </w:rPr>
        <w:t xml:space="preserve"> is explored today i</w:t>
      </w:r>
      <w:r w:rsidR="00F90D54" w:rsidRPr="00E6029A">
        <w:rPr>
          <w:szCs w:val="20"/>
        </w:rPr>
        <w:t>n</w:t>
      </w:r>
      <w:r w:rsidR="00B84FFD" w:rsidRPr="00E6029A">
        <w:rPr>
          <w:szCs w:val="20"/>
        </w:rPr>
        <w:t xml:space="preserve"> a new report from the</w:t>
      </w:r>
      <w:r w:rsidR="00B84FFD" w:rsidRPr="00E6029A">
        <w:rPr>
          <w:b/>
          <w:szCs w:val="20"/>
        </w:rPr>
        <w:t xml:space="preserve"> EU drugs agency (EMCDDA)</w:t>
      </w:r>
      <w:r w:rsidR="00B84FFD" w:rsidRPr="00E6029A">
        <w:rPr>
          <w:szCs w:val="20"/>
        </w:rPr>
        <w:t xml:space="preserve"> entitled </w:t>
      </w:r>
      <w:r w:rsidR="00B84FFD" w:rsidRPr="00E6029A">
        <w:rPr>
          <w:b/>
          <w:i/>
          <w:szCs w:val="20"/>
        </w:rPr>
        <w:t>Preventing opioid overdose deaths with take-home naloxone</w:t>
      </w:r>
      <w:r w:rsidR="00F90D54" w:rsidRPr="00E6029A">
        <w:rPr>
          <w:szCs w:val="20"/>
        </w:rPr>
        <w:t xml:space="preserve"> (</w:t>
      </w:r>
      <w:r w:rsidR="00F90D54" w:rsidRPr="00E6029A">
        <w:rPr>
          <w:szCs w:val="20"/>
          <w:vertAlign w:val="superscript"/>
        </w:rPr>
        <w:t>1</w:t>
      </w:r>
      <w:r w:rsidR="00F90D54" w:rsidRPr="00E6029A">
        <w:rPr>
          <w:szCs w:val="20"/>
        </w:rPr>
        <w:t>).</w:t>
      </w:r>
    </w:p>
    <w:p w:rsidR="00E6029A" w:rsidRPr="00E6029A" w:rsidRDefault="006345E6" w:rsidP="00B2725E">
      <w:pPr>
        <w:pStyle w:val="newsContent"/>
        <w:rPr>
          <w:rFonts w:cs="Arial"/>
          <w:color w:val="19161A"/>
          <w:szCs w:val="20"/>
        </w:rPr>
      </w:pPr>
      <w:r w:rsidRPr="00E6029A">
        <w:rPr>
          <w:rFonts w:cs="Arial"/>
          <w:color w:val="19161A"/>
          <w:szCs w:val="20"/>
        </w:rPr>
        <w:t>Naloxone</w:t>
      </w:r>
      <w:r w:rsidR="00F079A0">
        <w:rPr>
          <w:rFonts w:cs="Arial"/>
          <w:color w:val="19161A"/>
          <w:szCs w:val="20"/>
        </w:rPr>
        <w:t xml:space="preserve"> — </w:t>
      </w:r>
      <w:r w:rsidRPr="00E6029A">
        <w:rPr>
          <w:rFonts w:cs="Arial"/>
          <w:szCs w:val="20"/>
        </w:rPr>
        <w:t>a pharmaceutical drug used to reverse respiratory depression caused by opioid overdose</w:t>
      </w:r>
      <w:r w:rsidR="00F079A0">
        <w:rPr>
          <w:rFonts w:cs="Arial"/>
          <w:szCs w:val="20"/>
        </w:rPr>
        <w:t xml:space="preserve"> — </w:t>
      </w:r>
      <w:r w:rsidR="009543CB">
        <w:rPr>
          <w:rFonts w:cs="Arial"/>
          <w:szCs w:val="20"/>
        </w:rPr>
        <w:t xml:space="preserve"> </w:t>
      </w:r>
      <w:r w:rsidRPr="00E6029A">
        <w:rPr>
          <w:rFonts w:cs="Arial"/>
          <w:color w:val="19161A"/>
          <w:szCs w:val="20"/>
        </w:rPr>
        <w:t>has been used in emergency medicine since the 1970s</w:t>
      </w:r>
      <w:r w:rsidR="009543CB">
        <w:rPr>
          <w:rFonts w:cs="Arial"/>
          <w:color w:val="19161A"/>
          <w:szCs w:val="20"/>
        </w:rPr>
        <w:t xml:space="preserve"> (</w:t>
      </w:r>
      <w:r w:rsidR="009543CB">
        <w:rPr>
          <w:szCs w:val="20"/>
          <w:vertAlign w:val="superscript"/>
        </w:rPr>
        <w:t>2</w:t>
      </w:r>
      <w:r w:rsidR="009543CB" w:rsidRPr="00E6029A">
        <w:rPr>
          <w:szCs w:val="20"/>
        </w:rPr>
        <w:t>).</w:t>
      </w:r>
      <w:r w:rsidR="0081367F">
        <w:rPr>
          <w:rFonts w:cs="Arial"/>
          <w:color w:val="19161A"/>
          <w:szCs w:val="20"/>
        </w:rPr>
        <w:t xml:space="preserve"> Listed </w:t>
      </w:r>
      <w:r w:rsidR="00F63E33" w:rsidRPr="00E6029A">
        <w:rPr>
          <w:rFonts w:cs="Arial"/>
          <w:color w:val="19161A"/>
          <w:szCs w:val="20"/>
        </w:rPr>
        <w:t xml:space="preserve">by the </w:t>
      </w:r>
      <w:r w:rsidR="00F63E33" w:rsidRPr="00EB0E35">
        <w:rPr>
          <w:rFonts w:cs="Arial"/>
          <w:b/>
          <w:color w:val="19161A"/>
          <w:szCs w:val="20"/>
        </w:rPr>
        <w:t>World Health Organization (WHO)</w:t>
      </w:r>
      <w:r w:rsidR="00F63E33" w:rsidRPr="00E6029A">
        <w:rPr>
          <w:rFonts w:cs="Arial"/>
          <w:color w:val="19161A"/>
          <w:szCs w:val="20"/>
        </w:rPr>
        <w:t xml:space="preserve"> as an ‘essential medicine’</w:t>
      </w:r>
      <w:r w:rsidR="0081367F">
        <w:rPr>
          <w:rFonts w:cs="Arial"/>
          <w:color w:val="19161A"/>
          <w:szCs w:val="20"/>
        </w:rPr>
        <w:t xml:space="preserve">, it is </w:t>
      </w:r>
      <w:r w:rsidR="009543CB">
        <w:rPr>
          <w:rFonts w:cs="Arial"/>
          <w:color w:val="19161A"/>
          <w:szCs w:val="20"/>
        </w:rPr>
        <w:t xml:space="preserve">traditionally </w:t>
      </w:r>
      <w:r w:rsidR="0081367F">
        <w:rPr>
          <w:rFonts w:cs="Arial"/>
          <w:color w:val="19161A"/>
          <w:szCs w:val="20"/>
        </w:rPr>
        <w:t>available in injectable form,</w:t>
      </w:r>
      <w:r w:rsidR="006F0842">
        <w:rPr>
          <w:rFonts w:cs="Arial"/>
          <w:color w:val="19161A"/>
          <w:szCs w:val="20"/>
        </w:rPr>
        <w:t xml:space="preserve"> although </w:t>
      </w:r>
      <w:r w:rsidR="0081367F" w:rsidRPr="00E6029A">
        <w:rPr>
          <w:rFonts w:cs="Trivia Sans Book"/>
          <w:color w:val="000000"/>
        </w:rPr>
        <w:t>non-injectable formulations</w:t>
      </w:r>
      <w:r w:rsidR="0081367F">
        <w:rPr>
          <w:rFonts w:cs="Trivia Sans Book"/>
          <w:color w:val="000000"/>
        </w:rPr>
        <w:t xml:space="preserve"> of the drug </w:t>
      </w:r>
      <w:r w:rsidR="00F741DB">
        <w:rPr>
          <w:rFonts w:cs="Trivia Sans Book"/>
          <w:color w:val="000000"/>
        </w:rPr>
        <w:t xml:space="preserve">are </w:t>
      </w:r>
      <w:r w:rsidR="00467360">
        <w:rPr>
          <w:rFonts w:cs="Trivia Sans Book"/>
          <w:color w:val="000000"/>
        </w:rPr>
        <w:t xml:space="preserve">now </w:t>
      </w:r>
      <w:r w:rsidR="0081367F">
        <w:rPr>
          <w:rFonts w:cs="Trivia Sans Book"/>
          <w:color w:val="000000"/>
        </w:rPr>
        <w:t>emerging.</w:t>
      </w:r>
      <w:r w:rsidR="00C00F38">
        <w:rPr>
          <w:rFonts w:cs="Trivia Sans Book"/>
          <w:color w:val="000000"/>
        </w:rPr>
        <w:t xml:space="preserve"> </w:t>
      </w:r>
      <w:r w:rsidR="00C00F38" w:rsidRPr="00405E8C">
        <w:rPr>
          <w:rFonts w:cs="Arial"/>
          <w:b/>
          <w:color w:val="000000"/>
        </w:rPr>
        <w:t xml:space="preserve">WHO </w:t>
      </w:r>
      <w:r w:rsidR="00C00F38" w:rsidRPr="00AF7C1F">
        <w:rPr>
          <w:rFonts w:cs="Arial"/>
          <w:b/>
          <w:color w:val="000000"/>
        </w:rPr>
        <w:t>guidelines</w:t>
      </w:r>
      <w:r w:rsidR="00C00F38" w:rsidRPr="00405E8C">
        <w:rPr>
          <w:rFonts w:cs="Arial"/>
          <w:color w:val="000000"/>
        </w:rPr>
        <w:t xml:space="preserve"> on community-based naloxone provision were </w:t>
      </w:r>
      <w:r w:rsidR="00C00F38">
        <w:rPr>
          <w:rFonts w:cs="Arial"/>
          <w:color w:val="000000"/>
        </w:rPr>
        <w:t>published</w:t>
      </w:r>
      <w:r w:rsidR="00C00F38" w:rsidRPr="00405E8C">
        <w:rPr>
          <w:rFonts w:cs="Arial"/>
          <w:color w:val="000000"/>
        </w:rPr>
        <w:t xml:space="preserve"> in </w:t>
      </w:r>
      <w:r w:rsidR="00C00F38" w:rsidRPr="00405E8C">
        <w:rPr>
          <w:rFonts w:cs="Arial"/>
        </w:rPr>
        <w:t>2014</w:t>
      </w:r>
      <w:r w:rsidR="00DC13CB">
        <w:rPr>
          <w:rFonts w:cs="Arial"/>
        </w:rPr>
        <w:t xml:space="preserve"> (</w:t>
      </w:r>
      <w:r w:rsidR="00DC13CB" w:rsidRPr="00DC13CB">
        <w:rPr>
          <w:rFonts w:cs="Arial"/>
          <w:vertAlign w:val="superscript"/>
        </w:rPr>
        <w:t>3</w:t>
      </w:r>
      <w:r w:rsidR="00DC13CB">
        <w:rPr>
          <w:rFonts w:cs="Arial"/>
        </w:rPr>
        <w:t>)</w:t>
      </w:r>
      <w:r w:rsidR="00C00F38">
        <w:rPr>
          <w:rFonts w:cs="Arial"/>
        </w:rPr>
        <w:t>.</w:t>
      </w:r>
    </w:p>
    <w:p w:rsidR="00C00F38" w:rsidRDefault="00B2725E" w:rsidP="00C00F38">
      <w:pPr>
        <w:pStyle w:val="newsContent"/>
        <w:rPr>
          <w:rFonts w:cs="Arial"/>
          <w:color w:val="19161A"/>
        </w:rPr>
      </w:pPr>
      <w:r w:rsidRPr="0052637D">
        <w:rPr>
          <w:szCs w:val="20"/>
        </w:rPr>
        <w:t>Research shows that many opioid overdoses occur in the presence of bystanders, who, if empowered to act appropriately, have the potential to save lives</w:t>
      </w:r>
      <w:r w:rsidR="004C64DF">
        <w:rPr>
          <w:szCs w:val="20"/>
        </w:rPr>
        <w:t xml:space="preserve"> </w:t>
      </w:r>
      <w:r w:rsidR="00D55CE1">
        <w:rPr>
          <w:szCs w:val="20"/>
        </w:rPr>
        <w:t xml:space="preserve">while waiting for </w:t>
      </w:r>
      <w:r w:rsidR="00892B45">
        <w:rPr>
          <w:szCs w:val="20"/>
        </w:rPr>
        <w:t xml:space="preserve">emergency services </w:t>
      </w:r>
      <w:r w:rsidR="00D55CE1">
        <w:rPr>
          <w:szCs w:val="20"/>
        </w:rPr>
        <w:t xml:space="preserve">to </w:t>
      </w:r>
      <w:r w:rsidR="004C64DF">
        <w:rPr>
          <w:szCs w:val="20"/>
        </w:rPr>
        <w:t>arrive at the scene</w:t>
      </w:r>
      <w:r w:rsidR="00BB0794">
        <w:rPr>
          <w:szCs w:val="20"/>
        </w:rPr>
        <w:t xml:space="preserve"> (</w:t>
      </w:r>
      <w:r w:rsidR="00BB0794" w:rsidRPr="00BB0794">
        <w:rPr>
          <w:szCs w:val="20"/>
          <w:vertAlign w:val="superscript"/>
        </w:rPr>
        <w:t>4</w:t>
      </w:r>
      <w:r w:rsidR="00BB0794">
        <w:rPr>
          <w:szCs w:val="20"/>
        </w:rPr>
        <w:t>)</w:t>
      </w:r>
      <w:r w:rsidR="00D0143C">
        <w:rPr>
          <w:szCs w:val="20"/>
        </w:rPr>
        <w:t>.</w:t>
      </w:r>
      <w:r w:rsidR="002F3696">
        <w:rPr>
          <w:szCs w:val="20"/>
        </w:rPr>
        <w:t xml:space="preserve"> </w:t>
      </w:r>
      <w:r w:rsidR="00D0143C">
        <w:rPr>
          <w:szCs w:val="20"/>
        </w:rPr>
        <w:t xml:space="preserve">This </w:t>
      </w:r>
      <w:r w:rsidR="00E6029A" w:rsidRPr="0052637D">
        <w:rPr>
          <w:rFonts w:cs="Arial"/>
          <w:color w:val="19161A"/>
          <w:szCs w:val="20"/>
        </w:rPr>
        <w:t>has led to</w:t>
      </w:r>
      <w:r w:rsidR="00B550E7" w:rsidRPr="0052637D">
        <w:rPr>
          <w:rFonts w:cs="Arial"/>
          <w:color w:val="19161A"/>
          <w:szCs w:val="20"/>
        </w:rPr>
        <w:t xml:space="preserve"> the emergence of naloxone </w:t>
      </w:r>
      <w:r w:rsidR="00D0143C">
        <w:rPr>
          <w:rFonts w:cs="Arial"/>
          <w:color w:val="19161A"/>
          <w:szCs w:val="20"/>
        </w:rPr>
        <w:t xml:space="preserve">as a </w:t>
      </w:r>
      <w:r w:rsidR="00B550E7" w:rsidRPr="0052637D">
        <w:rPr>
          <w:rFonts w:cs="Trivia Sans Book"/>
          <w:color w:val="000000"/>
          <w:szCs w:val="20"/>
        </w:rPr>
        <w:t xml:space="preserve">harm-reduction </w:t>
      </w:r>
      <w:r w:rsidR="00D0143C">
        <w:rPr>
          <w:rFonts w:cs="Trivia Sans Book"/>
          <w:color w:val="000000"/>
          <w:szCs w:val="20"/>
        </w:rPr>
        <w:t xml:space="preserve">measure </w:t>
      </w:r>
      <w:r w:rsidR="00B550E7" w:rsidRPr="0052637D">
        <w:rPr>
          <w:rFonts w:cs="Trivia Sans Book"/>
          <w:color w:val="000000"/>
          <w:szCs w:val="20"/>
        </w:rPr>
        <w:t>since the 1990s</w:t>
      </w:r>
      <w:r w:rsidR="0052637D" w:rsidRPr="0052637D">
        <w:rPr>
          <w:rFonts w:cs="Trivia Sans Book"/>
          <w:color w:val="000000"/>
          <w:szCs w:val="20"/>
        </w:rPr>
        <w:t>,</w:t>
      </w:r>
      <w:r w:rsidR="00B550E7" w:rsidRPr="0052637D">
        <w:rPr>
          <w:rFonts w:cs="Trivia Sans Book"/>
          <w:color w:val="000000"/>
          <w:szCs w:val="20"/>
        </w:rPr>
        <w:t xml:space="preserve"> with the </w:t>
      </w:r>
      <w:r w:rsidR="00B550E7" w:rsidRPr="0052637D">
        <w:rPr>
          <w:rFonts w:cs="Arial"/>
          <w:color w:val="19161A"/>
          <w:szCs w:val="20"/>
        </w:rPr>
        <w:t xml:space="preserve">provision of </w:t>
      </w:r>
      <w:r w:rsidR="000973E0">
        <w:rPr>
          <w:rFonts w:cs="Arial"/>
          <w:color w:val="19161A"/>
          <w:szCs w:val="20"/>
        </w:rPr>
        <w:t xml:space="preserve">take-home </w:t>
      </w:r>
      <w:r w:rsidR="00E6029A" w:rsidRPr="0052637D">
        <w:rPr>
          <w:rFonts w:cs="Arial"/>
          <w:color w:val="19161A"/>
          <w:szCs w:val="20"/>
        </w:rPr>
        <w:t>naloxone</w:t>
      </w:r>
      <w:r w:rsidR="0081367F">
        <w:rPr>
          <w:rFonts w:cs="Arial"/>
          <w:color w:val="19161A"/>
          <w:szCs w:val="20"/>
        </w:rPr>
        <w:t xml:space="preserve"> </w:t>
      </w:r>
      <w:r w:rsidR="00B550E7" w:rsidRPr="0052637D">
        <w:rPr>
          <w:rFonts w:cs="Arial"/>
          <w:color w:val="19161A"/>
          <w:szCs w:val="20"/>
        </w:rPr>
        <w:t xml:space="preserve">kits </w:t>
      </w:r>
      <w:r w:rsidR="00B550E7" w:rsidRPr="0052637D">
        <w:rPr>
          <w:rFonts w:cs="Trivia Sans Book"/>
          <w:color w:val="000000"/>
          <w:szCs w:val="20"/>
        </w:rPr>
        <w:t>to</w:t>
      </w:r>
      <w:r w:rsidR="00892B45">
        <w:rPr>
          <w:rFonts w:cs="Trivia Sans Book"/>
          <w:color w:val="000000"/>
          <w:szCs w:val="20"/>
        </w:rPr>
        <w:t xml:space="preserve"> </w:t>
      </w:r>
      <w:r w:rsidR="00B550E7" w:rsidRPr="0052637D">
        <w:rPr>
          <w:rFonts w:cs="Trivia Sans Book"/>
          <w:color w:val="000000"/>
          <w:szCs w:val="20"/>
        </w:rPr>
        <w:t xml:space="preserve">opioid users and </w:t>
      </w:r>
      <w:r w:rsidR="00BC59C2">
        <w:rPr>
          <w:rFonts w:cs="Trivia Sans Book"/>
          <w:color w:val="000000"/>
          <w:szCs w:val="20"/>
        </w:rPr>
        <w:t xml:space="preserve">those </w:t>
      </w:r>
      <w:r w:rsidR="00B550E7" w:rsidRPr="0052637D">
        <w:rPr>
          <w:rFonts w:cs="Trivia Sans Book"/>
          <w:color w:val="000000"/>
          <w:szCs w:val="20"/>
        </w:rPr>
        <w:t>likely to witness opioid overdoses</w:t>
      </w:r>
      <w:r w:rsidR="000973E0">
        <w:rPr>
          <w:rFonts w:cs="Trivia Sans Book"/>
          <w:color w:val="000000"/>
          <w:szCs w:val="20"/>
        </w:rPr>
        <w:t>.</w:t>
      </w:r>
      <w:r w:rsidR="0081367F">
        <w:rPr>
          <w:rFonts w:cs="Trivia Sans Book"/>
          <w:color w:val="000000"/>
          <w:szCs w:val="20"/>
        </w:rPr>
        <w:t xml:space="preserve"> </w:t>
      </w:r>
    </w:p>
    <w:p w:rsidR="00D0143C" w:rsidRDefault="00D0143C" w:rsidP="00D0143C">
      <w:pPr>
        <w:pStyle w:val="newsContent"/>
        <w:rPr>
          <w:rFonts w:cs="Arial"/>
          <w:szCs w:val="20"/>
        </w:rPr>
      </w:pPr>
      <w:r w:rsidRPr="00896AB3">
        <w:rPr>
          <w:rFonts w:cs="Arial"/>
          <w:szCs w:val="20"/>
        </w:rPr>
        <w:t xml:space="preserve">‘Each of the lives lost every day in Europe to </w:t>
      </w:r>
      <w:r w:rsidR="00035C66">
        <w:rPr>
          <w:rFonts w:cs="Arial"/>
          <w:szCs w:val="20"/>
        </w:rPr>
        <w:t xml:space="preserve">opioid </w:t>
      </w:r>
      <w:r w:rsidRPr="00896AB3">
        <w:rPr>
          <w:rFonts w:cs="Arial"/>
          <w:szCs w:val="20"/>
        </w:rPr>
        <w:t>overdose is worth all our efforts to improve prevention and response</w:t>
      </w:r>
      <w:r w:rsidR="00035C66">
        <w:rPr>
          <w:rFonts w:cs="Arial"/>
          <w:szCs w:val="20"/>
        </w:rPr>
        <w:t>s</w:t>
      </w:r>
      <w:r w:rsidRPr="00896AB3">
        <w:rPr>
          <w:rFonts w:cs="Arial"/>
          <w:szCs w:val="20"/>
        </w:rPr>
        <w:t xml:space="preserve">’, says </w:t>
      </w:r>
      <w:r w:rsidRPr="00896AB3">
        <w:rPr>
          <w:rFonts w:cs="Arial"/>
          <w:b/>
          <w:szCs w:val="20"/>
        </w:rPr>
        <w:t>EMCDDA Director Alexis Goosdeel</w:t>
      </w:r>
      <w:r w:rsidRPr="00896AB3">
        <w:rPr>
          <w:rFonts w:cs="Arial"/>
          <w:szCs w:val="20"/>
        </w:rPr>
        <w:t>.</w:t>
      </w:r>
      <w:r w:rsidR="009543CB">
        <w:rPr>
          <w:rFonts w:cs="Arial"/>
          <w:szCs w:val="20"/>
        </w:rPr>
        <w:t xml:space="preserve"> </w:t>
      </w:r>
      <w:r w:rsidRPr="00896AB3">
        <w:rPr>
          <w:rFonts w:cs="Arial"/>
          <w:szCs w:val="20"/>
        </w:rPr>
        <w:t>‘Empowering bystanders to deliver a potentially life-saving</w:t>
      </w:r>
      <w:r w:rsidR="0098500B">
        <w:rPr>
          <w:rFonts w:cs="Arial"/>
          <w:szCs w:val="20"/>
        </w:rPr>
        <w:t xml:space="preserve"> </w:t>
      </w:r>
      <w:r w:rsidRPr="00896AB3">
        <w:rPr>
          <w:rFonts w:cs="Arial"/>
          <w:szCs w:val="20"/>
        </w:rPr>
        <w:t>intervention is an important step in a diversified and balanced European response to drugs</w:t>
      </w:r>
      <w:r w:rsidR="004C64DF">
        <w:rPr>
          <w:rFonts w:cs="Arial"/>
          <w:szCs w:val="20"/>
        </w:rPr>
        <w:t>’.</w:t>
      </w:r>
      <w:r w:rsidRPr="00896AB3">
        <w:rPr>
          <w:rFonts w:cs="Arial"/>
          <w:szCs w:val="20"/>
        </w:rPr>
        <w:t xml:space="preserve"> </w:t>
      </w:r>
    </w:p>
    <w:p w:rsidR="00B835F8" w:rsidRDefault="00896AB3" w:rsidP="00057F4E">
      <w:pPr>
        <w:pStyle w:val="MaintextstyleBlack"/>
        <w:spacing w:after="260"/>
        <w:rPr>
          <w:rFonts w:cs="Arial"/>
          <w:color w:val="000000"/>
        </w:rPr>
      </w:pPr>
      <w:r w:rsidRPr="00057F4E">
        <w:rPr>
          <w:rFonts w:cs="Arial"/>
          <w:color w:val="000000"/>
        </w:rPr>
        <w:t xml:space="preserve">In Europe, take-home naloxone initiatives </w:t>
      </w:r>
      <w:r w:rsidR="00BF6ED1">
        <w:rPr>
          <w:rFonts w:cs="Arial"/>
          <w:color w:val="000000"/>
        </w:rPr>
        <w:t xml:space="preserve">currently </w:t>
      </w:r>
      <w:r w:rsidRPr="00057F4E">
        <w:rPr>
          <w:rFonts w:cs="Arial"/>
          <w:color w:val="000000"/>
        </w:rPr>
        <w:t xml:space="preserve">operate at city level in </w:t>
      </w:r>
      <w:r w:rsidR="00AD2444" w:rsidRPr="00057F4E">
        <w:rPr>
          <w:rFonts w:cs="Arial"/>
          <w:b/>
          <w:color w:val="000000"/>
        </w:rPr>
        <w:t xml:space="preserve">Denmark, </w:t>
      </w:r>
      <w:r w:rsidR="00AD2444" w:rsidRPr="00035C66">
        <w:rPr>
          <w:rFonts w:cs="Arial"/>
          <w:b/>
          <w:color w:val="000000"/>
        </w:rPr>
        <w:t>Germany,</w:t>
      </w:r>
      <w:r w:rsidR="00AD2444" w:rsidRPr="00057F4E">
        <w:rPr>
          <w:rFonts w:cs="Arial"/>
          <w:b/>
          <w:color w:val="000000"/>
        </w:rPr>
        <w:t xml:space="preserve"> </w:t>
      </w:r>
      <w:r w:rsidRPr="00057F4E">
        <w:rPr>
          <w:rFonts w:cs="Arial"/>
          <w:b/>
          <w:color w:val="000000"/>
        </w:rPr>
        <w:t xml:space="preserve">Estonia, </w:t>
      </w:r>
      <w:r w:rsidR="00AD2444">
        <w:rPr>
          <w:rFonts w:cs="Arial"/>
          <w:b/>
          <w:color w:val="000000"/>
        </w:rPr>
        <w:t xml:space="preserve">Ireland, </w:t>
      </w:r>
      <w:r w:rsidRPr="00057F4E">
        <w:rPr>
          <w:rFonts w:cs="Arial"/>
          <w:b/>
          <w:color w:val="000000"/>
        </w:rPr>
        <w:t>Italy</w:t>
      </w:r>
      <w:r w:rsidR="00675DF5" w:rsidRPr="00675DF5">
        <w:rPr>
          <w:rFonts w:cs="Arial"/>
          <w:color w:val="000000"/>
        </w:rPr>
        <w:t>,</w:t>
      </w:r>
      <w:r w:rsidR="00675DF5">
        <w:rPr>
          <w:rFonts w:cs="Arial"/>
          <w:b/>
          <w:color w:val="000000"/>
        </w:rPr>
        <w:t xml:space="preserve"> </w:t>
      </w:r>
      <w:r w:rsidR="00675DF5" w:rsidRPr="00675DF5">
        <w:rPr>
          <w:rFonts w:cs="Arial"/>
          <w:color w:val="000000"/>
        </w:rPr>
        <w:t>the</w:t>
      </w:r>
      <w:r w:rsidR="00675DF5">
        <w:rPr>
          <w:rFonts w:cs="Arial"/>
          <w:b/>
          <w:color w:val="000000"/>
        </w:rPr>
        <w:t xml:space="preserve"> UK (England) </w:t>
      </w:r>
      <w:r w:rsidR="00AD2444" w:rsidRPr="00AD2444">
        <w:rPr>
          <w:rFonts w:cs="Arial"/>
          <w:color w:val="000000"/>
        </w:rPr>
        <w:t>and</w:t>
      </w:r>
      <w:r w:rsidR="00AD2444">
        <w:rPr>
          <w:rFonts w:cs="Arial"/>
          <w:b/>
          <w:color w:val="000000"/>
        </w:rPr>
        <w:t xml:space="preserve"> </w:t>
      </w:r>
      <w:r w:rsidRPr="00057F4E">
        <w:rPr>
          <w:rFonts w:cs="Arial"/>
          <w:b/>
          <w:color w:val="000000"/>
        </w:rPr>
        <w:t>Norway</w:t>
      </w:r>
      <w:r w:rsidRPr="00057F4E">
        <w:rPr>
          <w:rFonts w:cs="Arial"/>
          <w:color w:val="000000"/>
        </w:rPr>
        <w:t xml:space="preserve">, and at regional level in </w:t>
      </w:r>
      <w:r w:rsidRPr="00057F4E">
        <w:rPr>
          <w:rFonts w:cs="Arial"/>
          <w:b/>
          <w:color w:val="000000"/>
        </w:rPr>
        <w:t xml:space="preserve">Spain </w:t>
      </w:r>
      <w:r w:rsidRPr="004A5932">
        <w:rPr>
          <w:rFonts w:cs="Arial"/>
          <w:b/>
          <w:color w:val="000000"/>
        </w:rPr>
        <w:t>(Catalonia)</w:t>
      </w:r>
      <w:r w:rsidRPr="00057F4E">
        <w:rPr>
          <w:rFonts w:cs="Arial"/>
          <w:b/>
          <w:color w:val="000000"/>
        </w:rPr>
        <w:t xml:space="preserve"> </w:t>
      </w:r>
      <w:r w:rsidRPr="00057F4E">
        <w:rPr>
          <w:rFonts w:cs="Arial"/>
          <w:color w:val="000000"/>
        </w:rPr>
        <w:t>and the</w:t>
      </w:r>
      <w:r w:rsidRPr="00057F4E">
        <w:rPr>
          <w:rFonts w:cs="Arial"/>
          <w:b/>
          <w:color w:val="000000"/>
        </w:rPr>
        <w:t xml:space="preserve"> </w:t>
      </w:r>
      <w:r w:rsidR="00FF497D" w:rsidRPr="00057F4E">
        <w:rPr>
          <w:rFonts w:cs="Arial"/>
          <w:b/>
          <w:color w:val="000000"/>
        </w:rPr>
        <w:t>UK</w:t>
      </w:r>
      <w:r w:rsidRPr="00057F4E">
        <w:rPr>
          <w:rFonts w:cs="Arial"/>
          <w:b/>
          <w:color w:val="000000"/>
        </w:rPr>
        <w:t xml:space="preserve"> </w:t>
      </w:r>
      <w:r w:rsidRPr="004A5932">
        <w:rPr>
          <w:rFonts w:cs="Arial"/>
          <w:b/>
          <w:color w:val="000000"/>
        </w:rPr>
        <w:t xml:space="preserve">(Scotland </w:t>
      </w:r>
      <w:r w:rsidRPr="00B045F4">
        <w:rPr>
          <w:rFonts w:cs="Arial"/>
          <w:color w:val="000000"/>
        </w:rPr>
        <w:t xml:space="preserve">and </w:t>
      </w:r>
      <w:r w:rsidRPr="004A5932">
        <w:rPr>
          <w:rFonts w:cs="Arial"/>
          <w:b/>
          <w:color w:val="000000"/>
        </w:rPr>
        <w:t>Wales)</w:t>
      </w:r>
      <w:r w:rsidR="00221F6B" w:rsidRPr="00B045F4">
        <w:rPr>
          <w:rFonts w:cs="Arial"/>
          <w:color w:val="000000"/>
        </w:rPr>
        <w:t>.</w:t>
      </w:r>
      <w:r w:rsidR="00221F6B">
        <w:rPr>
          <w:rFonts w:cs="Arial"/>
          <w:color w:val="000000"/>
        </w:rPr>
        <w:t xml:space="preserve"> </w:t>
      </w:r>
      <w:r w:rsidRPr="00057F4E">
        <w:rPr>
          <w:rFonts w:cs="Arial"/>
          <w:color w:val="000000"/>
        </w:rPr>
        <w:t xml:space="preserve">A number of other </w:t>
      </w:r>
      <w:r w:rsidR="00B835F8">
        <w:rPr>
          <w:rFonts w:cs="Arial"/>
          <w:color w:val="000000"/>
        </w:rPr>
        <w:t xml:space="preserve">EU </w:t>
      </w:r>
      <w:r w:rsidR="00035C66" w:rsidRPr="00057F4E">
        <w:rPr>
          <w:rFonts w:cs="Arial"/>
          <w:color w:val="000000"/>
        </w:rPr>
        <w:t xml:space="preserve">countries </w:t>
      </w:r>
      <w:r w:rsidR="00035C66">
        <w:rPr>
          <w:rFonts w:cs="Arial"/>
          <w:color w:val="000000"/>
        </w:rPr>
        <w:t>are</w:t>
      </w:r>
      <w:r w:rsidRPr="00057F4E">
        <w:rPr>
          <w:rFonts w:cs="Arial"/>
          <w:color w:val="000000"/>
        </w:rPr>
        <w:t xml:space="preserve"> </w:t>
      </w:r>
      <w:r w:rsidR="004C64DF" w:rsidRPr="00057F4E">
        <w:rPr>
          <w:rFonts w:cs="Arial"/>
          <w:color w:val="000000"/>
        </w:rPr>
        <w:t xml:space="preserve">also </w:t>
      </w:r>
      <w:r w:rsidRPr="00057F4E">
        <w:rPr>
          <w:rFonts w:cs="Arial"/>
          <w:color w:val="000000"/>
        </w:rPr>
        <w:t xml:space="preserve">exploring the </w:t>
      </w:r>
      <w:r w:rsidR="00BC3E15" w:rsidRPr="00057F4E">
        <w:rPr>
          <w:rFonts w:cs="Arial"/>
          <w:color w:val="000000"/>
        </w:rPr>
        <w:t>practice</w:t>
      </w:r>
      <w:r w:rsidRPr="00057F4E">
        <w:rPr>
          <w:rFonts w:cs="Arial"/>
          <w:color w:val="000000"/>
        </w:rPr>
        <w:t xml:space="preserve"> and considering adding take-home naloxone to </w:t>
      </w:r>
      <w:r w:rsidR="00B835F8">
        <w:rPr>
          <w:rFonts w:cs="Arial"/>
          <w:color w:val="000000"/>
        </w:rPr>
        <w:t>the</w:t>
      </w:r>
      <w:r w:rsidRPr="00057F4E">
        <w:rPr>
          <w:rFonts w:cs="Arial"/>
          <w:color w:val="000000"/>
        </w:rPr>
        <w:t xml:space="preserve"> existing range of interventions to prevent drug-related deaths</w:t>
      </w:r>
      <w:r w:rsidR="00291898">
        <w:rPr>
          <w:rFonts w:cs="Arial"/>
          <w:color w:val="000000"/>
        </w:rPr>
        <w:t xml:space="preserve"> </w:t>
      </w:r>
      <w:r w:rsidR="00291898" w:rsidRPr="00405E8C">
        <w:rPr>
          <w:rFonts w:cs="Arial"/>
          <w:color w:val="000000"/>
        </w:rPr>
        <w:t>(</w:t>
      </w:r>
      <w:r w:rsidR="00267B7E">
        <w:rPr>
          <w:rFonts w:cs="Arial"/>
          <w:color w:val="000000"/>
          <w:vertAlign w:val="superscript"/>
        </w:rPr>
        <w:t>5</w:t>
      </w:r>
      <w:r w:rsidR="00291898" w:rsidRPr="00405E8C">
        <w:rPr>
          <w:rFonts w:cs="Arial"/>
          <w:color w:val="000000"/>
        </w:rPr>
        <w:t>)</w:t>
      </w:r>
      <w:r w:rsidR="006F5D36" w:rsidRPr="00405E8C">
        <w:rPr>
          <w:rFonts w:cs="Arial"/>
          <w:color w:val="000000"/>
        </w:rPr>
        <w:t>.</w:t>
      </w:r>
      <w:r w:rsidRPr="00057F4E">
        <w:rPr>
          <w:rFonts w:cs="Arial"/>
          <w:color w:val="000000"/>
        </w:rPr>
        <w:t xml:space="preserve"> </w:t>
      </w:r>
    </w:p>
    <w:p w:rsidR="009543CB" w:rsidRDefault="00B835F8" w:rsidP="009543CB">
      <w:pPr>
        <w:pStyle w:val="MaintextstyleBlack"/>
        <w:spacing w:after="260"/>
        <w:rPr>
          <w:rFonts w:cs="Arial"/>
          <w:color w:val="19161A"/>
        </w:rPr>
      </w:pPr>
      <w:r>
        <w:rPr>
          <w:rFonts w:cs="Arial"/>
          <w:color w:val="000000"/>
        </w:rPr>
        <w:t>Following on from a 2015</w:t>
      </w:r>
      <w:r w:rsidR="00CF1F71">
        <w:rPr>
          <w:rFonts w:cs="Arial"/>
          <w:color w:val="000000"/>
        </w:rPr>
        <w:t xml:space="preserve"> </w:t>
      </w:r>
      <w:r w:rsidR="00CF1F71" w:rsidRPr="00CF1F71">
        <w:rPr>
          <w:rFonts w:cs="Arial"/>
          <w:b/>
          <w:color w:val="000000"/>
        </w:rPr>
        <w:t>EMCDDA</w:t>
      </w:r>
      <w:r w:rsidR="00CF1F71">
        <w:rPr>
          <w:rFonts w:cs="Arial"/>
          <w:color w:val="000000"/>
        </w:rPr>
        <w:t xml:space="preserve"> review of the effectiveness of take-home naloxone </w:t>
      </w:r>
      <w:r w:rsidR="00CF1F71" w:rsidRPr="00405E8C">
        <w:rPr>
          <w:rFonts w:cs="Arial"/>
          <w:color w:val="000000"/>
        </w:rPr>
        <w:t>(</w:t>
      </w:r>
      <w:r w:rsidR="00267B7E">
        <w:rPr>
          <w:rFonts w:cs="Arial"/>
          <w:color w:val="000000"/>
          <w:vertAlign w:val="superscript"/>
        </w:rPr>
        <w:t>6</w:t>
      </w:r>
      <w:r w:rsidR="00CF1F71" w:rsidRPr="00405E8C">
        <w:rPr>
          <w:rFonts w:cs="Arial"/>
          <w:color w:val="000000"/>
        </w:rPr>
        <w:t>)</w:t>
      </w:r>
      <w:r>
        <w:rPr>
          <w:rFonts w:cs="Arial"/>
          <w:color w:val="000000"/>
        </w:rPr>
        <w:t>, t</w:t>
      </w:r>
      <w:r w:rsidR="00FE2469">
        <w:rPr>
          <w:rFonts w:eastAsiaTheme="minorHAnsi" w:cs="Arial"/>
        </w:rPr>
        <w:t>od</w:t>
      </w:r>
      <w:r w:rsidR="009543CB">
        <w:rPr>
          <w:rFonts w:cs="Arial"/>
          <w:color w:val="19161A"/>
        </w:rPr>
        <w:t xml:space="preserve">ay’s </w:t>
      </w:r>
      <w:r w:rsidR="009543CB" w:rsidRPr="009F657B">
        <w:rPr>
          <w:rFonts w:cs="Arial"/>
          <w:color w:val="19161A"/>
        </w:rPr>
        <w:t xml:space="preserve">report provides practitioners and policymakers with </w:t>
      </w:r>
      <w:r w:rsidR="00637053">
        <w:rPr>
          <w:rFonts w:cs="Arial"/>
          <w:color w:val="19161A"/>
        </w:rPr>
        <w:t xml:space="preserve">a comprehensive, </w:t>
      </w:r>
      <w:r w:rsidR="000973E0">
        <w:rPr>
          <w:rFonts w:cs="Arial"/>
          <w:color w:val="19161A"/>
        </w:rPr>
        <w:t xml:space="preserve">up-to-date review of the evidence base </w:t>
      </w:r>
      <w:r w:rsidR="00933371">
        <w:rPr>
          <w:rFonts w:cs="Arial"/>
          <w:color w:val="19161A"/>
        </w:rPr>
        <w:t>on the issue</w:t>
      </w:r>
      <w:r w:rsidR="00FE2469" w:rsidRPr="00405E8C">
        <w:rPr>
          <w:rFonts w:cs="Arial"/>
          <w:color w:val="000000"/>
        </w:rPr>
        <w:t>.</w:t>
      </w:r>
      <w:r w:rsidR="009543CB">
        <w:rPr>
          <w:rFonts w:cs="Arial"/>
          <w:color w:val="19161A"/>
        </w:rPr>
        <w:t xml:space="preserve"> </w:t>
      </w:r>
      <w:r w:rsidR="00CF1F71">
        <w:rPr>
          <w:rFonts w:cs="Arial"/>
          <w:color w:val="19161A"/>
        </w:rPr>
        <w:t xml:space="preserve">Examining the </w:t>
      </w:r>
      <w:r w:rsidR="00A91484" w:rsidRPr="00A91484">
        <w:rPr>
          <w:rFonts w:cs="Arial"/>
        </w:rPr>
        <w:t>case for distributing naloxone</w:t>
      </w:r>
      <w:r w:rsidR="00A91484">
        <w:rPr>
          <w:rFonts w:cs="Arial"/>
        </w:rPr>
        <w:t xml:space="preserve">, </w:t>
      </w:r>
      <w:r w:rsidR="00CF1F71">
        <w:rPr>
          <w:rFonts w:cs="Arial"/>
        </w:rPr>
        <w:t xml:space="preserve">the report </w:t>
      </w:r>
      <w:r w:rsidR="00A91484">
        <w:rPr>
          <w:rFonts w:cs="Arial"/>
        </w:rPr>
        <w:t xml:space="preserve">traces </w:t>
      </w:r>
      <w:r w:rsidR="00A91484" w:rsidRPr="00A91484">
        <w:rPr>
          <w:rFonts w:cs="Arial"/>
        </w:rPr>
        <w:t xml:space="preserve">the </w:t>
      </w:r>
      <w:r w:rsidR="009543CB" w:rsidRPr="00A91484">
        <w:rPr>
          <w:rFonts w:cs="Arial"/>
          <w:color w:val="19161A"/>
        </w:rPr>
        <w:t>drug’s historical developments, present</w:t>
      </w:r>
      <w:r w:rsidR="00A91484">
        <w:rPr>
          <w:rFonts w:cs="Arial"/>
          <w:color w:val="19161A"/>
        </w:rPr>
        <w:t>s</w:t>
      </w:r>
      <w:r w:rsidR="009543CB" w:rsidRPr="00A91484">
        <w:rPr>
          <w:rFonts w:cs="Arial"/>
          <w:color w:val="19161A"/>
        </w:rPr>
        <w:t xml:space="preserve"> examples of good practice </w:t>
      </w:r>
      <w:r w:rsidR="00CF1F71">
        <w:rPr>
          <w:rFonts w:cs="Arial"/>
          <w:color w:val="19161A"/>
        </w:rPr>
        <w:t xml:space="preserve">and training </w:t>
      </w:r>
      <w:r w:rsidR="009543CB" w:rsidRPr="00A91484">
        <w:rPr>
          <w:rFonts w:cs="Arial"/>
          <w:color w:val="19161A"/>
        </w:rPr>
        <w:t>and consider</w:t>
      </w:r>
      <w:r w:rsidR="00A91484">
        <w:rPr>
          <w:rFonts w:cs="Arial"/>
          <w:color w:val="19161A"/>
        </w:rPr>
        <w:t>s</w:t>
      </w:r>
      <w:r w:rsidR="009543CB" w:rsidRPr="00A91484">
        <w:rPr>
          <w:rFonts w:cs="Arial"/>
          <w:color w:val="19161A"/>
        </w:rPr>
        <w:t xml:space="preserve"> ongoing debates on naloxone availability and legal frameworks.</w:t>
      </w:r>
    </w:p>
    <w:p w:rsidR="009543CB" w:rsidRPr="009543CB" w:rsidRDefault="009543CB" w:rsidP="00A74111">
      <w:pPr>
        <w:rPr>
          <w:rFonts w:ascii="Arial" w:hAnsi="Arial" w:cs="Arial"/>
          <w:b/>
          <w:sz w:val="20"/>
          <w:szCs w:val="20"/>
        </w:rPr>
      </w:pPr>
      <w:r w:rsidRPr="009543CB">
        <w:rPr>
          <w:rFonts w:ascii="Arial" w:hAnsi="Arial" w:cs="Arial"/>
          <w:b/>
          <w:sz w:val="20"/>
          <w:szCs w:val="20"/>
        </w:rPr>
        <w:t xml:space="preserve">Legal barriers and </w:t>
      </w:r>
      <w:r w:rsidR="006F5D36">
        <w:rPr>
          <w:rFonts w:ascii="Arial" w:hAnsi="Arial" w:cs="Arial"/>
          <w:b/>
          <w:sz w:val="20"/>
          <w:szCs w:val="20"/>
        </w:rPr>
        <w:t>developments</w:t>
      </w:r>
    </w:p>
    <w:p w:rsidR="00A74111" w:rsidRDefault="00A74111" w:rsidP="00A74111">
      <w:pPr>
        <w:rPr>
          <w:rFonts w:cs="Trivia Sans Book"/>
          <w:color w:val="000000"/>
        </w:rPr>
      </w:pPr>
      <w:r w:rsidRPr="009F2F05">
        <w:rPr>
          <w:rFonts w:ascii="Arial" w:hAnsi="Arial" w:cs="Arial"/>
          <w:sz w:val="20"/>
          <w:szCs w:val="20"/>
        </w:rPr>
        <w:t xml:space="preserve">On the issue of </w:t>
      </w:r>
      <w:r w:rsidR="00D87509">
        <w:rPr>
          <w:rFonts w:ascii="Arial" w:hAnsi="Arial" w:cs="Arial"/>
          <w:sz w:val="20"/>
          <w:szCs w:val="20"/>
        </w:rPr>
        <w:t xml:space="preserve">legal </w:t>
      </w:r>
      <w:r w:rsidRPr="009F2F05">
        <w:rPr>
          <w:rFonts w:ascii="Arial" w:hAnsi="Arial" w:cs="Arial"/>
          <w:color w:val="000000"/>
          <w:sz w:val="20"/>
          <w:szCs w:val="20"/>
        </w:rPr>
        <w:t>barriers</w:t>
      </w:r>
      <w:r w:rsidR="00D87509">
        <w:rPr>
          <w:rFonts w:ascii="Arial" w:hAnsi="Arial" w:cs="Arial"/>
          <w:color w:val="000000"/>
          <w:sz w:val="20"/>
          <w:szCs w:val="20"/>
        </w:rPr>
        <w:t xml:space="preserve"> in the EU</w:t>
      </w:r>
      <w:r w:rsidRPr="009F2F05">
        <w:rPr>
          <w:rFonts w:ascii="Arial" w:hAnsi="Arial" w:cs="Arial"/>
          <w:color w:val="000000"/>
          <w:sz w:val="20"/>
          <w:szCs w:val="20"/>
        </w:rPr>
        <w:t xml:space="preserve">, the report </w:t>
      </w:r>
      <w:r w:rsidR="005E0E3B">
        <w:rPr>
          <w:rFonts w:ascii="Arial" w:hAnsi="Arial" w:cs="Arial"/>
          <w:color w:val="000000"/>
          <w:sz w:val="20"/>
          <w:szCs w:val="20"/>
        </w:rPr>
        <w:t>says</w:t>
      </w:r>
      <w:r w:rsidRPr="009F2F05">
        <w:rPr>
          <w:rFonts w:ascii="Arial" w:hAnsi="Arial" w:cs="Arial"/>
          <w:color w:val="000000"/>
          <w:sz w:val="20"/>
          <w:szCs w:val="20"/>
        </w:rPr>
        <w:t xml:space="preserve">: ‘In most jurisdictions, naloxone is a prescription-only medicine and its use is restricted to medical personnel or to patients to whom it is prescribed. </w:t>
      </w:r>
      <w:r w:rsidR="0098500B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9F2F05">
        <w:rPr>
          <w:rFonts w:ascii="Arial" w:hAnsi="Arial" w:cs="Arial"/>
          <w:color w:val="000000"/>
          <w:sz w:val="20"/>
          <w:szCs w:val="20"/>
        </w:rPr>
        <w:t>The introduction of take-home naloxone provision in some countries would therefore require adjustments to be made to current regulations’.</w:t>
      </w:r>
      <w:r>
        <w:rPr>
          <w:rFonts w:cs="Trivia Sans Book"/>
          <w:color w:val="000000"/>
        </w:rPr>
        <w:t xml:space="preserve"> </w:t>
      </w:r>
    </w:p>
    <w:p w:rsidR="009F399D" w:rsidRDefault="00A74111" w:rsidP="00A74111">
      <w:pPr>
        <w:rPr>
          <w:rFonts w:ascii="Arial" w:hAnsi="Arial" w:cs="Arial"/>
          <w:color w:val="000000"/>
          <w:sz w:val="20"/>
          <w:szCs w:val="20"/>
        </w:rPr>
      </w:pPr>
      <w:r w:rsidRPr="00A02C06">
        <w:rPr>
          <w:rFonts w:ascii="Arial" w:hAnsi="Arial" w:cs="Arial"/>
          <w:sz w:val="20"/>
          <w:szCs w:val="20"/>
        </w:rPr>
        <w:lastRenderedPageBreak/>
        <w:t xml:space="preserve">In some </w:t>
      </w:r>
      <w:r w:rsidR="00A02C06">
        <w:rPr>
          <w:rFonts w:ascii="Arial" w:hAnsi="Arial" w:cs="Arial"/>
          <w:sz w:val="20"/>
          <w:szCs w:val="20"/>
        </w:rPr>
        <w:t>jurisdictions</w:t>
      </w:r>
      <w:r w:rsidR="00D87509" w:rsidRPr="00A02C06">
        <w:rPr>
          <w:rFonts w:ascii="Arial" w:hAnsi="Arial" w:cs="Arial"/>
          <w:sz w:val="20"/>
          <w:szCs w:val="20"/>
        </w:rPr>
        <w:t>,</w:t>
      </w:r>
      <w:r w:rsidRPr="00A02C06">
        <w:rPr>
          <w:rFonts w:ascii="Arial" w:hAnsi="Arial" w:cs="Arial"/>
          <w:sz w:val="20"/>
          <w:szCs w:val="20"/>
        </w:rPr>
        <w:t xml:space="preserve"> the notification of overdose events can trigger a report to the police, which may discourage overdose witnesses from contacting emergency medical services. </w:t>
      </w:r>
      <w:r w:rsidR="00406914" w:rsidRPr="00A02C06">
        <w:rPr>
          <w:rFonts w:ascii="Arial" w:hAnsi="Arial" w:cs="Arial"/>
          <w:sz w:val="20"/>
          <w:szCs w:val="20"/>
        </w:rPr>
        <w:t>The report describes</w:t>
      </w:r>
      <w:r w:rsidR="00444F9B">
        <w:rPr>
          <w:rFonts w:ascii="Arial" w:hAnsi="Arial" w:cs="Arial"/>
          <w:sz w:val="20"/>
          <w:szCs w:val="20"/>
        </w:rPr>
        <w:t xml:space="preserve"> how </w:t>
      </w:r>
      <w:r w:rsidR="00444F9B" w:rsidRPr="00035C66">
        <w:rPr>
          <w:rFonts w:ascii="Arial" w:hAnsi="Arial" w:cs="Arial"/>
          <w:sz w:val="20"/>
          <w:szCs w:val="20"/>
        </w:rPr>
        <w:t xml:space="preserve">the dissemination of take-home naloxone has been </w:t>
      </w:r>
      <w:r w:rsidR="00B045F4">
        <w:rPr>
          <w:rFonts w:ascii="Arial" w:hAnsi="Arial" w:cs="Arial"/>
          <w:sz w:val="20"/>
          <w:szCs w:val="20"/>
        </w:rPr>
        <w:t xml:space="preserve">facilitated </w:t>
      </w:r>
      <w:r w:rsidR="00444F9B">
        <w:rPr>
          <w:rFonts w:ascii="Arial" w:hAnsi="Arial" w:cs="Arial"/>
          <w:sz w:val="20"/>
          <w:szCs w:val="20"/>
        </w:rPr>
        <w:t xml:space="preserve">by the </w:t>
      </w:r>
      <w:r w:rsidR="00952E8E">
        <w:rPr>
          <w:rFonts w:ascii="Arial" w:hAnsi="Arial" w:cs="Arial"/>
          <w:sz w:val="20"/>
          <w:szCs w:val="20"/>
        </w:rPr>
        <w:t>introduction</w:t>
      </w:r>
      <w:r w:rsidR="00952E8E" w:rsidRPr="00A02C06">
        <w:rPr>
          <w:rFonts w:ascii="Arial" w:hAnsi="Arial" w:cs="Arial"/>
          <w:sz w:val="20"/>
          <w:szCs w:val="20"/>
        </w:rPr>
        <w:t xml:space="preserve"> </w:t>
      </w:r>
      <w:r w:rsidR="00A02C06" w:rsidRPr="00A02C06">
        <w:rPr>
          <w:rFonts w:ascii="Arial" w:hAnsi="Arial" w:cs="Arial"/>
          <w:sz w:val="20"/>
          <w:szCs w:val="20"/>
        </w:rPr>
        <w:t xml:space="preserve">of </w:t>
      </w:r>
      <w:r w:rsidRPr="00A02C06">
        <w:rPr>
          <w:rFonts w:ascii="Arial" w:hAnsi="Arial" w:cs="Arial"/>
          <w:sz w:val="20"/>
          <w:szCs w:val="20"/>
        </w:rPr>
        <w:t>so-called ‘Good Samaritan’ l</w:t>
      </w:r>
      <w:r w:rsidR="00CF1F71">
        <w:rPr>
          <w:rFonts w:ascii="Arial" w:hAnsi="Arial" w:cs="Arial"/>
          <w:sz w:val="20"/>
          <w:szCs w:val="20"/>
        </w:rPr>
        <w:t xml:space="preserve">egislation </w:t>
      </w:r>
      <w:r w:rsidR="00A02C06" w:rsidRPr="00A02C06">
        <w:rPr>
          <w:rFonts w:ascii="Arial" w:hAnsi="Arial" w:cs="Arial"/>
          <w:sz w:val="20"/>
          <w:szCs w:val="20"/>
        </w:rPr>
        <w:t xml:space="preserve">in some </w:t>
      </w:r>
      <w:r w:rsidR="00A02C06" w:rsidRPr="00CE5495">
        <w:rPr>
          <w:rFonts w:ascii="Arial" w:hAnsi="Arial" w:cs="Arial"/>
          <w:sz w:val="20"/>
          <w:szCs w:val="20"/>
        </w:rPr>
        <w:t>countries (</w:t>
      </w:r>
      <w:r w:rsidR="00CE5495" w:rsidRPr="00CE5495">
        <w:rPr>
          <w:rFonts w:ascii="Arial" w:hAnsi="Arial" w:cs="Arial"/>
          <w:b/>
          <w:sz w:val="20"/>
          <w:szCs w:val="20"/>
        </w:rPr>
        <w:t xml:space="preserve">Luxembourg, </w:t>
      </w:r>
      <w:r w:rsidR="00CF1F71">
        <w:rPr>
          <w:rFonts w:ascii="Arial" w:hAnsi="Arial" w:cs="Arial"/>
          <w:b/>
          <w:sz w:val="20"/>
          <w:szCs w:val="20"/>
        </w:rPr>
        <w:t>Scotland</w:t>
      </w:r>
      <w:r w:rsidR="00CF1F71" w:rsidRPr="00675DF5">
        <w:rPr>
          <w:rFonts w:ascii="Arial" w:hAnsi="Arial" w:cs="Arial"/>
          <w:sz w:val="20"/>
          <w:szCs w:val="20"/>
        </w:rPr>
        <w:t xml:space="preserve">, </w:t>
      </w:r>
      <w:r w:rsidR="00CF1F71" w:rsidRPr="00CF1F71">
        <w:rPr>
          <w:rFonts w:ascii="Arial" w:hAnsi="Arial" w:cs="Arial"/>
          <w:sz w:val="20"/>
          <w:szCs w:val="20"/>
        </w:rPr>
        <w:t>some</w:t>
      </w:r>
      <w:r w:rsidR="00CF1F71">
        <w:rPr>
          <w:rFonts w:ascii="Arial" w:hAnsi="Arial" w:cs="Arial"/>
          <w:b/>
          <w:sz w:val="20"/>
          <w:szCs w:val="20"/>
        </w:rPr>
        <w:t xml:space="preserve"> </w:t>
      </w:r>
      <w:r w:rsidR="00CE5495" w:rsidRPr="00CE5495">
        <w:rPr>
          <w:rFonts w:ascii="Arial" w:hAnsi="Arial" w:cs="Arial"/>
          <w:b/>
          <w:sz w:val="20"/>
          <w:szCs w:val="20"/>
        </w:rPr>
        <w:t>US</w:t>
      </w:r>
      <w:r w:rsidR="00CF1F71">
        <w:rPr>
          <w:rFonts w:ascii="Arial" w:hAnsi="Arial" w:cs="Arial"/>
          <w:b/>
          <w:sz w:val="20"/>
          <w:szCs w:val="20"/>
        </w:rPr>
        <w:t xml:space="preserve"> </w:t>
      </w:r>
      <w:r w:rsidR="00CF1F71" w:rsidRPr="00CF1F71">
        <w:rPr>
          <w:rFonts w:ascii="Arial" w:hAnsi="Arial" w:cs="Arial"/>
          <w:sz w:val="20"/>
          <w:szCs w:val="20"/>
        </w:rPr>
        <w:t>states</w:t>
      </w:r>
      <w:r w:rsidR="00A02C06" w:rsidRPr="00CE5495">
        <w:rPr>
          <w:rFonts w:ascii="Arial" w:hAnsi="Arial" w:cs="Arial"/>
          <w:sz w:val="20"/>
          <w:szCs w:val="20"/>
        </w:rPr>
        <w:t>),</w:t>
      </w:r>
      <w:r w:rsidR="005E0E3B" w:rsidRPr="00A02C06">
        <w:rPr>
          <w:rFonts w:ascii="Arial" w:hAnsi="Arial" w:cs="Arial"/>
          <w:sz w:val="20"/>
          <w:szCs w:val="20"/>
        </w:rPr>
        <w:t xml:space="preserve"> which exempt</w:t>
      </w:r>
      <w:r w:rsidRPr="00A02C06">
        <w:rPr>
          <w:rFonts w:ascii="Arial" w:hAnsi="Arial" w:cs="Arial"/>
          <w:sz w:val="20"/>
          <w:szCs w:val="20"/>
        </w:rPr>
        <w:t xml:space="preserve"> lay responders from liability </w:t>
      </w:r>
      <w:r w:rsidRPr="00A02C06">
        <w:rPr>
          <w:rFonts w:ascii="Arial" w:hAnsi="Arial" w:cs="Arial"/>
          <w:color w:val="000000"/>
          <w:sz w:val="20"/>
          <w:szCs w:val="20"/>
        </w:rPr>
        <w:t xml:space="preserve">when they </w:t>
      </w:r>
      <w:r w:rsidR="00035C66">
        <w:rPr>
          <w:rFonts w:ascii="Arial" w:hAnsi="Arial" w:cs="Arial"/>
          <w:color w:val="000000"/>
          <w:sz w:val="20"/>
          <w:szCs w:val="20"/>
        </w:rPr>
        <w:t xml:space="preserve">offer </w:t>
      </w:r>
      <w:r w:rsidR="009543CB">
        <w:rPr>
          <w:rFonts w:ascii="Arial" w:hAnsi="Arial" w:cs="Arial"/>
          <w:color w:val="000000"/>
          <w:sz w:val="20"/>
          <w:szCs w:val="20"/>
        </w:rPr>
        <w:t>assistance</w:t>
      </w:r>
      <w:r w:rsidR="005E0E3B" w:rsidRPr="00A02C06">
        <w:rPr>
          <w:rFonts w:ascii="Arial" w:hAnsi="Arial" w:cs="Arial"/>
          <w:color w:val="000000"/>
          <w:sz w:val="20"/>
          <w:szCs w:val="20"/>
        </w:rPr>
        <w:t>.</w:t>
      </w:r>
      <w:r w:rsidR="0098500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74111" w:rsidRPr="00A8407D" w:rsidRDefault="00A02C06" w:rsidP="00A7411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Although most</w:t>
      </w:r>
      <w:r w:rsidR="00A74111" w:rsidRPr="00A8407D">
        <w:rPr>
          <w:rFonts w:ascii="Arial" w:hAnsi="Arial" w:cs="Arial"/>
          <w:sz w:val="20"/>
          <w:szCs w:val="20"/>
        </w:rPr>
        <w:t xml:space="preserve"> EU Member States have</w:t>
      </w:r>
      <w:r>
        <w:rPr>
          <w:rFonts w:ascii="Arial" w:hAnsi="Arial" w:cs="Arial"/>
          <w:sz w:val="20"/>
          <w:szCs w:val="20"/>
        </w:rPr>
        <w:t xml:space="preserve"> not implemented </w:t>
      </w:r>
      <w:r w:rsidR="009543CB">
        <w:rPr>
          <w:rFonts w:ascii="Arial" w:hAnsi="Arial" w:cs="Arial"/>
          <w:sz w:val="20"/>
          <w:szCs w:val="20"/>
        </w:rPr>
        <w:t xml:space="preserve">formal </w:t>
      </w:r>
      <w:r w:rsidR="00A74111" w:rsidRPr="00A8407D">
        <w:rPr>
          <w:rFonts w:ascii="Arial" w:hAnsi="Arial" w:cs="Arial"/>
          <w:sz w:val="20"/>
          <w:szCs w:val="20"/>
        </w:rPr>
        <w:t>legal provisions for take-home naloxone, a number of communities and countries have clarified the legal status of prescribing and administ</w:t>
      </w:r>
      <w:r w:rsidR="00CF1F71">
        <w:rPr>
          <w:rFonts w:ascii="Arial" w:hAnsi="Arial" w:cs="Arial"/>
          <w:sz w:val="20"/>
          <w:szCs w:val="20"/>
        </w:rPr>
        <w:t>ering it.</w:t>
      </w:r>
      <w:r w:rsidR="00A74111">
        <w:rPr>
          <w:rFonts w:ascii="Arial" w:hAnsi="Arial" w:cs="Arial"/>
          <w:sz w:val="20"/>
          <w:szCs w:val="20"/>
        </w:rPr>
        <w:t xml:space="preserve"> </w:t>
      </w:r>
    </w:p>
    <w:p w:rsidR="006F5D36" w:rsidRPr="001D4466" w:rsidRDefault="006F5D36" w:rsidP="006F5D36">
      <w:pPr>
        <w:pStyle w:val="MaintextstyleBlack"/>
        <w:spacing w:after="260"/>
        <w:rPr>
          <w:rFonts w:cs="Trivia Sans Book"/>
          <w:b/>
          <w:color w:val="000000"/>
        </w:rPr>
      </w:pPr>
      <w:r>
        <w:rPr>
          <w:rFonts w:cs="Trivia Sans Book"/>
          <w:b/>
          <w:color w:val="000000"/>
        </w:rPr>
        <w:t>Options for the future: new products</w:t>
      </w:r>
      <w:r w:rsidR="00751866">
        <w:rPr>
          <w:rFonts w:cs="Trivia Sans Book"/>
          <w:b/>
          <w:color w:val="000000"/>
        </w:rPr>
        <w:t xml:space="preserve"> </w:t>
      </w:r>
    </w:p>
    <w:p w:rsidR="006F5D36" w:rsidRDefault="006F5D36" w:rsidP="006F5D36">
      <w:pPr>
        <w:pStyle w:val="MaintextstyleBlack"/>
        <w:spacing w:after="260"/>
        <w:rPr>
          <w:rFonts w:cs="Arial"/>
        </w:rPr>
      </w:pPr>
      <w:r>
        <w:rPr>
          <w:rFonts w:cs="Arial"/>
        </w:rPr>
        <w:t>N</w:t>
      </w:r>
      <w:r w:rsidRPr="00544E47">
        <w:rPr>
          <w:rFonts w:cs="Arial"/>
        </w:rPr>
        <w:t>aloxone formulations are</w:t>
      </w:r>
      <w:r>
        <w:rPr>
          <w:rFonts w:cs="Arial"/>
        </w:rPr>
        <w:t xml:space="preserve"> currently </w:t>
      </w:r>
      <w:r w:rsidRPr="00544E47">
        <w:rPr>
          <w:rFonts w:cs="Arial"/>
        </w:rPr>
        <w:t>licensed</w:t>
      </w:r>
      <w:r>
        <w:rPr>
          <w:rFonts w:cs="Arial"/>
        </w:rPr>
        <w:t xml:space="preserve"> </w:t>
      </w:r>
      <w:r w:rsidRPr="00544E47">
        <w:rPr>
          <w:rFonts w:cs="Arial"/>
        </w:rPr>
        <w:t>in injectable form</w:t>
      </w:r>
      <w:r>
        <w:rPr>
          <w:rFonts w:cs="Arial"/>
        </w:rPr>
        <w:t>,</w:t>
      </w:r>
      <w:r w:rsidRPr="00544E47">
        <w:rPr>
          <w:rFonts w:cs="Arial"/>
        </w:rPr>
        <w:t xml:space="preserve"> which can prove a</w:t>
      </w:r>
      <w:r>
        <w:rPr>
          <w:rFonts w:cs="Arial"/>
        </w:rPr>
        <w:t xml:space="preserve"> </w:t>
      </w:r>
      <w:r w:rsidRPr="00405E8C">
        <w:rPr>
          <w:rFonts w:cs="Arial"/>
          <w:szCs w:val="18"/>
        </w:rPr>
        <w:t xml:space="preserve">psychological </w:t>
      </w:r>
      <w:r w:rsidRPr="00544E47">
        <w:rPr>
          <w:rFonts w:cs="Arial"/>
        </w:rPr>
        <w:t>obstacle for non-medical responders</w:t>
      </w:r>
      <w:r w:rsidR="00000FC3">
        <w:rPr>
          <w:rFonts w:cs="Arial"/>
        </w:rPr>
        <w:t xml:space="preserve"> as well as a health risk for all those admin</w:t>
      </w:r>
      <w:r w:rsidR="00B045F4">
        <w:rPr>
          <w:rFonts w:cs="Arial"/>
        </w:rPr>
        <w:t>istering the drug</w:t>
      </w:r>
      <w:r w:rsidRPr="00544E47">
        <w:rPr>
          <w:rFonts w:cs="Arial"/>
        </w:rPr>
        <w:t xml:space="preserve">. </w:t>
      </w:r>
      <w:r w:rsidR="003F44C4">
        <w:rPr>
          <w:rFonts w:cs="Arial"/>
        </w:rPr>
        <w:t>Sa</w:t>
      </w:r>
      <w:r w:rsidR="00B045F4">
        <w:rPr>
          <w:rFonts w:cs="Arial"/>
        </w:rPr>
        <w:t xml:space="preserve">fer and </w:t>
      </w:r>
      <w:r>
        <w:rPr>
          <w:rFonts w:cs="Arial"/>
        </w:rPr>
        <w:t xml:space="preserve">easier </w:t>
      </w:r>
      <w:r w:rsidRPr="00544E47">
        <w:rPr>
          <w:rFonts w:cs="Arial"/>
        </w:rPr>
        <w:t>routes of administration are currently under develop</w:t>
      </w:r>
      <w:r w:rsidR="006507F4">
        <w:rPr>
          <w:rFonts w:cs="Arial"/>
        </w:rPr>
        <w:t>ment</w:t>
      </w:r>
      <w:r w:rsidRPr="00544E47">
        <w:rPr>
          <w:rFonts w:cs="Arial"/>
        </w:rPr>
        <w:t xml:space="preserve">, which could contribute to </w:t>
      </w:r>
      <w:r>
        <w:rPr>
          <w:rFonts w:cs="Arial"/>
        </w:rPr>
        <w:t xml:space="preserve">the drug’s </w:t>
      </w:r>
      <w:r w:rsidRPr="00544E47">
        <w:rPr>
          <w:rFonts w:cs="Arial"/>
        </w:rPr>
        <w:t xml:space="preserve">wider </w:t>
      </w:r>
      <w:r>
        <w:rPr>
          <w:rFonts w:cs="Arial"/>
        </w:rPr>
        <w:t>use.</w:t>
      </w:r>
      <w:r w:rsidRPr="00544E47">
        <w:rPr>
          <w:rFonts w:cs="Arial"/>
        </w:rPr>
        <w:t xml:space="preserve"> </w:t>
      </w:r>
    </w:p>
    <w:p w:rsidR="006F5D36" w:rsidRDefault="006F5D36" w:rsidP="006F5D36">
      <w:pPr>
        <w:pStyle w:val="MaintextstyleBlack"/>
        <w:spacing w:after="260"/>
      </w:pPr>
      <w:r w:rsidRPr="00A67E40">
        <w:rPr>
          <w:rFonts w:cs="Arial"/>
        </w:rPr>
        <w:t xml:space="preserve">In November 2015, the </w:t>
      </w:r>
      <w:r w:rsidRPr="005E0E3B">
        <w:rPr>
          <w:rFonts w:eastAsiaTheme="minorHAnsi" w:cs="Arial"/>
          <w:b/>
        </w:rPr>
        <w:t>US Food and Drug Administration</w:t>
      </w:r>
      <w:r w:rsidRPr="00A67E40">
        <w:rPr>
          <w:rFonts w:eastAsiaTheme="minorHAnsi" w:cs="Arial"/>
        </w:rPr>
        <w:t xml:space="preserve"> approved a </w:t>
      </w:r>
      <w:r w:rsidR="00CF1F71">
        <w:rPr>
          <w:rFonts w:eastAsiaTheme="minorHAnsi" w:cs="Arial"/>
        </w:rPr>
        <w:t xml:space="preserve">concentrated </w:t>
      </w:r>
      <w:r w:rsidRPr="00A67E40">
        <w:rPr>
          <w:rFonts w:eastAsiaTheme="minorHAnsi" w:cs="Arial"/>
        </w:rPr>
        <w:t>nasal naloxone preparation</w:t>
      </w:r>
      <w:r w:rsidR="009F399D">
        <w:rPr>
          <w:rFonts w:eastAsiaTheme="minorHAnsi" w:cs="Arial"/>
        </w:rPr>
        <w:t>. This important breakthrough in facilitating naloxone use by overdose witnesses</w:t>
      </w:r>
      <w:r w:rsidR="009F399D">
        <w:rPr>
          <w:rFonts w:cs="Arial"/>
        </w:rPr>
        <w:t xml:space="preserve"> </w:t>
      </w:r>
      <w:r>
        <w:rPr>
          <w:rFonts w:cs="Arial"/>
        </w:rPr>
        <w:t>raises the prospect of</w:t>
      </w:r>
      <w:r w:rsidRPr="00A67E40">
        <w:rPr>
          <w:rFonts w:cs="Arial"/>
        </w:rPr>
        <w:t xml:space="preserve"> nasal naloxone </w:t>
      </w:r>
      <w:r>
        <w:rPr>
          <w:rFonts w:cs="Arial"/>
        </w:rPr>
        <w:t xml:space="preserve">becoming </w:t>
      </w:r>
      <w:r w:rsidRPr="00A67E40">
        <w:rPr>
          <w:rFonts w:cs="Arial"/>
        </w:rPr>
        <w:t xml:space="preserve">available in </w:t>
      </w:r>
      <w:r w:rsidR="0098500B">
        <w:rPr>
          <w:rFonts w:cs="Arial"/>
        </w:rPr>
        <w:t>the EU</w:t>
      </w:r>
      <w:r w:rsidR="00933371">
        <w:rPr>
          <w:rFonts w:cs="Arial"/>
        </w:rPr>
        <w:t xml:space="preserve"> </w:t>
      </w:r>
      <w:r w:rsidRPr="00A67E40">
        <w:rPr>
          <w:rFonts w:cs="Arial"/>
        </w:rPr>
        <w:t>in</w:t>
      </w:r>
      <w:r>
        <w:rPr>
          <w:rFonts w:cs="Arial"/>
        </w:rPr>
        <w:t xml:space="preserve"> the near </w:t>
      </w:r>
      <w:r w:rsidRPr="00A67E40">
        <w:rPr>
          <w:rFonts w:cs="Arial"/>
        </w:rPr>
        <w:t xml:space="preserve">future. </w:t>
      </w:r>
      <w:r w:rsidR="00C63BD7">
        <w:rPr>
          <w:rFonts w:cs="Arial"/>
        </w:rPr>
        <w:t xml:space="preserve">In Europe, </w:t>
      </w:r>
      <w:r w:rsidRPr="00A67E40">
        <w:rPr>
          <w:rFonts w:cs="Arial"/>
          <w:color w:val="000000"/>
        </w:rPr>
        <w:t>pilot nasal spray naloxone programme</w:t>
      </w:r>
      <w:r w:rsidR="00CF1F71">
        <w:rPr>
          <w:rFonts w:cs="Arial"/>
          <w:color w:val="000000"/>
        </w:rPr>
        <w:t xml:space="preserve">s are </w:t>
      </w:r>
      <w:r w:rsidR="00C63BD7">
        <w:rPr>
          <w:rFonts w:cs="Arial"/>
          <w:color w:val="000000"/>
        </w:rPr>
        <w:t xml:space="preserve">currently </w:t>
      </w:r>
      <w:r w:rsidR="00CF1F71">
        <w:rPr>
          <w:rFonts w:cs="Arial"/>
          <w:color w:val="000000"/>
        </w:rPr>
        <w:t xml:space="preserve">running in </w:t>
      </w:r>
      <w:r w:rsidR="00CF1F71" w:rsidRPr="00CF1F71">
        <w:rPr>
          <w:rFonts w:cs="Arial"/>
          <w:b/>
          <w:color w:val="000000"/>
        </w:rPr>
        <w:t>Denmark</w:t>
      </w:r>
      <w:r w:rsidR="00CF1F71">
        <w:rPr>
          <w:rFonts w:cs="Arial"/>
          <w:color w:val="000000"/>
        </w:rPr>
        <w:t xml:space="preserve"> and </w:t>
      </w:r>
      <w:r w:rsidRPr="00A67E40">
        <w:rPr>
          <w:rFonts w:cs="Arial"/>
          <w:b/>
          <w:color w:val="000000"/>
        </w:rPr>
        <w:t>Norway</w:t>
      </w:r>
      <w:r w:rsidR="0098500B">
        <w:rPr>
          <w:rFonts w:cs="Arial"/>
          <w:color w:val="000000"/>
        </w:rPr>
        <w:t xml:space="preserve">, while the </w:t>
      </w:r>
      <w:r w:rsidR="0098500B">
        <w:t xml:space="preserve">feasibility </w:t>
      </w:r>
      <w:r w:rsidRPr="00A67E40">
        <w:t>of a buccal tablet is being explored</w:t>
      </w:r>
      <w:r w:rsidR="00CF1F71">
        <w:t xml:space="preserve"> in the </w:t>
      </w:r>
      <w:r w:rsidR="00CF1F71" w:rsidRPr="00CF1F71">
        <w:rPr>
          <w:b/>
        </w:rPr>
        <w:t>UK</w:t>
      </w:r>
      <w:r w:rsidR="00CF1F71">
        <w:t>.</w:t>
      </w:r>
    </w:p>
    <w:p w:rsidR="007D74FA" w:rsidRDefault="001967AB" w:rsidP="007D74FA">
      <w:pPr>
        <w:autoSpaceDE w:val="0"/>
        <w:autoSpaceDN w:val="0"/>
        <w:adjustRightInd w:val="0"/>
        <w:spacing w:before="240" w:after="260" w:line="260" w:lineRule="exact"/>
        <w:rPr>
          <w:rFonts w:ascii="Arial" w:hAnsi="Arial" w:cs="Arial"/>
          <w:b/>
          <w:sz w:val="20"/>
          <w:szCs w:val="18"/>
        </w:rPr>
      </w:pPr>
      <w:r w:rsidRPr="001967AB">
        <w:rPr>
          <w:rFonts w:ascii="Arial" w:hAnsi="Arial" w:cs="Arial"/>
          <w:b/>
          <w:sz w:val="20"/>
          <w:szCs w:val="18"/>
        </w:rPr>
        <w:t>Training</w:t>
      </w:r>
      <w:r w:rsidR="0098500B">
        <w:rPr>
          <w:rFonts w:ascii="Arial" w:hAnsi="Arial" w:cs="Arial"/>
          <w:b/>
          <w:sz w:val="20"/>
          <w:szCs w:val="18"/>
        </w:rPr>
        <w:t xml:space="preserve"> family and friends</w:t>
      </w:r>
      <w:r w:rsidRPr="001967AB">
        <w:rPr>
          <w:rFonts w:ascii="Arial" w:hAnsi="Arial" w:cs="Arial"/>
          <w:b/>
          <w:sz w:val="20"/>
          <w:szCs w:val="18"/>
        </w:rPr>
        <w:t xml:space="preserve">: an essential </w:t>
      </w:r>
      <w:r w:rsidR="00A02C06">
        <w:rPr>
          <w:rFonts w:ascii="Arial" w:hAnsi="Arial" w:cs="Arial"/>
          <w:b/>
          <w:sz w:val="20"/>
          <w:szCs w:val="18"/>
        </w:rPr>
        <w:t>element</w:t>
      </w:r>
      <w:r w:rsidRPr="001967AB">
        <w:rPr>
          <w:rFonts w:ascii="Arial" w:hAnsi="Arial" w:cs="Arial"/>
          <w:b/>
          <w:sz w:val="20"/>
          <w:szCs w:val="18"/>
        </w:rPr>
        <w:t xml:space="preserve">  </w:t>
      </w:r>
    </w:p>
    <w:p w:rsidR="007D74FA" w:rsidRPr="007D74FA" w:rsidRDefault="0098500B" w:rsidP="007D74FA">
      <w:pPr>
        <w:autoSpaceDE w:val="0"/>
        <w:autoSpaceDN w:val="0"/>
        <w:adjustRightInd w:val="0"/>
        <w:spacing w:before="240" w:after="26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training of </w:t>
      </w:r>
      <w:r w:rsidR="001967AB" w:rsidRPr="007D74FA">
        <w:rPr>
          <w:rFonts w:ascii="Arial" w:hAnsi="Arial" w:cs="Arial"/>
          <w:sz w:val="20"/>
          <w:szCs w:val="20"/>
        </w:rPr>
        <w:t xml:space="preserve">family and friends is increasingly being recognised as an essential </w:t>
      </w:r>
      <w:r w:rsidR="00A02C06" w:rsidRPr="007D74FA">
        <w:rPr>
          <w:rFonts w:ascii="Arial" w:hAnsi="Arial" w:cs="Arial"/>
          <w:sz w:val="20"/>
          <w:szCs w:val="20"/>
        </w:rPr>
        <w:t xml:space="preserve">element </w:t>
      </w:r>
      <w:r w:rsidR="001967AB" w:rsidRPr="007D74FA">
        <w:rPr>
          <w:rFonts w:ascii="Arial" w:hAnsi="Arial" w:cs="Arial"/>
          <w:sz w:val="20"/>
          <w:szCs w:val="20"/>
        </w:rPr>
        <w:t>of urgent interim overdose management</w:t>
      </w:r>
      <w:r>
        <w:rPr>
          <w:rFonts w:ascii="Arial" w:hAnsi="Arial" w:cs="Arial"/>
          <w:sz w:val="20"/>
          <w:szCs w:val="20"/>
        </w:rPr>
        <w:t xml:space="preserve"> using naloxone</w:t>
      </w:r>
      <w:r w:rsidR="001967AB" w:rsidRPr="007D74FA">
        <w:rPr>
          <w:rFonts w:ascii="Arial" w:hAnsi="Arial" w:cs="Arial"/>
          <w:sz w:val="20"/>
          <w:szCs w:val="20"/>
        </w:rPr>
        <w:t xml:space="preserve">. </w:t>
      </w:r>
      <w:r w:rsidR="007D74FA" w:rsidRPr="007D74FA">
        <w:rPr>
          <w:rFonts w:ascii="Arial" w:hAnsi="Arial" w:cs="Arial"/>
          <w:sz w:val="20"/>
          <w:szCs w:val="20"/>
        </w:rPr>
        <w:t>It</w:t>
      </w:r>
      <w:r w:rsidR="001967AB" w:rsidRPr="007D74FA">
        <w:rPr>
          <w:rFonts w:ascii="Arial" w:hAnsi="Arial" w:cs="Arial"/>
          <w:sz w:val="20"/>
          <w:szCs w:val="20"/>
        </w:rPr>
        <w:t xml:space="preserve"> helps bystanders become familiar with </w:t>
      </w:r>
      <w:r>
        <w:rPr>
          <w:rFonts w:ascii="Arial" w:hAnsi="Arial" w:cs="Arial"/>
          <w:sz w:val="20"/>
          <w:szCs w:val="20"/>
        </w:rPr>
        <w:t xml:space="preserve">the medication </w:t>
      </w:r>
      <w:r w:rsidR="003B0CFA">
        <w:rPr>
          <w:rFonts w:ascii="Arial" w:hAnsi="Arial" w:cs="Arial"/>
          <w:sz w:val="20"/>
          <w:szCs w:val="20"/>
        </w:rPr>
        <w:t xml:space="preserve">and the legalities around it </w:t>
      </w:r>
      <w:r>
        <w:rPr>
          <w:rFonts w:ascii="Arial" w:hAnsi="Arial" w:cs="Arial"/>
          <w:sz w:val="20"/>
          <w:szCs w:val="20"/>
        </w:rPr>
        <w:t xml:space="preserve">and </w:t>
      </w:r>
      <w:r w:rsidR="001967AB" w:rsidRPr="007D74FA">
        <w:rPr>
          <w:rFonts w:ascii="Arial" w:hAnsi="Arial" w:cs="Arial"/>
          <w:sz w:val="20"/>
          <w:szCs w:val="20"/>
        </w:rPr>
        <w:t xml:space="preserve">feel competent to use </w:t>
      </w:r>
      <w:r w:rsidR="00D87509" w:rsidRPr="007D74FA">
        <w:rPr>
          <w:rFonts w:ascii="Arial" w:hAnsi="Arial" w:cs="Arial"/>
          <w:sz w:val="20"/>
          <w:szCs w:val="20"/>
        </w:rPr>
        <w:t xml:space="preserve">it </w:t>
      </w:r>
      <w:r w:rsidR="00FE29D6" w:rsidRPr="007D74FA">
        <w:rPr>
          <w:rFonts w:ascii="Arial" w:hAnsi="Arial" w:cs="Arial"/>
          <w:sz w:val="20"/>
          <w:szCs w:val="20"/>
        </w:rPr>
        <w:t xml:space="preserve">as they wait </w:t>
      </w:r>
      <w:r w:rsidR="004E46FB" w:rsidRPr="007D74FA">
        <w:rPr>
          <w:rFonts w:ascii="Arial" w:hAnsi="Arial" w:cs="Arial"/>
          <w:sz w:val="20"/>
          <w:szCs w:val="20"/>
        </w:rPr>
        <w:t xml:space="preserve">for </w:t>
      </w:r>
      <w:r w:rsidR="00FE29D6" w:rsidRPr="007D74FA">
        <w:rPr>
          <w:rFonts w:ascii="Arial" w:hAnsi="Arial" w:cs="Arial"/>
          <w:sz w:val="20"/>
          <w:szCs w:val="20"/>
        </w:rPr>
        <w:t xml:space="preserve">emergency </w:t>
      </w:r>
      <w:r w:rsidR="004E46FB" w:rsidRPr="007D74FA">
        <w:rPr>
          <w:rFonts w:ascii="Arial" w:hAnsi="Arial" w:cs="Arial"/>
          <w:sz w:val="20"/>
          <w:szCs w:val="20"/>
        </w:rPr>
        <w:t>responders.</w:t>
      </w:r>
      <w:r w:rsidR="00FE29D6" w:rsidRPr="007D74FA">
        <w:rPr>
          <w:rFonts w:ascii="Arial" w:hAnsi="Arial" w:cs="Arial"/>
          <w:sz w:val="20"/>
          <w:szCs w:val="20"/>
        </w:rPr>
        <w:t xml:space="preserve"> </w:t>
      </w:r>
    </w:p>
    <w:p w:rsidR="00FE29D6" w:rsidRDefault="00D87509" w:rsidP="007D74FA">
      <w:pPr>
        <w:autoSpaceDE w:val="0"/>
        <w:autoSpaceDN w:val="0"/>
        <w:adjustRightInd w:val="0"/>
        <w:spacing w:before="240" w:after="26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8"/>
        </w:rPr>
        <w:t xml:space="preserve">Take-home </w:t>
      </w:r>
      <w:r w:rsidRPr="00D80048">
        <w:rPr>
          <w:rFonts w:ascii="Arial" w:hAnsi="Arial" w:cs="Arial"/>
          <w:sz w:val="20"/>
          <w:szCs w:val="18"/>
        </w:rPr>
        <w:t>naloxone training may vary in intensity and cover</w:t>
      </w:r>
      <w:r>
        <w:rPr>
          <w:rFonts w:ascii="Arial" w:hAnsi="Arial" w:cs="Arial"/>
          <w:sz w:val="20"/>
          <w:szCs w:val="18"/>
        </w:rPr>
        <w:t xml:space="preserve">age, with the </w:t>
      </w:r>
      <w:r w:rsidRPr="00D80048">
        <w:rPr>
          <w:rFonts w:ascii="Arial" w:hAnsi="Arial" w:cs="Arial"/>
          <w:sz w:val="20"/>
          <w:szCs w:val="18"/>
        </w:rPr>
        <w:t xml:space="preserve">choice of </w:t>
      </w:r>
      <w:r>
        <w:rPr>
          <w:rFonts w:ascii="Arial" w:hAnsi="Arial" w:cs="Arial"/>
          <w:sz w:val="20"/>
          <w:szCs w:val="18"/>
        </w:rPr>
        <w:t xml:space="preserve">the </w:t>
      </w:r>
      <w:r w:rsidRPr="00D80048">
        <w:rPr>
          <w:rFonts w:ascii="Arial" w:hAnsi="Arial" w:cs="Arial"/>
          <w:sz w:val="20"/>
          <w:szCs w:val="18"/>
        </w:rPr>
        <w:t xml:space="preserve">training level determined by the setting, </w:t>
      </w:r>
      <w:r>
        <w:rPr>
          <w:rFonts w:ascii="Arial" w:hAnsi="Arial" w:cs="Arial"/>
          <w:sz w:val="20"/>
          <w:szCs w:val="18"/>
        </w:rPr>
        <w:t>target group</w:t>
      </w:r>
      <w:r w:rsidR="0098500B">
        <w:rPr>
          <w:rFonts w:ascii="Arial" w:hAnsi="Arial" w:cs="Arial"/>
          <w:sz w:val="20"/>
          <w:szCs w:val="18"/>
        </w:rPr>
        <w:t xml:space="preserve"> needs</w:t>
      </w:r>
      <w:r>
        <w:rPr>
          <w:rFonts w:ascii="Arial" w:hAnsi="Arial" w:cs="Arial"/>
          <w:sz w:val="20"/>
          <w:szCs w:val="18"/>
        </w:rPr>
        <w:t xml:space="preserve"> and </w:t>
      </w:r>
      <w:r w:rsidRPr="00D80048">
        <w:rPr>
          <w:rFonts w:ascii="Arial" w:hAnsi="Arial" w:cs="Arial"/>
          <w:sz w:val="20"/>
          <w:szCs w:val="18"/>
        </w:rPr>
        <w:t>available resources.</w:t>
      </w:r>
      <w:r>
        <w:rPr>
          <w:rFonts w:ascii="Arial" w:hAnsi="Arial" w:cs="Arial"/>
          <w:sz w:val="20"/>
          <w:szCs w:val="18"/>
        </w:rPr>
        <w:t xml:space="preserve"> </w:t>
      </w:r>
      <w:r w:rsidR="00F34A75">
        <w:rPr>
          <w:rFonts w:ascii="Arial" w:hAnsi="Arial" w:cs="Arial"/>
          <w:sz w:val="20"/>
          <w:szCs w:val="18"/>
        </w:rPr>
        <w:t xml:space="preserve">Among the issues covered </w:t>
      </w:r>
      <w:r w:rsidR="009F399D">
        <w:rPr>
          <w:rFonts w:ascii="Arial" w:hAnsi="Arial" w:cs="Arial"/>
          <w:sz w:val="20"/>
          <w:szCs w:val="18"/>
        </w:rPr>
        <w:t xml:space="preserve">in </w:t>
      </w:r>
      <w:r w:rsidR="00F34A75">
        <w:rPr>
          <w:rFonts w:ascii="Arial" w:hAnsi="Arial" w:cs="Arial"/>
          <w:sz w:val="20"/>
          <w:szCs w:val="18"/>
        </w:rPr>
        <w:t xml:space="preserve">training are the </w:t>
      </w:r>
      <w:r w:rsidR="00CF1F71">
        <w:rPr>
          <w:rFonts w:ascii="Arial" w:hAnsi="Arial" w:cs="Arial"/>
          <w:sz w:val="20"/>
          <w:szCs w:val="18"/>
        </w:rPr>
        <w:t xml:space="preserve">potential </w:t>
      </w:r>
      <w:r w:rsidR="00C17AEA" w:rsidRPr="00C17AEA">
        <w:rPr>
          <w:rFonts w:ascii="Arial" w:hAnsi="Arial" w:cs="Arial"/>
          <w:sz w:val="20"/>
          <w:szCs w:val="20"/>
        </w:rPr>
        <w:t>side</w:t>
      </w:r>
      <w:r w:rsidR="00A02C06">
        <w:rPr>
          <w:rFonts w:ascii="Arial" w:hAnsi="Arial" w:cs="Arial"/>
          <w:sz w:val="20"/>
          <w:szCs w:val="20"/>
        </w:rPr>
        <w:t>-</w:t>
      </w:r>
      <w:r w:rsidR="00C17AEA" w:rsidRPr="00C17AEA">
        <w:rPr>
          <w:rFonts w:ascii="Arial" w:hAnsi="Arial" w:cs="Arial"/>
          <w:sz w:val="20"/>
          <w:szCs w:val="20"/>
        </w:rPr>
        <w:t>effects of naloxone use</w:t>
      </w:r>
      <w:r w:rsidR="00FE2469">
        <w:rPr>
          <w:rFonts w:ascii="Arial" w:hAnsi="Arial" w:cs="Arial"/>
          <w:sz w:val="20"/>
          <w:szCs w:val="20"/>
        </w:rPr>
        <w:t xml:space="preserve">, including </w:t>
      </w:r>
      <w:r w:rsidR="00C17AEA" w:rsidRPr="00C17AEA">
        <w:rPr>
          <w:rFonts w:ascii="Arial" w:hAnsi="Arial" w:cs="Arial"/>
          <w:sz w:val="20"/>
          <w:szCs w:val="20"/>
        </w:rPr>
        <w:t xml:space="preserve">acute </w:t>
      </w:r>
      <w:r w:rsidR="00FE29D6">
        <w:rPr>
          <w:rFonts w:ascii="Arial" w:hAnsi="Arial" w:cs="Arial"/>
          <w:sz w:val="20"/>
          <w:szCs w:val="20"/>
        </w:rPr>
        <w:t xml:space="preserve">opioid </w:t>
      </w:r>
      <w:r w:rsidR="00C17AEA" w:rsidRPr="00C17AEA">
        <w:rPr>
          <w:rFonts w:ascii="Arial" w:hAnsi="Arial" w:cs="Arial"/>
          <w:sz w:val="20"/>
          <w:szCs w:val="20"/>
        </w:rPr>
        <w:t xml:space="preserve">withdrawal </w:t>
      </w:r>
      <w:r w:rsidR="00C17AEA">
        <w:rPr>
          <w:rFonts w:ascii="Arial" w:hAnsi="Arial" w:cs="Arial"/>
          <w:sz w:val="20"/>
          <w:szCs w:val="20"/>
        </w:rPr>
        <w:t xml:space="preserve">symptoms and the risk of post-recovery </w:t>
      </w:r>
      <w:r w:rsidR="00C17AEA" w:rsidRPr="00C17AEA">
        <w:rPr>
          <w:rFonts w:ascii="Arial" w:hAnsi="Arial" w:cs="Arial"/>
          <w:sz w:val="20"/>
          <w:szCs w:val="20"/>
        </w:rPr>
        <w:t>re-intoxication</w:t>
      </w:r>
      <w:r w:rsidR="00A02C06">
        <w:rPr>
          <w:rFonts w:ascii="Arial" w:hAnsi="Arial" w:cs="Arial"/>
          <w:sz w:val="20"/>
          <w:szCs w:val="20"/>
        </w:rPr>
        <w:t xml:space="preserve"> as the </w:t>
      </w:r>
      <w:r w:rsidR="00C17AEA">
        <w:rPr>
          <w:rFonts w:ascii="Arial" w:hAnsi="Arial" w:cs="Arial"/>
          <w:sz w:val="20"/>
          <w:szCs w:val="20"/>
        </w:rPr>
        <w:t>effects of the naloxone wear off</w:t>
      </w:r>
      <w:r w:rsidR="006F5D36">
        <w:rPr>
          <w:rFonts w:ascii="Arial" w:hAnsi="Arial" w:cs="Arial"/>
          <w:sz w:val="20"/>
          <w:szCs w:val="20"/>
        </w:rPr>
        <w:t>.</w:t>
      </w:r>
    </w:p>
    <w:p w:rsidR="00CE5495" w:rsidRPr="00CE5495" w:rsidRDefault="00CE5495" w:rsidP="00CE54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Improving </w:t>
      </w:r>
      <w:r w:rsidRPr="00CE5495">
        <w:rPr>
          <w:rFonts w:ascii="Arial" w:hAnsi="Arial" w:cs="Arial"/>
          <w:b/>
          <w:sz w:val="20"/>
          <w:szCs w:val="20"/>
        </w:rPr>
        <w:t>availability</w:t>
      </w:r>
      <w:r w:rsidR="008C5CB7">
        <w:rPr>
          <w:rFonts w:ascii="Arial" w:hAnsi="Arial" w:cs="Arial"/>
          <w:b/>
          <w:sz w:val="20"/>
          <w:szCs w:val="20"/>
        </w:rPr>
        <w:t xml:space="preserve"> to save more lives</w:t>
      </w:r>
    </w:p>
    <w:p w:rsidR="00187F41" w:rsidRDefault="00BF4F3A" w:rsidP="00BF4F3A">
      <w:pPr>
        <w:pStyle w:val="MaintextstyleBlack"/>
        <w:spacing w:after="260"/>
        <w:rPr>
          <w:rFonts w:cs="Arial"/>
        </w:rPr>
      </w:pPr>
      <w:r w:rsidRPr="00BF4F3A">
        <w:rPr>
          <w:rFonts w:cs="Arial"/>
        </w:rPr>
        <w:t>Reducing</w:t>
      </w:r>
      <w:r>
        <w:t xml:space="preserve"> fatal drug overdoses remains an important challenge for public health policy.</w:t>
      </w:r>
      <w:r>
        <w:rPr>
          <w:rFonts w:cs="Arial"/>
        </w:rPr>
        <w:t xml:space="preserve"> According to today’s report:</w:t>
      </w:r>
      <w:r w:rsidRPr="00BF4F3A">
        <w:rPr>
          <w:rFonts w:cs="Arial"/>
        </w:rPr>
        <w:t xml:space="preserve"> </w:t>
      </w:r>
      <w:r w:rsidR="003B0CFA" w:rsidRPr="00BF4F3A">
        <w:rPr>
          <w:rFonts w:cs="Arial"/>
        </w:rPr>
        <w:t>‘A</w:t>
      </w:r>
      <w:r w:rsidR="00CE5495" w:rsidRPr="00BF4F3A">
        <w:rPr>
          <w:rFonts w:cs="Arial"/>
        </w:rPr>
        <w:t>ction is urgently</w:t>
      </w:r>
      <w:r w:rsidR="00CE5495" w:rsidRPr="00CE5495">
        <w:rPr>
          <w:rFonts w:cs="Arial"/>
        </w:rPr>
        <w:t xml:space="preserve"> needed to improve take-home naloxone availability</w:t>
      </w:r>
      <w:r w:rsidR="00CE5495">
        <w:rPr>
          <w:rFonts w:cs="Arial"/>
        </w:rPr>
        <w:t xml:space="preserve">’, </w:t>
      </w:r>
      <w:r>
        <w:rPr>
          <w:rFonts w:cs="Arial"/>
        </w:rPr>
        <w:t>with the antidote</w:t>
      </w:r>
      <w:r w:rsidR="00CE5495">
        <w:rPr>
          <w:rFonts w:cs="Arial"/>
        </w:rPr>
        <w:t xml:space="preserve"> </w:t>
      </w:r>
      <w:r w:rsidR="00CE5495" w:rsidRPr="00CE5495">
        <w:rPr>
          <w:rFonts w:cs="Arial"/>
        </w:rPr>
        <w:t xml:space="preserve">currently available in </w:t>
      </w:r>
      <w:r w:rsidR="00CA7B4B">
        <w:rPr>
          <w:rFonts w:cs="Arial"/>
        </w:rPr>
        <w:t>less than a third</w:t>
      </w:r>
      <w:r w:rsidR="00CE5495" w:rsidRPr="00CE5495">
        <w:rPr>
          <w:rFonts w:cs="Arial"/>
        </w:rPr>
        <w:t xml:space="preserve"> o</w:t>
      </w:r>
      <w:bookmarkStart w:id="0" w:name="_GoBack"/>
      <w:bookmarkEnd w:id="0"/>
      <w:r w:rsidR="00CE5495" w:rsidRPr="00CE5495">
        <w:rPr>
          <w:rFonts w:cs="Arial"/>
        </w:rPr>
        <w:t>f the 28 EU Member States.</w:t>
      </w:r>
      <w:r w:rsidR="00FE2469">
        <w:rPr>
          <w:rFonts w:cs="Arial"/>
        </w:rPr>
        <w:t xml:space="preserve"> </w:t>
      </w:r>
    </w:p>
    <w:p w:rsidR="00FE2469" w:rsidRDefault="00187F41" w:rsidP="00BF4F3A">
      <w:pPr>
        <w:pStyle w:val="MaintextstyleBlack"/>
        <w:spacing w:after="260"/>
      </w:pPr>
      <w:r>
        <w:t xml:space="preserve">Some </w:t>
      </w:r>
      <w:r w:rsidR="008C5CB7" w:rsidRPr="00CE5495">
        <w:t>50 years after its original manufacture, naloxone remains the drug of choice</w:t>
      </w:r>
      <w:r w:rsidR="00FE2469">
        <w:t xml:space="preserve"> for reversing opioid overdose. This report </w:t>
      </w:r>
      <w:r w:rsidR="00FE2469" w:rsidRPr="00896AB3">
        <w:rPr>
          <w:rFonts w:cs="Trivia Sans Book"/>
          <w:color w:val="000000"/>
        </w:rPr>
        <w:t>share</w:t>
      </w:r>
      <w:r>
        <w:rPr>
          <w:rFonts w:cs="Trivia Sans Book"/>
          <w:color w:val="000000"/>
        </w:rPr>
        <w:t>s</w:t>
      </w:r>
      <w:r w:rsidR="00FE2469" w:rsidRPr="00896AB3">
        <w:rPr>
          <w:rFonts w:cs="Trivia Sans Book"/>
          <w:color w:val="000000"/>
        </w:rPr>
        <w:t xml:space="preserve"> existing experience </w:t>
      </w:r>
      <w:r w:rsidR="00FE2469">
        <w:rPr>
          <w:rFonts w:cs="Trivia Sans Book"/>
          <w:color w:val="000000"/>
        </w:rPr>
        <w:t xml:space="preserve">with the medication </w:t>
      </w:r>
      <w:r w:rsidR="00FE2469" w:rsidRPr="00896AB3">
        <w:rPr>
          <w:rFonts w:cs="Trivia Sans Book"/>
          <w:color w:val="000000"/>
        </w:rPr>
        <w:t xml:space="preserve">in order to broaden the </w:t>
      </w:r>
      <w:r>
        <w:rPr>
          <w:rFonts w:cs="Trivia Sans Book"/>
          <w:color w:val="000000"/>
        </w:rPr>
        <w:t xml:space="preserve">current </w:t>
      </w:r>
      <w:r w:rsidR="00FE2469" w:rsidRPr="00896AB3">
        <w:rPr>
          <w:rFonts w:cs="Trivia Sans Book"/>
          <w:color w:val="000000"/>
        </w:rPr>
        <w:t>knowledge base for decision-making</w:t>
      </w:r>
      <w:r w:rsidR="00DC13CB">
        <w:rPr>
          <w:rFonts w:cs="Trivia Sans Book"/>
          <w:color w:val="000000"/>
        </w:rPr>
        <w:t xml:space="preserve"> and for improving emergency treatment </w:t>
      </w:r>
      <w:r w:rsidR="0098500B">
        <w:rPr>
          <w:rFonts w:cs="Trivia Sans Book"/>
          <w:color w:val="000000"/>
        </w:rPr>
        <w:t>responses</w:t>
      </w:r>
      <w:r w:rsidR="00FE2469">
        <w:rPr>
          <w:rFonts w:cs="Arial"/>
        </w:rPr>
        <w:t>.</w:t>
      </w:r>
    </w:p>
    <w:p w:rsidR="006D56A0" w:rsidRPr="0098500B" w:rsidRDefault="006D56A0" w:rsidP="00187F41">
      <w:pPr>
        <w:pStyle w:val="MaintextstyleBlack"/>
        <w:spacing w:after="0" w:line="240" w:lineRule="auto"/>
        <w:rPr>
          <w:b/>
          <w:sz w:val="18"/>
          <w:szCs w:val="18"/>
        </w:rPr>
      </w:pPr>
      <w:r w:rsidRPr="0098500B">
        <w:rPr>
          <w:b/>
          <w:sz w:val="18"/>
          <w:szCs w:val="18"/>
        </w:rPr>
        <w:t>Notes</w:t>
      </w:r>
    </w:p>
    <w:p w:rsidR="0098500B" w:rsidRDefault="0098500B" w:rsidP="00187F4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D05B9" w:rsidRPr="00ED05B9" w:rsidRDefault="00D16FFB" w:rsidP="00ED05B9">
      <w:pPr>
        <w:pStyle w:val="Default"/>
      </w:pPr>
      <w:r w:rsidRPr="008155BC">
        <w:rPr>
          <w:rFonts w:ascii="Arial" w:hAnsi="Arial" w:cs="Arial"/>
          <w:sz w:val="18"/>
          <w:szCs w:val="18"/>
        </w:rPr>
        <w:t>(</w:t>
      </w:r>
      <w:r w:rsidRPr="008155BC">
        <w:rPr>
          <w:rFonts w:ascii="Arial" w:hAnsi="Arial" w:cs="Arial"/>
          <w:sz w:val="18"/>
          <w:szCs w:val="18"/>
          <w:vertAlign w:val="superscript"/>
        </w:rPr>
        <w:t>1</w:t>
      </w:r>
      <w:r w:rsidRPr="008155BC">
        <w:rPr>
          <w:rFonts w:ascii="Arial" w:hAnsi="Arial" w:cs="Arial"/>
          <w:sz w:val="18"/>
          <w:szCs w:val="18"/>
        </w:rPr>
        <w:t xml:space="preserve">) For more, see </w:t>
      </w:r>
      <w:hyperlink r:id="rId10" w:history="1">
        <w:r w:rsidRPr="008155BC">
          <w:rPr>
            <w:rStyle w:val="Hyperlink"/>
            <w:rFonts w:cs="Arial"/>
            <w:sz w:val="18"/>
            <w:szCs w:val="18"/>
          </w:rPr>
          <w:t>www.emcdda.europa.eu/publications/insights</w:t>
        </w:r>
      </w:hyperlink>
      <w:r w:rsidR="00ED05B9">
        <w:rPr>
          <w:rStyle w:val="Hyperlink"/>
          <w:rFonts w:cs="Arial"/>
          <w:sz w:val="18"/>
          <w:szCs w:val="18"/>
        </w:rPr>
        <w:t xml:space="preserve"> </w:t>
      </w:r>
    </w:p>
    <w:p w:rsidR="00D16FFB" w:rsidRPr="00ED05B9" w:rsidRDefault="00ED05B9" w:rsidP="00ED05B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18"/>
          <w:szCs w:val="18"/>
        </w:rPr>
      </w:pPr>
      <w:r w:rsidRPr="00ED05B9">
        <w:rPr>
          <w:rFonts w:ascii="Arial" w:hAnsi="Arial" w:cs="Arial"/>
          <w:sz w:val="18"/>
          <w:szCs w:val="18"/>
        </w:rPr>
        <w:t>Editors: John Strang and Rebecca McDonald</w:t>
      </w:r>
      <w:r>
        <w:rPr>
          <w:rFonts w:ascii="Arial" w:hAnsi="Arial" w:cs="Arial"/>
          <w:sz w:val="18"/>
          <w:szCs w:val="18"/>
        </w:rPr>
        <w:t xml:space="preserve">, </w:t>
      </w:r>
      <w:r w:rsidRPr="00ED05B9">
        <w:rPr>
          <w:rFonts w:ascii="Arial" w:hAnsi="Arial" w:cs="Arial"/>
          <w:iCs/>
          <w:sz w:val="18"/>
          <w:szCs w:val="18"/>
        </w:rPr>
        <w:t xml:space="preserve">National Addiction Centre, Addictions Department, Institute of Psychiatry, Psychology </w:t>
      </w:r>
      <w:r>
        <w:rPr>
          <w:rFonts w:ascii="Arial" w:hAnsi="Arial" w:cs="Arial"/>
          <w:iCs/>
          <w:sz w:val="18"/>
          <w:szCs w:val="18"/>
        </w:rPr>
        <w:t>and</w:t>
      </w:r>
      <w:r w:rsidRPr="00ED05B9">
        <w:rPr>
          <w:rFonts w:ascii="Arial" w:hAnsi="Arial" w:cs="Arial"/>
          <w:iCs/>
          <w:sz w:val="18"/>
          <w:szCs w:val="18"/>
        </w:rPr>
        <w:t xml:space="preserve"> Neuroscience, King’s College London, United Kingdom</w:t>
      </w:r>
      <w:r>
        <w:rPr>
          <w:rFonts w:ascii="Arial" w:hAnsi="Arial" w:cs="Arial"/>
          <w:iCs/>
          <w:sz w:val="18"/>
          <w:szCs w:val="18"/>
        </w:rPr>
        <w:t>.</w:t>
      </w:r>
    </w:p>
    <w:p w:rsidR="00BF4F3A" w:rsidRPr="008155BC" w:rsidRDefault="00D16FFB" w:rsidP="00187F41">
      <w:pPr>
        <w:pStyle w:val="MaintextstyleBlack"/>
        <w:spacing w:after="0" w:line="240" w:lineRule="auto"/>
        <w:rPr>
          <w:rFonts w:cs="Arial"/>
          <w:sz w:val="18"/>
          <w:szCs w:val="18"/>
        </w:rPr>
      </w:pPr>
      <w:r w:rsidRPr="008155BC">
        <w:rPr>
          <w:rFonts w:cs="Arial"/>
          <w:sz w:val="18"/>
          <w:szCs w:val="18"/>
        </w:rPr>
        <w:t>(</w:t>
      </w:r>
      <w:r w:rsidRPr="008155BC">
        <w:rPr>
          <w:rFonts w:cs="Arial"/>
          <w:sz w:val="18"/>
          <w:szCs w:val="18"/>
          <w:vertAlign w:val="superscript"/>
        </w:rPr>
        <w:t>2</w:t>
      </w:r>
      <w:r w:rsidRPr="008155BC">
        <w:rPr>
          <w:rFonts w:cs="Arial"/>
          <w:sz w:val="18"/>
          <w:szCs w:val="18"/>
        </w:rPr>
        <w:t xml:space="preserve">) In addition to reversing the effects of a heroin or morphine overdose, naloxone also works to reverse respiratory depression caused by other opioids, including methadone (depending on dose and route of administration). </w:t>
      </w:r>
      <w:r w:rsidR="006F5D36" w:rsidRPr="008155BC">
        <w:rPr>
          <w:rFonts w:cs="Arial"/>
          <w:sz w:val="18"/>
          <w:szCs w:val="18"/>
        </w:rPr>
        <w:t xml:space="preserve">                </w:t>
      </w:r>
      <w:r w:rsidR="00187F41" w:rsidRPr="008155BC">
        <w:rPr>
          <w:rFonts w:cs="Arial"/>
          <w:sz w:val="18"/>
          <w:szCs w:val="18"/>
        </w:rPr>
        <w:t xml:space="preserve">                                     </w:t>
      </w:r>
      <w:r w:rsidR="006F5D36" w:rsidRPr="008155BC">
        <w:rPr>
          <w:rFonts w:cs="Arial"/>
          <w:sz w:val="18"/>
          <w:szCs w:val="18"/>
        </w:rPr>
        <w:t xml:space="preserve"> </w:t>
      </w:r>
    </w:p>
    <w:p w:rsidR="00BF4F3A" w:rsidRPr="008155BC" w:rsidRDefault="00BF4F3A" w:rsidP="00187F41">
      <w:pPr>
        <w:pStyle w:val="MaintextstyleBlack"/>
        <w:spacing w:after="0" w:line="240" w:lineRule="auto"/>
        <w:rPr>
          <w:rFonts w:cs="Arial"/>
          <w:sz w:val="18"/>
          <w:szCs w:val="18"/>
        </w:rPr>
      </w:pPr>
      <w:r w:rsidRPr="008155BC">
        <w:rPr>
          <w:rFonts w:cs="Arial"/>
          <w:sz w:val="18"/>
          <w:szCs w:val="18"/>
        </w:rPr>
        <w:t>(</w:t>
      </w:r>
      <w:r w:rsidRPr="008155BC">
        <w:rPr>
          <w:rFonts w:cs="Arial"/>
          <w:sz w:val="18"/>
          <w:szCs w:val="18"/>
          <w:vertAlign w:val="superscript"/>
        </w:rPr>
        <w:t>3</w:t>
      </w:r>
      <w:r w:rsidRPr="008155BC">
        <w:rPr>
          <w:rFonts w:cs="Arial"/>
          <w:sz w:val="18"/>
          <w:szCs w:val="18"/>
        </w:rPr>
        <w:t xml:space="preserve">) For more, see </w:t>
      </w:r>
      <w:hyperlink r:id="rId11" w:history="1">
        <w:r w:rsidRPr="008155BC">
          <w:rPr>
            <w:rStyle w:val="Hyperlink"/>
            <w:rFonts w:cs="Arial"/>
            <w:sz w:val="18"/>
            <w:szCs w:val="18"/>
          </w:rPr>
          <w:t>www.emcdda.europa.eu/best-practice/guidelines</w:t>
        </w:r>
      </w:hyperlink>
    </w:p>
    <w:p w:rsidR="00267B7E" w:rsidRPr="008155BC" w:rsidRDefault="00267B7E" w:rsidP="00187F41">
      <w:pPr>
        <w:pStyle w:val="MaintextstyleBlack"/>
        <w:spacing w:after="0" w:line="240" w:lineRule="auto"/>
        <w:rPr>
          <w:rFonts w:cs="Arial"/>
          <w:sz w:val="18"/>
          <w:szCs w:val="18"/>
        </w:rPr>
      </w:pPr>
      <w:r w:rsidRPr="008155BC">
        <w:rPr>
          <w:rFonts w:cs="Arial"/>
          <w:sz w:val="18"/>
          <w:szCs w:val="18"/>
        </w:rPr>
        <w:t>(</w:t>
      </w:r>
      <w:r w:rsidRPr="008155BC">
        <w:rPr>
          <w:rFonts w:cs="Arial"/>
          <w:sz w:val="18"/>
          <w:szCs w:val="18"/>
          <w:vertAlign w:val="superscript"/>
        </w:rPr>
        <w:t>4</w:t>
      </w:r>
      <w:r w:rsidRPr="008155BC">
        <w:rPr>
          <w:rFonts w:cs="Arial"/>
          <w:sz w:val="18"/>
          <w:szCs w:val="18"/>
        </w:rPr>
        <w:t>) While naloxone administered by bystanders is a potentially life-saving emergency interim response to opioid overdose, it should not be seen as a replacement for comprehensive medical care (WHO guidelines).</w:t>
      </w:r>
    </w:p>
    <w:p w:rsidR="006F5D36" w:rsidRPr="008155BC" w:rsidRDefault="006F5D36" w:rsidP="00187F41">
      <w:pPr>
        <w:pStyle w:val="MaintextstyleBlack"/>
        <w:spacing w:after="0" w:line="240" w:lineRule="auto"/>
        <w:rPr>
          <w:rFonts w:cs="Arial"/>
          <w:color w:val="000000"/>
          <w:sz w:val="18"/>
          <w:szCs w:val="18"/>
        </w:rPr>
      </w:pPr>
      <w:r w:rsidRPr="008155BC">
        <w:rPr>
          <w:rFonts w:cs="Arial"/>
          <w:sz w:val="18"/>
          <w:szCs w:val="18"/>
        </w:rPr>
        <w:t>(</w:t>
      </w:r>
      <w:r w:rsidR="00267B7E" w:rsidRPr="008155BC">
        <w:rPr>
          <w:rFonts w:cs="Arial"/>
          <w:sz w:val="18"/>
          <w:szCs w:val="18"/>
          <w:vertAlign w:val="superscript"/>
        </w:rPr>
        <w:t>5</w:t>
      </w:r>
      <w:r w:rsidRPr="008155BC">
        <w:rPr>
          <w:rFonts w:cs="Arial"/>
          <w:sz w:val="18"/>
          <w:szCs w:val="18"/>
        </w:rPr>
        <w:t xml:space="preserve">) </w:t>
      </w:r>
      <w:r w:rsidRPr="008155BC">
        <w:rPr>
          <w:rFonts w:cs="Arial"/>
          <w:color w:val="000000"/>
          <w:sz w:val="18"/>
          <w:szCs w:val="18"/>
        </w:rPr>
        <w:t>Outside the EU, programmes have been established in Australia, Canada and the US. Pilot projects are</w:t>
      </w:r>
      <w:r w:rsidRPr="008155BC">
        <w:rPr>
          <w:rFonts w:eastAsiaTheme="minorHAnsi" w:cs="Arial"/>
          <w:sz w:val="18"/>
          <w:szCs w:val="18"/>
        </w:rPr>
        <w:t xml:space="preserve"> also running in Afghanistan, China, Georgia, India, Kazakhstan, Kyrgyzstan, Tajikistan, Thailand, Ukraine and Vietnam.</w:t>
      </w:r>
    </w:p>
    <w:p w:rsidR="006E2E83" w:rsidRPr="008155BC" w:rsidRDefault="00FE2469" w:rsidP="00187F41">
      <w:pPr>
        <w:pStyle w:val="MaintextstyleBlack"/>
        <w:spacing w:after="0" w:line="240" w:lineRule="auto"/>
        <w:rPr>
          <w:rFonts w:cs="Arial"/>
          <w:sz w:val="18"/>
          <w:szCs w:val="18"/>
        </w:rPr>
      </w:pPr>
      <w:r w:rsidRPr="008155BC">
        <w:rPr>
          <w:rFonts w:cs="Arial"/>
          <w:sz w:val="18"/>
          <w:szCs w:val="18"/>
        </w:rPr>
        <w:t>(</w:t>
      </w:r>
      <w:r w:rsidR="00267B7E" w:rsidRPr="008155BC">
        <w:rPr>
          <w:rFonts w:cs="Arial"/>
          <w:sz w:val="18"/>
          <w:szCs w:val="18"/>
          <w:vertAlign w:val="superscript"/>
        </w:rPr>
        <w:t>6</w:t>
      </w:r>
      <w:r w:rsidRPr="008155BC">
        <w:rPr>
          <w:rFonts w:cs="Arial"/>
          <w:sz w:val="18"/>
          <w:szCs w:val="18"/>
        </w:rPr>
        <w:t xml:space="preserve">) For more, see </w:t>
      </w:r>
      <w:hyperlink r:id="rId12" w:history="1">
        <w:r w:rsidR="006F5D36" w:rsidRPr="008155BC">
          <w:rPr>
            <w:rStyle w:val="Hyperlink"/>
            <w:rFonts w:cs="Arial"/>
            <w:sz w:val="18"/>
            <w:szCs w:val="18"/>
          </w:rPr>
          <w:t>www.emcdda.europa.eu/news/2015/naloxone</w:t>
        </w:r>
      </w:hyperlink>
    </w:p>
    <w:sectPr w:rsidR="006E2E83" w:rsidRPr="008155BC" w:rsidSect="00187F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5" w:right="1276" w:bottom="993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CD" w:rsidRDefault="00721DCD" w:rsidP="009A28FB">
      <w:pPr>
        <w:spacing w:after="0" w:line="240" w:lineRule="auto"/>
      </w:pPr>
      <w:r>
        <w:separator/>
      </w:r>
    </w:p>
  </w:endnote>
  <w:endnote w:type="continuationSeparator" w:id="0">
    <w:p w:rsidR="00721DCD" w:rsidRDefault="00721DCD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ivia Sans Book">
    <w:altName w:val="Arial"/>
    <w:panose1 w:val="00000000000000000000"/>
    <w:charset w:val="00"/>
    <w:family w:val="modern"/>
    <w:notTrueType/>
    <w:pitch w:val="variable"/>
    <w:sig w:usb0="00000001" w:usb1="1000207A" w:usb2="00000000" w:usb3="00000000" w:csb0="0000009F" w:csb1="00000000"/>
  </w:font>
  <w:font w:name="Trivia Sans Light">
    <w:panose1 w:val="00000000000000000000"/>
    <w:charset w:val="00"/>
    <w:family w:val="modern"/>
    <w:notTrueType/>
    <w:pitch w:val="variable"/>
    <w:sig w:usb0="A00002AF" w:usb1="1000207A" w:usb2="00000000" w:usb3="00000000" w:csb0="0000009F" w:csb1="00000000"/>
  </w:font>
  <w:font w:name="Trivia Sans Medium">
    <w:altName w:val="Trivia Sans Medium"/>
    <w:panose1 w:val="00000000000000000000"/>
    <w:charset w:val="00"/>
    <w:family w:val="modern"/>
    <w:notTrueType/>
    <w:pitch w:val="variable"/>
    <w:sig w:usb0="A00002AF" w:usb1="1000207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E7" w:rsidRDefault="00D622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97"/>
      <w:gridCol w:w="7293"/>
    </w:tblGrid>
    <w:tr w:rsidR="00BF1E3B" w:rsidTr="002F4635">
      <w:tc>
        <w:tcPr>
          <w:tcW w:w="1444" w:type="dxa"/>
        </w:tcPr>
        <w:p w:rsidR="00BF1E3B" w:rsidRDefault="00BF1E3B" w:rsidP="00D37865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252194E9" wp14:editId="145A7681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BF1E3B" w:rsidRDefault="002F4635" w:rsidP="00BF1E3B">
          <w:pPr>
            <w:pStyle w:val="newsReferenc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A7B4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BF1E3B" w:rsidRDefault="00BF1E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63677C" w:rsidRDefault="0063677C" w:rsidP="003B00EE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6D80EDC1" wp14:editId="062DFC7A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>
            <w:t xml:space="preserve">Contact: Kathy Robertson, Media relations </w:t>
          </w:r>
          <w:r w:rsidRPr="00FC0187">
            <w:rPr>
              <w:sz w:val="18"/>
            </w:rPr>
            <w:t>I</w:t>
          </w:r>
          <w:r>
            <w:t xml:space="preserve"> Kathryn.Robertson@emcdda.europa.eu </w:t>
          </w:r>
        </w:p>
        <w:p w:rsidR="0063677C" w:rsidRPr="0090147F" w:rsidRDefault="0063677C" w:rsidP="003B00EE">
          <w:pPr>
            <w:pStyle w:val="newsCoordinates"/>
            <w:rPr>
              <w:lang w:val="pt-PT"/>
            </w:rPr>
          </w:pPr>
          <w:r w:rsidRPr="0090147F">
            <w:rPr>
              <w:lang w:val="pt-PT"/>
            </w:rPr>
            <w:t xml:space="preserve">Praça Europa 1, Cais do Sodré, 1249-289 Lisbon, Portugal </w:t>
          </w:r>
        </w:p>
        <w:p w:rsidR="0063677C" w:rsidRDefault="0063677C" w:rsidP="003B00EE">
          <w:pPr>
            <w:pStyle w:val="newsCoordinates"/>
          </w:pPr>
          <w:r>
            <w:t xml:space="preserve">Tel. (351) 211 21 02 00 </w:t>
          </w:r>
          <w:r w:rsidRPr="00FC0187">
            <w:rPr>
              <w:sz w:val="18"/>
            </w:rPr>
            <w:t xml:space="preserve">I </w:t>
          </w:r>
          <w:r>
            <w:t xml:space="preserve">press@emcdda.europa.eu </w:t>
          </w:r>
          <w:r w:rsidRPr="00FC0187">
            <w:rPr>
              <w:sz w:val="18"/>
            </w:rPr>
            <w:t>I</w:t>
          </w:r>
          <w:r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8D1AF3" w:rsidP="008D1AF3">
          <w:pPr>
            <w:pStyle w:val="newsReference"/>
            <w:jc w:val="right"/>
          </w:pPr>
          <w:r>
            <w:t>EN — No 1</w:t>
          </w:r>
          <w:r w:rsidR="0063677C" w:rsidRPr="00FC0187">
            <w:t>/</w:t>
          </w:r>
          <w:r>
            <w:t>2016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CD" w:rsidRDefault="00721DCD" w:rsidP="009A28FB">
      <w:pPr>
        <w:spacing w:after="0" w:line="240" w:lineRule="auto"/>
      </w:pPr>
      <w:r>
        <w:separator/>
      </w:r>
    </w:p>
  </w:footnote>
  <w:footnote w:type="continuationSeparator" w:id="0">
    <w:p w:rsidR="00721DCD" w:rsidRDefault="00721DCD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E7" w:rsidRDefault="00D622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BF1E3B" w:rsidP="006F5D36">
          <w:pPr>
            <w:pStyle w:val="newsEmbargo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521A6C77" wp14:editId="5ABFEE11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Pr="00CC4FDA">
            <w:rPr>
              <w:noProof/>
              <w:lang w:eastAsia="en-GB"/>
            </w:rPr>
            <w:t>P</w:t>
          </w:r>
          <w:r w:rsidR="002126B6">
            <w:rPr>
              <w:noProof/>
              <w:lang w:eastAsia="en-GB"/>
            </w:rPr>
            <w:t>reventing opi</w:t>
          </w:r>
          <w:r w:rsidR="002E7CF0">
            <w:rPr>
              <w:noProof/>
              <w:lang w:eastAsia="en-GB"/>
            </w:rPr>
            <w:t>o</w:t>
          </w:r>
          <w:r w:rsidR="002126B6">
            <w:rPr>
              <w:noProof/>
              <w:lang w:eastAsia="en-GB"/>
            </w:rPr>
            <w:t xml:space="preserve">id overdose deaths with take-home naloxone </w:t>
          </w:r>
        </w:p>
      </w:tc>
      <w:tc>
        <w:tcPr>
          <w:tcW w:w="3294" w:type="dxa"/>
          <w:vAlign w:val="bottom"/>
        </w:tcPr>
        <w:p w:rsidR="00BF1E3B" w:rsidRDefault="00D622E7" w:rsidP="008D1AF3">
          <w:pPr>
            <w:pStyle w:val="newsReference"/>
            <w:jc w:val="right"/>
          </w:pPr>
          <w:r>
            <w:t>18</w:t>
          </w:r>
          <w:r w:rsidR="008D1AF3">
            <w:t>.1</w:t>
          </w:r>
          <w:r w:rsidR="00A92FDC" w:rsidRPr="00A92FDC">
            <w:t>.</w:t>
          </w:r>
          <w:r w:rsidR="008D1AF3">
            <w:t>2016</w:t>
          </w:r>
        </w:p>
      </w:tc>
    </w:tr>
  </w:tbl>
  <w:p w:rsidR="00BF1E3B" w:rsidRDefault="00BF1E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E7" w:rsidRDefault="00D622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7F"/>
    <w:rsid w:val="00000FC3"/>
    <w:rsid w:val="00014E8E"/>
    <w:rsid w:val="000269BB"/>
    <w:rsid w:val="00035C66"/>
    <w:rsid w:val="00036DAA"/>
    <w:rsid w:val="000535B7"/>
    <w:rsid w:val="000566BE"/>
    <w:rsid w:val="00057F4E"/>
    <w:rsid w:val="00067DD3"/>
    <w:rsid w:val="00073411"/>
    <w:rsid w:val="000973E0"/>
    <w:rsid w:val="000A5667"/>
    <w:rsid w:val="000C6200"/>
    <w:rsid w:val="000D647E"/>
    <w:rsid w:val="000E38E4"/>
    <w:rsid w:val="00105BFC"/>
    <w:rsid w:val="00107C96"/>
    <w:rsid w:val="0014568E"/>
    <w:rsid w:val="00173D37"/>
    <w:rsid w:val="0017713E"/>
    <w:rsid w:val="001800D0"/>
    <w:rsid w:val="00187F41"/>
    <w:rsid w:val="00193094"/>
    <w:rsid w:val="00194A4C"/>
    <w:rsid w:val="001967AB"/>
    <w:rsid w:val="001A03E8"/>
    <w:rsid w:val="001A1917"/>
    <w:rsid w:val="001A3338"/>
    <w:rsid w:val="001A459A"/>
    <w:rsid w:val="001C795A"/>
    <w:rsid w:val="001D4466"/>
    <w:rsid w:val="001D5C26"/>
    <w:rsid w:val="001F70B4"/>
    <w:rsid w:val="002126B6"/>
    <w:rsid w:val="00221F6B"/>
    <w:rsid w:val="00223753"/>
    <w:rsid w:val="00240A44"/>
    <w:rsid w:val="002557B0"/>
    <w:rsid w:val="002646E4"/>
    <w:rsid w:val="00267B7E"/>
    <w:rsid w:val="0027252D"/>
    <w:rsid w:val="002759A2"/>
    <w:rsid w:val="0028141E"/>
    <w:rsid w:val="002818FB"/>
    <w:rsid w:val="00291898"/>
    <w:rsid w:val="002948E2"/>
    <w:rsid w:val="002A61F7"/>
    <w:rsid w:val="002B05CE"/>
    <w:rsid w:val="002B45AC"/>
    <w:rsid w:val="002D09D4"/>
    <w:rsid w:val="002D70DE"/>
    <w:rsid w:val="002E338F"/>
    <w:rsid w:val="002E7CF0"/>
    <w:rsid w:val="002F3696"/>
    <w:rsid w:val="002F4635"/>
    <w:rsid w:val="0033158E"/>
    <w:rsid w:val="003414F4"/>
    <w:rsid w:val="00350F80"/>
    <w:rsid w:val="0036121D"/>
    <w:rsid w:val="00361436"/>
    <w:rsid w:val="00363669"/>
    <w:rsid w:val="003816BF"/>
    <w:rsid w:val="00387D02"/>
    <w:rsid w:val="003B0CFA"/>
    <w:rsid w:val="003B41B1"/>
    <w:rsid w:val="003C0395"/>
    <w:rsid w:val="003E7EB1"/>
    <w:rsid w:val="003F44C4"/>
    <w:rsid w:val="003F73AC"/>
    <w:rsid w:val="00405E8C"/>
    <w:rsid w:val="00406914"/>
    <w:rsid w:val="004137B0"/>
    <w:rsid w:val="004221D3"/>
    <w:rsid w:val="0042354B"/>
    <w:rsid w:val="0044111C"/>
    <w:rsid w:val="00444F9B"/>
    <w:rsid w:val="00445080"/>
    <w:rsid w:val="0045468D"/>
    <w:rsid w:val="00467360"/>
    <w:rsid w:val="004748BA"/>
    <w:rsid w:val="004847FB"/>
    <w:rsid w:val="004A5932"/>
    <w:rsid w:val="004B330A"/>
    <w:rsid w:val="004C3028"/>
    <w:rsid w:val="004C64DF"/>
    <w:rsid w:val="004D6E0C"/>
    <w:rsid w:val="004E46FB"/>
    <w:rsid w:val="004F2978"/>
    <w:rsid w:val="004F6951"/>
    <w:rsid w:val="00520EF1"/>
    <w:rsid w:val="00521C23"/>
    <w:rsid w:val="0052637D"/>
    <w:rsid w:val="00542CEE"/>
    <w:rsid w:val="00544E47"/>
    <w:rsid w:val="00593633"/>
    <w:rsid w:val="005A0DC8"/>
    <w:rsid w:val="005A69AF"/>
    <w:rsid w:val="005B05A0"/>
    <w:rsid w:val="005B0882"/>
    <w:rsid w:val="005B1B63"/>
    <w:rsid w:val="005C4033"/>
    <w:rsid w:val="005D1A69"/>
    <w:rsid w:val="005D7413"/>
    <w:rsid w:val="005E0E3B"/>
    <w:rsid w:val="006116D9"/>
    <w:rsid w:val="00623A55"/>
    <w:rsid w:val="006345E6"/>
    <w:rsid w:val="0063677C"/>
    <w:rsid w:val="00637053"/>
    <w:rsid w:val="006507F4"/>
    <w:rsid w:val="006557EC"/>
    <w:rsid w:val="00666A63"/>
    <w:rsid w:val="00672271"/>
    <w:rsid w:val="00675DF5"/>
    <w:rsid w:val="00687761"/>
    <w:rsid w:val="006A473A"/>
    <w:rsid w:val="006A5514"/>
    <w:rsid w:val="006D22FC"/>
    <w:rsid w:val="006D56A0"/>
    <w:rsid w:val="006E2E83"/>
    <w:rsid w:val="006F0842"/>
    <w:rsid w:val="006F5D36"/>
    <w:rsid w:val="00721DCD"/>
    <w:rsid w:val="00723313"/>
    <w:rsid w:val="00730132"/>
    <w:rsid w:val="0074043F"/>
    <w:rsid w:val="007439AA"/>
    <w:rsid w:val="00751866"/>
    <w:rsid w:val="00773814"/>
    <w:rsid w:val="00791F09"/>
    <w:rsid w:val="007B0E03"/>
    <w:rsid w:val="007B1CCD"/>
    <w:rsid w:val="007D74FA"/>
    <w:rsid w:val="00806053"/>
    <w:rsid w:val="0081367F"/>
    <w:rsid w:val="00813FB5"/>
    <w:rsid w:val="008155BC"/>
    <w:rsid w:val="00826804"/>
    <w:rsid w:val="00840D40"/>
    <w:rsid w:val="00841E86"/>
    <w:rsid w:val="008449A5"/>
    <w:rsid w:val="00881730"/>
    <w:rsid w:val="00892B45"/>
    <w:rsid w:val="00895C8A"/>
    <w:rsid w:val="00896AB3"/>
    <w:rsid w:val="008C1172"/>
    <w:rsid w:val="008C5CB7"/>
    <w:rsid w:val="008D1AF3"/>
    <w:rsid w:val="008D54B3"/>
    <w:rsid w:val="008F177B"/>
    <w:rsid w:val="008F399E"/>
    <w:rsid w:val="0090147F"/>
    <w:rsid w:val="00902300"/>
    <w:rsid w:val="009059B3"/>
    <w:rsid w:val="00906CD1"/>
    <w:rsid w:val="00913C99"/>
    <w:rsid w:val="009316DD"/>
    <w:rsid w:val="00933371"/>
    <w:rsid w:val="00952E8E"/>
    <w:rsid w:val="009543CB"/>
    <w:rsid w:val="00955712"/>
    <w:rsid w:val="00955F0C"/>
    <w:rsid w:val="00962276"/>
    <w:rsid w:val="009642C0"/>
    <w:rsid w:val="00974A27"/>
    <w:rsid w:val="0098500B"/>
    <w:rsid w:val="009A28FB"/>
    <w:rsid w:val="009D6255"/>
    <w:rsid w:val="009E427A"/>
    <w:rsid w:val="009F0118"/>
    <w:rsid w:val="009F2F05"/>
    <w:rsid w:val="009F399D"/>
    <w:rsid w:val="009F4FB0"/>
    <w:rsid w:val="009F657B"/>
    <w:rsid w:val="00A02C06"/>
    <w:rsid w:val="00A0788A"/>
    <w:rsid w:val="00A16B77"/>
    <w:rsid w:val="00A300B6"/>
    <w:rsid w:val="00A311EF"/>
    <w:rsid w:val="00A3254D"/>
    <w:rsid w:val="00A661E2"/>
    <w:rsid w:val="00A67E40"/>
    <w:rsid w:val="00A74111"/>
    <w:rsid w:val="00A8407D"/>
    <w:rsid w:val="00A856B7"/>
    <w:rsid w:val="00A91484"/>
    <w:rsid w:val="00A92FDC"/>
    <w:rsid w:val="00AB414E"/>
    <w:rsid w:val="00AB6C13"/>
    <w:rsid w:val="00AC7A46"/>
    <w:rsid w:val="00AD2444"/>
    <w:rsid w:val="00AD6CBC"/>
    <w:rsid w:val="00AD7BFC"/>
    <w:rsid w:val="00AE093C"/>
    <w:rsid w:val="00AE1738"/>
    <w:rsid w:val="00AE30BD"/>
    <w:rsid w:val="00AF13B3"/>
    <w:rsid w:val="00AF259D"/>
    <w:rsid w:val="00AF7C1F"/>
    <w:rsid w:val="00B00F71"/>
    <w:rsid w:val="00B045F4"/>
    <w:rsid w:val="00B11B73"/>
    <w:rsid w:val="00B22F43"/>
    <w:rsid w:val="00B24BD6"/>
    <w:rsid w:val="00B25554"/>
    <w:rsid w:val="00B2725E"/>
    <w:rsid w:val="00B272F1"/>
    <w:rsid w:val="00B51E08"/>
    <w:rsid w:val="00B550E7"/>
    <w:rsid w:val="00B57464"/>
    <w:rsid w:val="00B61036"/>
    <w:rsid w:val="00B72DD3"/>
    <w:rsid w:val="00B7335C"/>
    <w:rsid w:val="00B81B8F"/>
    <w:rsid w:val="00B835F8"/>
    <w:rsid w:val="00B84FFD"/>
    <w:rsid w:val="00B97BC5"/>
    <w:rsid w:val="00BB0794"/>
    <w:rsid w:val="00BB60CF"/>
    <w:rsid w:val="00BC3E15"/>
    <w:rsid w:val="00BC59C2"/>
    <w:rsid w:val="00BF1E3B"/>
    <w:rsid w:val="00BF4F3A"/>
    <w:rsid w:val="00BF6ED1"/>
    <w:rsid w:val="00C001A5"/>
    <w:rsid w:val="00C00F38"/>
    <w:rsid w:val="00C17AEA"/>
    <w:rsid w:val="00C30D55"/>
    <w:rsid w:val="00C36147"/>
    <w:rsid w:val="00C36BC1"/>
    <w:rsid w:val="00C628C4"/>
    <w:rsid w:val="00C63254"/>
    <w:rsid w:val="00C63BD7"/>
    <w:rsid w:val="00C874C0"/>
    <w:rsid w:val="00CA2FF5"/>
    <w:rsid w:val="00CA47CB"/>
    <w:rsid w:val="00CA7B4B"/>
    <w:rsid w:val="00CB49DA"/>
    <w:rsid w:val="00CC1F19"/>
    <w:rsid w:val="00CC2C33"/>
    <w:rsid w:val="00CC4FDA"/>
    <w:rsid w:val="00CC6A8B"/>
    <w:rsid w:val="00CE391C"/>
    <w:rsid w:val="00CE5495"/>
    <w:rsid w:val="00CF1F71"/>
    <w:rsid w:val="00D01335"/>
    <w:rsid w:val="00D0143C"/>
    <w:rsid w:val="00D03EC6"/>
    <w:rsid w:val="00D16FFB"/>
    <w:rsid w:val="00D230CA"/>
    <w:rsid w:val="00D3312B"/>
    <w:rsid w:val="00D37865"/>
    <w:rsid w:val="00D55CE1"/>
    <w:rsid w:val="00D57367"/>
    <w:rsid w:val="00D60097"/>
    <w:rsid w:val="00D622E7"/>
    <w:rsid w:val="00D71673"/>
    <w:rsid w:val="00D80048"/>
    <w:rsid w:val="00D84AE3"/>
    <w:rsid w:val="00D86903"/>
    <w:rsid w:val="00D87509"/>
    <w:rsid w:val="00D92A34"/>
    <w:rsid w:val="00DA2007"/>
    <w:rsid w:val="00DB73FD"/>
    <w:rsid w:val="00DC13CB"/>
    <w:rsid w:val="00DD14AC"/>
    <w:rsid w:val="00DE70BF"/>
    <w:rsid w:val="00E05F32"/>
    <w:rsid w:val="00E125F0"/>
    <w:rsid w:val="00E31BEB"/>
    <w:rsid w:val="00E321BA"/>
    <w:rsid w:val="00E43B13"/>
    <w:rsid w:val="00E57C9D"/>
    <w:rsid w:val="00E6029A"/>
    <w:rsid w:val="00E66CCD"/>
    <w:rsid w:val="00E81F3D"/>
    <w:rsid w:val="00E83FC3"/>
    <w:rsid w:val="00EB0E35"/>
    <w:rsid w:val="00EB16B2"/>
    <w:rsid w:val="00ED05B9"/>
    <w:rsid w:val="00EE23CC"/>
    <w:rsid w:val="00EF01D5"/>
    <w:rsid w:val="00F06CDE"/>
    <w:rsid w:val="00F079A0"/>
    <w:rsid w:val="00F108A6"/>
    <w:rsid w:val="00F21CA9"/>
    <w:rsid w:val="00F24096"/>
    <w:rsid w:val="00F34A75"/>
    <w:rsid w:val="00F414EF"/>
    <w:rsid w:val="00F47542"/>
    <w:rsid w:val="00F63E33"/>
    <w:rsid w:val="00F7025C"/>
    <w:rsid w:val="00F741DB"/>
    <w:rsid w:val="00F90D54"/>
    <w:rsid w:val="00FB351B"/>
    <w:rsid w:val="00FC0187"/>
    <w:rsid w:val="00FC4683"/>
    <w:rsid w:val="00FE2469"/>
    <w:rsid w:val="00FE29D6"/>
    <w:rsid w:val="00FE3721"/>
    <w:rsid w:val="00FE4789"/>
    <w:rsid w:val="00FE7386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qFormat/>
    <w:rsid w:val="001F70B4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qFormat/>
    <w:rsid w:val="00CA2FF5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qFormat/>
    <w:rsid w:val="00B97BC5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CB49DA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/>
      <w:color w:val="000000" w:themeColor="text1"/>
      <w:sz w:val="17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paragraph" w:customStyle="1" w:styleId="MaintextstyleBlack">
    <w:name w:val="*Main text style (Black)"/>
    <w:basedOn w:val="Normal"/>
    <w:rsid w:val="00073411"/>
    <w:pPr>
      <w:spacing w:after="227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D0143C"/>
    <w:pPr>
      <w:autoSpaceDE w:val="0"/>
      <w:autoSpaceDN w:val="0"/>
      <w:adjustRightInd w:val="0"/>
      <w:spacing w:after="0" w:line="240" w:lineRule="auto"/>
    </w:pPr>
    <w:rPr>
      <w:rFonts w:ascii="Trivia Sans Book" w:hAnsi="Trivia Sans Book" w:cs="Trivia Sans Book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2126B6"/>
    <w:pPr>
      <w:spacing w:line="241" w:lineRule="atLeast"/>
    </w:pPr>
    <w:rPr>
      <w:rFonts w:ascii="Trivia Sans Light" w:hAnsi="Trivia Sans Light" w:cstheme="minorBidi"/>
      <w:color w:val="auto"/>
    </w:rPr>
  </w:style>
  <w:style w:type="character" w:customStyle="1" w:styleId="A9">
    <w:name w:val="A9"/>
    <w:uiPriority w:val="99"/>
    <w:rsid w:val="002126B6"/>
    <w:rPr>
      <w:rFonts w:cs="Trivia Sans Light"/>
      <w:color w:val="525252"/>
      <w:sz w:val="15"/>
      <w:szCs w:val="15"/>
    </w:rPr>
  </w:style>
  <w:style w:type="character" w:customStyle="1" w:styleId="A7">
    <w:name w:val="A7"/>
    <w:uiPriority w:val="99"/>
    <w:rsid w:val="002126B6"/>
    <w:rPr>
      <w:rFonts w:ascii="Trivia Sans Medium" w:hAnsi="Trivia Sans Medium" w:cs="Trivia Sans Medium"/>
      <w:color w:val="949494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6A5514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E2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4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469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52E8E"/>
  </w:style>
  <w:style w:type="paragraph" w:customStyle="1" w:styleId="Pa0">
    <w:name w:val="Pa0"/>
    <w:basedOn w:val="Default"/>
    <w:next w:val="Default"/>
    <w:uiPriority w:val="99"/>
    <w:rsid w:val="00ED05B9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qFormat/>
    <w:rsid w:val="001F70B4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qFormat/>
    <w:rsid w:val="00CA2FF5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qFormat/>
    <w:rsid w:val="00B97BC5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CB49DA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/>
      <w:color w:val="000000" w:themeColor="text1"/>
      <w:sz w:val="17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paragraph" w:customStyle="1" w:styleId="MaintextstyleBlack">
    <w:name w:val="*Main text style (Black)"/>
    <w:basedOn w:val="Normal"/>
    <w:rsid w:val="00073411"/>
    <w:pPr>
      <w:spacing w:after="227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D0143C"/>
    <w:pPr>
      <w:autoSpaceDE w:val="0"/>
      <w:autoSpaceDN w:val="0"/>
      <w:adjustRightInd w:val="0"/>
      <w:spacing w:after="0" w:line="240" w:lineRule="auto"/>
    </w:pPr>
    <w:rPr>
      <w:rFonts w:ascii="Trivia Sans Book" w:hAnsi="Trivia Sans Book" w:cs="Trivia Sans Book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2126B6"/>
    <w:pPr>
      <w:spacing w:line="241" w:lineRule="atLeast"/>
    </w:pPr>
    <w:rPr>
      <w:rFonts w:ascii="Trivia Sans Light" w:hAnsi="Trivia Sans Light" w:cstheme="minorBidi"/>
      <w:color w:val="auto"/>
    </w:rPr>
  </w:style>
  <w:style w:type="character" w:customStyle="1" w:styleId="A9">
    <w:name w:val="A9"/>
    <w:uiPriority w:val="99"/>
    <w:rsid w:val="002126B6"/>
    <w:rPr>
      <w:rFonts w:cs="Trivia Sans Light"/>
      <w:color w:val="525252"/>
      <w:sz w:val="15"/>
      <w:szCs w:val="15"/>
    </w:rPr>
  </w:style>
  <w:style w:type="character" w:customStyle="1" w:styleId="A7">
    <w:name w:val="A7"/>
    <w:uiPriority w:val="99"/>
    <w:rsid w:val="002126B6"/>
    <w:rPr>
      <w:rFonts w:ascii="Trivia Sans Medium" w:hAnsi="Trivia Sans Medium" w:cs="Trivia Sans Medium"/>
      <w:color w:val="949494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6A5514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E2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4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469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52E8E"/>
  </w:style>
  <w:style w:type="paragraph" w:customStyle="1" w:styleId="Pa0">
    <w:name w:val="Pa0"/>
    <w:basedOn w:val="Default"/>
    <w:next w:val="Default"/>
    <w:uiPriority w:val="99"/>
    <w:rsid w:val="00ED05B9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mcdda.europa.eu/news/2015/naloxon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cdda.europa.eu/best-practice/guidelin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mcdda.europa.eu/publications/insigh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M\07%20Corporate_Identity\Templates\05.%20NEWS_MATERIAL_2014\News-release_EN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F7F9-0172-46C1-94A3-541EB5DA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News-release_EN_2015</Template>
  <TotalTime>16</TotalTime>
  <Pages>2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EN</vt:lpstr>
    </vt:vector>
  </TitlesOfParts>
  <Manager>EMCDDA</Manager>
  <Company>EMCDDA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EN</dc:title>
  <dc:subject>News release EN</dc:subject>
  <dc:creator>Kathryn Robertson</dc:creator>
  <cp:keywords>News release EN</cp:keywords>
  <cp:lastModifiedBy>Rosemary Martin de Sousa</cp:lastModifiedBy>
  <cp:revision>4</cp:revision>
  <cp:lastPrinted>2016-01-18T10:56:00Z</cp:lastPrinted>
  <dcterms:created xsi:type="dcterms:W3CDTF">2016-01-15T14:45:00Z</dcterms:created>
  <dcterms:modified xsi:type="dcterms:W3CDTF">2016-01-18T11:11:00Z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EN</vt:lpwstr>
  </property>
</Properties>
</file>