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Tr="001F70B4">
        <w:trPr>
          <w:trHeight w:val="1695"/>
        </w:trPr>
        <w:tc>
          <w:tcPr>
            <w:tcW w:w="2331" w:type="pct"/>
          </w:tcPr>
          <w:p w:rsidR="00EE23CC" w:rsidRDefault="00EE23CC" w:rsidP="00EE23CC">
            <w:r>
              <w:rPr>
                <w:noProof/>
                <w:lang w:eastAsia="en-GB"/>
              </w:rPr>
              <w:drawing>
                <wp:inline distT="0" distB="0" distL="0" distR="0" wp14:anchorId="7A53FDF3" wp14:editId="034246F8">
                  <wp:extent cx="2588260" cy="61150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260" cy="611505"/>
                          </a:xfrm>
                          <a:prstGeom prst="rect">
                            <a:avLst/>
                          </a:prstGeom>
                          <a:ln>
                            <a:solidFill>
                              <a:schemeClr val="bg1"/>
                            </a:solid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1F70B4" w:rsidP="001F70B4">
            <w:r>
              <w:rPr>
                <w:noProof/>
                <w:lang w:eastAsia="en-GB"/>
              </w:rPr>
              <w:drawing>
                <wp:inline distT="0" distB="0" distL="0" distR="0" wp14:anchorId="3B2239F8" wp14:editId="2B16B470">
                  <wp:extent cx="7562842" cy="92095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42" cy="920959"/>
                          </a:xfrm>
                          <a:prstGeom prst="rect">
                            <a:avLst/>
                          </a:prstGeom>
                        </pic:spPr>
                      </pic:pic>
                    </a:graphicData>
                  </a:graphic>
                </wp:inline>
              </w:drawing>
            </w:r>
          </w:p>
        </w:tc>
      </w:tr>
    </w:tbl>
    <w:p w:rsidR="00A16B77" w:rsidRPr="006A5D66" w:rsidRDefault="00573AAC" w:rsidP="006A5D66">
      <w:pPr>
        <w:pStyle w:val="newsTitle"/>
        <w:rPr>
          <w:b/>
        </w:rPr>
      </w:pPr>
      <w:r w:rsidRPr="006A5D66">
        <w:t xml:space="preserve">EMCDDA hosts </w:t>
      </w:r>
      <w:r w:rsidR="006A5D66" w:rsidRPr="006A5D66">
        <w:t xml:space="preserve">fourth annual </w:t>
      </w:r>
      <w:r w:rsidRPr="006A5D66">
        <w:t xml:space="preserve">reitox week </w:t>
      </w:r>
    </w:p>
    <w:p w:rsidR="00A16B77" w:rsidRDefault="006A5D66" w:rsidP="00A16B77">
      <w:pPr>
        <w:pStyle w:val="newsSubTitle"/>
      </w:pPr>
      <w:r>
        <w:t xml:space="preserve">Over 40 countries attend 2015 Reitox week in Lisbon </w:t>
      </w:r>
    </w:p>
    <w:p w:rsidR="00EE2676" w:rsidRDefault="00573AAC" w:rsidP="00C1382C">
      <w:pPr>
        <w:pStyle w:val="newsContent"/>
        <w:spacing w:after="260" w:line="260" w:lineRule="exact"/>
        <w:rPr>
          <w:sz w:val="20"/>
          <w:szCs w:val="20"/>
        </w:rPr>
      </w:pPr>
      <w:r w:rsidRPr="00C1382C">
        <w:rPr>
          <w:sz w:val="20"/>
          <w:szCs w:val="20"/>
        </w:rPr>
        <w:t xml:space="preserve">(23.11.2015, LISBON) </w:t>
      </w:r>
      <w:r w:rsidR="00A87702" w:rsidRPr="00C1382C">
        <w:rPr>
          <w:sz w:val="20"/>
          <w:szCs w:val="20"/>
        </w:rPr>
        <w:t xml:space="preserve">Representatives of candidate, potential candidate and neighbouring countries of the EU </w:t>
      </w:r>
      <w:r w:rsidR="009C2CCF">
        <w:rPr>
          <w:sz w:val="20"/>
          <w:szCs w:val="20"/>
        </w:rPr>
        <w:t xml:space="preserve">are </w:t>
      </w:r>
      <w:r w:rsidR="00717B24" w:rsidRPr="00C1382C">
        <w:rPr>
          <w:sz w:val="20"/>
          <w:szCs w:val="20"/>
        </w:rPr>
        <w:t>join</w:t>
      </w:r>
      <w:r w:rsidR="009C2CCF">
        <w:rPr>
          <w:sz w:val="20"/>
          <w:szCs w:val="20"/>
        </w:rPr>
        <w:t>ing</w:t>
      </w:r>
      <w:r w:rsidR="00717B24" w:rsidRPr="00C1382C">
        <w:rPr>
          <w:sz w:val="20"/>
          <w:szCs w:val="20"/>
        </w:rPr>
        <w:t xml:space="preserve"> members of the </w:t>
      </w:r>
      <w:r w:rsidR="00717B24" w:rsidRPr="00C1382C">
        <w:rPr>
          <w:b/>
          <w:sz w:val="20"/>
          <w:szCs w:val="20"/>
        </w:rPr>
        <w:t>EMCDDA’s Reitox network</w:t>
      </w:r>
      <w:r w:rsidR="00717B24" w:rsidRPr="00C1382C">
        <w:rPr>
          <w:sz w:val="20"/>
          <w:szCs w:val="20"/>
        </w:rPr>
        <w:t xml:space="preserve"> </w:t>
      </w:r>
      <w:r w:rsidR="0064181D" w:rsidRPr="00C1382C">
        <w:rPr>
          <w:sz w:val="20"/>
          <w:szCs w:val="20"/>
        </w:rPr>
        <w:t xml:space="preserve">in Lisbon today </w:t>
      </w:r>
      <w:r w:rsidR="009C3940" w:rsidRPr="00C1382C">
        <w:rPr>
          <w:sz w:val="20"/>
          <w:szCs w:val="20"/>
        </w:rPr>
        <w:t xml:space="preserve">for the </w:t>
      </w:r>
      <w:r w:rsidR="0064181D" w:rsidRPr="00C1382C">
        <w:rPr>
          <w:sz w:val="20"/>
          <w:szCs w:val="20"/>
        </w:rPr>
        <w:t>k</w:t>
      </w:r>
      <w:r w:rsidR="009C3940" w:rsidRPr="00C1382C">
        <w:rPr>
          <w:sz w:val="20"/>
          <w:szCs w:val="20"/>
        </w:rPr>
        <w:t>ick-</w:t>
      </w:r>
      <w:r w:rsidR="0064181D" w:rsidRPr="00C1382C">
        <w:rPr>
          <w:sz w:val="20"/>
          <w:szCs w:val="20"/>
        </w:rPr>
        <w:t xml:space="preserve">off </w:t>
      </w:r>
      <w:r w:rsidR="009C2CCF">
        <w:rPr>
          <w:sz w:val="20"/>
          <w:szCs w:val="20"/>
        </w:rPr>
        <w:t xml:space="preserve">of </w:t>
      </w:r>
      <w:r w:rsidR="0064181D" w:rsidRPr="00C1382C">
        <w:rPr>
          <w:sz w:val="20"/>
          <w:szCs w:val="20"/>
        </w:rPr>
        <w:t xml:space="preserve">the </w:t>
      </w:r>
      <w:r w:rsidR="00717B24" w:rsidRPr="00C1382C">
        <w:rPr>
          <w:sz w:val="20"/>
          <w:szCs w:val="20"/>
        </w:rPr>
        <w:t>agency’s</w:t>
      </w:r>
      <w:r w:rsidR="00A87702" w:rsidRPr="00C1382C">
        <w:rPr>
          <w:sz w:val="20"/>
          <w:szCs w:val="20"/>
        </w:rPr>
        <w:t xml:space="preserve"> fourth </w:t>
      </w:r>
      <w:r w:rsidR="00A87702" w:rsidRPr="00C1382C">
        <w:rPr>
          <w:b/>
          <w:sz w:val="20"/>
          <w:szCs w:val="20"/>
        </w:rPr>
        <w:t>Reitox week</w:t>
      </w:r>
      <w:r w:rsidR="00784541" w:rsidRPr="00C1382C">
        <w:rPr>
          <w:b/>
          <w:sz w:val="20"/>
          <w:szCs w:val="20"/>
        </w:rPr>
        <w:t xml:space="preserve"> </w:t>
      </w:r>
      <w:r w:rsidR="00784541" w:rsidRPr="00C1382C">
        <w:rPr>
          <w:sz w:val="20"/>
          <w:szCs w:val="20"/>
        </w:rPr>
        <w:t>(</w:t>
      </w:r>
      <w:r w:rsidR="00784541" w:rsidRPr="00C1382C">
        <w:rPr>
          <w:sz w:val="20"/>
          <w:szCs w:val="20"/>
          <w:vertAlign w:val="superscript"/>
        </w:rPr>
        <w:t>1</w:t>
      </w:r>
      <w:r w:rsidR="00784541" w:rsidRPr="00C1382C">
        <w:rPr>
          <w:sz w:val="20"/>
          <w:szCs w:val="20"/>
        </w:rPr>
        <w:t>)</w:t>
      </w:r>
      <w:r w:rsidR="0064181D" w:rsidRPr="00C1382C">
        <w:rPr>
          <w:sz w:val="20"/>
          <w:szCs w:val="20"/>
        </w:rPr>
        <w:t xml:space="preserve">. </w:t>
      </w:r>
      <w:r w:rsidR="00A87702" w:rsidRPr="00C1382C">
        <w:rPr>
          <w:sz w:val="20"/>
          <w:szCs w:val="20"/>
        </w:rPr>
        <w:t xml:space="preserve">The purpose of </w:t>
      </w:r>
      <w:r w:rsidR="00C1382C" w:rsidRPr="00C1382C">
        <w:rPr>
          <w:sz w:val="20"/>
          <w:szCs w:val="20"/>
        </w:rPr>
        <w:t>this</w:t>
      </w:r>
      <w:r w:rsidR="00A87702" w:rsidRPr="00C1382C">
        <w:rPr>
          <w:sz w:val="20"/>
          <w:szCs w:val="20"/>
        </w:rPr>
        <w:t xml:space="preserve"> </w:t>
      </w:r>
      <w:r w:rsidR="00C1382C" w:rsidRPr="00C1382C">
        <w:rPr>
          <w:sz w:val="20"/>
          <w:szCs w:val="20"/>
        </w:rPr>
        <w:t xml:space="preserve">annual </w:t>
      </w:r>
      <w:r w:rsidR="00A87702" w:rsidRPr="00C1382C">
        <w:rPr>
          <w:sz w:val="20"/>
          <w:szCs w:val="20"/>
        </w:rPr>
        <w:t xml:space="preserve">event is to </w:t>
      </w:r>
      <w:r w:rsidR="009B0855" w:rsidRPr="00C1382C">
        <w:rPr>
          <w:sz w:val="20"/>
          <w:szCs w:val="20"/>
        </w:rPr>
        <w:t xml:space="preserve">broaden the scope of regular Reitox meetings, </w:t>
      </w:r>
      <w:r w:rsidR="009C3940" w:rsidRPr="00C1382C">
        <w:rPr>
          <w:sz w:val="20"/>
          <w:szCs w:val="20"/>
        </w:rPr>
        <w:t xml:space="preserve">underline the importance of the EU </w:t>
      </w:r>
      <w:r w:rsidR="009B0855" w:rsidRPr="00C1382C">
        <w:rPr>
          <w:sz w:val="20"/>
          <w:szCs w:val="20"/>
        </w:rPr>
        <w:t xml:space="preserve">drug monitoring model </w:t>
      </w:r>
      <w:r w:rsidR="009C3940" w:rsidRPr="00C1382C">
        <w:rPr>
          <w:sz w:val="20"/>
          <w:szCs w:val="20"/>
        </w:rPr>
        <w:t xml:space="preserve">and </w:t>
      </w:r>
      <w:r w:rsidR="009B0855" w:rsidRPr="00C1382C">
        <w:rPr>
          <w:sz w:val="20"/>
          <w:szCs w:val="20"/>
        </w:rPr>
        <w:t>add impetus to the agency’s technical cooperation with countries outside the EU</w:t>
      </w:r>
      <w:r w:rsidR="00784541" w:rsidRPr="00C1382C">
        <w:rPr>
          <w:sz w:val="20"/>
          <w:szCs w:val="20"/>
        </w:rPr>
        <w:t xml:space="preserve"> (</w:t>
      </w:r>
      <w:r w:rsidR="00784541" w:rsidRPr="00C1382C">
        <w:rPr>
          <w:sz w:val="20"/>
          <w:szCs w:val="20"/>
          <w:vertAlign w:val="superscript"/>
        </w:rPr>
        <w:t>2</w:t>
      </w:r>
      <w:r w:rsidR="00784541" w:rsidRPr="00C1382C">
        <w:rPr>
          <w:sz w:val="20"/>
          <w:szCs w:val="20"/>
        </w:rPr>
        <w:t xml:space="preserve">). </w:t>
      </w:r>
    </w:p>
    <w:p w:rsidR="00A87702" w:rsidRDefault="00A87702" w:rsidP="00C1382C">
      <w:pPr>
        <w:pStyle w:val="newsContent"/>
        <w:spacing w:after="260" w:line="260" w:lineRule="exact"/>
        <w:rPr>
          <w:sz w:val="20"/>
          <w:szCs w:val="20"/>
        </w:rPr>
      </w:pPr>
      <w:r w:rsidRPr="00C1382C">
        <w:rPr>
          <w:b/>
          <w:sz w:val="20"/>
          <w:szCs w:val="20"/>
        </w:rPr>
        <w:t>Reitox</w:t>
      </w:r>
      <w:r w:rsidRPr="00C1382C">
        <w:rPr>
          <w:sz w:val="20"/>
          <w:szCs w:val="20"/>
        </w:rPr>
        <w:t xml:space="preserve"> — the European information network on drugs and drug addiction — was set up in 1993 and is composed of 30 national monitoring centres or national focal points (NFPs) in the 28 EU Member States, Turkey and Norway, as well as a focal point at the European Commission</w:t>
      </w:r>
      <w:r w:rsidR="00784541" w:rsidRPr="00C1382C">
        <w:rPr>
          <w:sz w:val="20"/>
          <w:szCs w:val="20"/>
        </w:rPr>
        <w:t>.</w:t>
      </w:r>
      <w:r w:rsidRPr="00C1382C">
        <w:rPr>
          <w:sz w:val="20"/>
          <w:szCs w:val="20"/>
        </w:rPr>
        <w:t xml:space="preserve"> The NFPs — from which the agency draws the bulk of its data — collect and analyse national information on drugs, drawing on various sectors including health, justice and law enforcement. </w:t>
      </w:r>
    </w:p>
    <w:p w:rsidR="009C3940" w:rsidRPr="00C1382C" w:rsidRDefault="00A87702" w:rsidP="009C3940">
      <w:pPr>
        <w:pStyle w:val="MaintextstyleBlack"/>
      </w:pPr>
      <w:r w:rsidRPr="00C1382C">
        <w:rPr>
          <w:rFonts w:cs="Arial"/>
        </w:rPr>
        <w:t>The 2015</w:t>
      </w:r>
      <w:r w:rsidRPr="00C1382C">
        <w:rPr>
          <w:rFonts w:cs="Arial"/>
          <w:b/>
        </w:rPr>
        <w:t xml:space="preserve"> Reitox week</w:t>
      </w:r>
      <w:r w:rsidRPr="00C1382C">
        <w:rPr>
          <w:rFonts w:cs="Arial"/>
        </w:rPr>
        <w:t xml:space="preserve"> </w:t>
      </w:r>
      <w:r w:rsidR="009B0855" w:rsidRPr="00C1382C">
        <w:rPr>
          <w:rFonts w:cs="Arial"/>
        </w:rPr>
        <w:t>(</w:t>
      </w:r>
      <w:r w:rsidR="009B0855" w:rsidRPr="00C1382C">
        <w:rPr>
          <w:rFonts w:cs="Arial"/>
          <w:color w:val="000000"/>
        </w:rPr>
        <w:t xml:space="preserve">23–27 November) </w:t>
      </w:r>
      <w:r w:rsidR="009B0855" w:rsidRPr="00C1382C">
        <w:rPr>
          <w:rFonts w:cs="Arial"/>
        </w:rPr>
        <w:t>unites</w:t>
      </w:r>
      <w:r w:rsidRPr="00C1382C">
        <w:rPr>
          <w:rFonts w:cs="Arial"/>
        </w:rPr>
        <w:t xml:space="preserve"> over 40 nations including: the current 30 members of the network, </w:t>
      </w:r>
      <w:r w:rsidRPr="00C1382C">
        <w:rPr>
          <w:rFonts w:cs="Arial"/>
          <w:b/>
        </w:rPr>
        <w:t xml:space="preserve">Russia </w:t>
      </w:r>
      <w:r w:rsidRPr="00C1382C">
        <w:rPr>
          <w:rFonts w:cs="Arial"/>
        </w:rPr>
        <w:t>and a number of beneficiar</w:t>
      </w:r>
      <w:r w:rsidR="004A2E95">
        <w:rPr>
          <w:rFonts w:cs="Arial"/>
        </w:rPr>
        <w:t xml:space="preserve">y countries </w:t>
      </w:r>
      <w:r w:rsidRPr="00C1382C">
        <w:rPr>
          <w:rFonts w:cs="Arial"/>
        </w:rPr>
        <w:t xml:space="preserve">of the </w:t>
      </w:r>
      <w:r w:rsidRPr="00C1382C">
        <w:rPr>
          <w:rFonts w:cs="Arial"/>
          <w:b/>
        </w:rPr>
        <w:t>European Instrument for Pre-Accession Assistance (IPA)</w:t>
      </w:r>
      <w:r w:rsidRPr="00C1382C">
        <w:rPr>
          <w:rFonts w:cs="Arial"/>
        </w:rPr>
        <w:t xml:space="preserve"> and the </w:t>
      </w:r>
      <w:r w:rsidRPr="00C1382C">
        <w:rPr>
          <w:rFonts w:cs="Arial"/>
          <w:b/>
        </w:rPr>
        <w:t>European Neighbourhood Policy Instrument (ENPI)</w:t>
      </w:r>
      <w:r w:rsidR="0022230A" w:rsidRPr="00C1382C">
        <w:rPr>
          <w:rFonts w:cs="Arial"/>
        </w:rPr>
        <w:t>(</w:t>
      </w:r>
      <w:r w:rsidR="0022230A" w:rsidRPr="00C1382C">
        <w:rPr>
          <w:rStyle w:val="A6"/>
          <w:rFonts w:cs="Arial"/>
          <w:sz w:val="20"/>
          <w:szCs w:val="20"/>
          <w:vertAlign w:val="superscript"/>
        </w:rPr>
        <w:t>3</w:t>
      </w:r>
      <w:r w:rsidR="0022230A" w:rsidRPr="00C1382C">
        <w:rPr>
          <w:rFonts w:cs="Arial"/>
        </w:rPr>
        <w:t>).</w:t>
      </w:r>
      <w:r w:rsidRPr="00C1382C">
        <w:rPr>
          <w:rFonts w:cs="Arial"/>
        </w:rPr>
        <w:t xml:space="preserve"> </w:t>
      </w:r>
    </w:p>
    <w:p w:rsidR="00EE2676" w:rsidRDefault="00C1382C" w:rsidP="00EE2676">
      <w:pPr>
        <w:pStyle w:val="MaintextstyleBlack"/>
        <w:rPr>
          <w:rFonts w:cs="Arial"/>
          <w:color w:val="000000"/>
        </w:rPr>
      </w:pPr>
      <w:r w:rsidRPr="00C1382C">
        <w:rPr>
          <w:rFonts w:cs="Arial"/>
          <w:color w:val="000000"/>
        </w:rPr>
        <w:t>The</w:t>
      </w:r>
      <w:r w:rsidR="009B0855" w:rsidRPr="00C1382C">
        <w:rPr>
          <w:rFonts w:cs="Arial"/>
          <w:color w:val="000000"/>
        </w:rPr>
        <w:t xml:space="preserve"> </w:t>
      </w:r>
      <w:r w:rsidR="009C3940" w:rsidRPr="0084500F">
        <w:rPr>
          <w:rFonts w:cs="Arial"/>
          <w:b/>
          <w:color w:val="000000"/>
        </w:rPr>
        <w:t>Reitox week</w:t>
      </w:r>
      <w:r w:rsidR="009C3940" w:rsidRPr="00C1382C">
        <w:rPr>
          <w:rFonts w:cs="Arial"/>
          <w:color w:val="000000"/>
        </w:rPr>
        <w:t xml:space="preserve"> encompasses three events: </w:t>
      </w:r>
      <w:r w:rsidR="004A2E95">
        <w:rPr>
          <w:rFonts w:cs="Arial"/>
          <w:color w:val="000000"/>
        </w:rPr>
        <w:t xml:space="preserve">international </w:t>
      </w:r>
      <w:r w:rsidR="009C3940" w:rsidRPr="00C1382C">
        <w:rPr>
          <w:rFonts w:cs="Arial"/>
          <w:color w:val="000000"/>
        </w:rPr>
        <w:t xml:space="preserve">cooperation project-related meetings; </w:t>
      </w:r>
      <w:r w:rsidR="004A2E95" w:rsidRPr="00C1382C">
        <w:rPr>
          <w:rFonts w:cs="Arial"/>
          <w:color w:val="000000"/>
        </w:rPr>
        <w:t xml:space="preserve">the regular Heads of focal point meeting </w:t>
      </w:r>
      <w:r w:rsidR="004A2E95">
        <w:rPr>
          <w:rFonts w:cs="Arial"/>
          <w:color w:val="000000"/>
        </w:rPr>
        <w:t xml:space="preserve">and a </w:t>
      </w:r>
      <w:r w:rsidR="009C3940" w:rsidRPr="00C1382C">
        <w:rPr>
          <w:rFonts w:cs="Arial"/>
          <w:color w:val="000000"/>
        </w:rPr>
        <w:t xml:space="preserve">Reitox </w:t>
      </w:r>
      <w:r w:rsidR="004A2E95">
        <w:rPr>
          <w:rFonts w:cs="Arial"/>
          <w:color w:val="000000"/>
        </w:rPr>
        <w:t>‘</w:t>
      </w:r>
      <w:r w:rsidR="009C3940" w:rsidRPr="00C1382C">
        <w:rPr>
          <w:rFonts w:cs="Arial"/>
          <w:color w:val="000000"/>
        </w:rPr>
        <w:t>extended network</w:t>
      </w:r>
      <w:r w:rsidR="004A2E95">
        <w:rPr>
          <w:rFonts w:cs="Arial"/>
          <w:color w:val="000000"/>
        </w:rPr>
        <w:t>’</w:t>
      </w:r>
      <w:r w:rsidR="009C3940" w:rsidRPr="00C1382C">
        <w:rPr>
          <w:rFonts w:cs="Arial"/>
          <w:color w:val="000000"/>
        </w:rPr>
        <w:t xml:space="preserve"> meeting (</w:t>
      </w:r>
      <w:r w:rsidR="00784541" w:rsidRPr="00C1382C">
        <w:rPr>
          <w:rStyle w:val="A6"/>
          <w:rFonts w:cs="Arial"/>
          <w:sz w:val="20"/>
          <w:szCs w:val="20"/>
          <w:vertAlign w:val="superscript"/>
        </w:rPr>
        <w:t>4</w:t>
      </w:r>
      <w:r w:rsidR="009C3940" w:rsidRPr="00C1382C">
        <w:rPr>
          <w:rFonts w:cs="Arial"/>
          <w:color w:val="000000"/>
        </w:rPr>
        <w:t>)</w:t>
      </w:r>
      <w:r w:rsidR="00815DEE">
        <w:rPr>
          <w:rFonts w:cs="Arial"/>
          <w:color w:val="000000"/>
        </w:rPr>
        <w:t>,</w:t>
      </w:r>
      <w:r w:rsidR="004A2E95">
        <w:rPr>
          <w:rFonts w:cs="Arial"/>
          <w:color w:val="000000"/>
        </w:rPr>
        <w:t xml:space="preserve"> this y</w:t>
      </w:r>
      <w:r w:rsidR="00815DEE">
        <w:rPr>
          <w:rFonts w:cs="Arial"/>
          <w:color w:val="000000"/>
        </w:rPr>
        <w:t xml:space="preserve">ear </w:t>
      </w:r>
      <w:r w:rsidR="004A2E95">
        <w:rPr>
          <w:rFonts w:cs="Arial"/>
          <w:color w:val="000000"/>
        </w:rPr>
        <w:t xml:space="preserve">focusing on </w:t>
      </w:r>
      <w:r w:rsidR="009C3940" w:rsidRPr="00BF7A51">
        <w:rPr>
          <w:rFonts w:cs="Arial"/>
          <w:b/>
          <w:color w:val="000000"/>
        </w:rPr>
        <w:t>‘Women and drugs’</w:t>
      </w:r>
      <w:r w:rsidR="004A2E95">
        <w:rPr>
          <w:rFonts w:cs="Arial"/>
          <w:b/>
          <w:color w:val="000000"/>
        </w:rPr>
        <w:t xml:space="preserve"> </w:t>
      </w:r>
      <w:r w:rsidR="004A2E95" w:rsidRPr="004A2E95">
        <w:rPr>
          <w:rFonts w:cs="Arial"/>
          <w:color w:val="000000"/>
        </w:rPr>
        <w:t>(24 November)</w:t>
      </w:r>
      <w:r w:rsidR="009C3940" w:rsidRPr="004A2E95">
        <w:rPr>
          <w:rFonts w:cs="Arial"/>
          <w:color w:val="000000"/>
        </w:rPr>
        <w:t>.</w:t>
      </w:r>
      <w:r w:rsidR="009C3940" w:rsidRPr="00C1382C">
        <w:rPr>
          <w:rFonts w:cs="Arial"/>
          <w:color w:val="000000"/>
        </w:rPr>
        <w:t xml:space="preserve"> Experts and researchers from France, Italy, Latvia</w:t>
      </w:r>
      <w:r w:rsidR="004A2E95">
        <w:rPr>
          <w:rFonts w:cs="Arial"/>
          <w:color w:val="000000"/>
        </w:rPr>
        <w:t>,</w:t>
      </w:r>
      <w:r w:rsidR="009C3940" w:rsidRPr="00C1382C">
        <w:rPr>
          <w:rFonts w:cs="Arial"/>
          <w:color w:val="000000"/>
        </w:rPr>
        <w:t xml:space="preserve"> Malta</w:t>
      </w:r>
      <w:r w:rsidR="004A2E95">
        <w:rPr>
          <w:rFonts w:cs="Arial"/>
          <w:color w:val="000000"/>
        </w:rPr>
        <w:t>, Nor</w:t>
      </w:r>
      <w:r w:rsidR="009C3940" w:rsidRPr="00C1382C">
        <w:rPr>
          <w:rFonts w:cs="Arial"/>
          <w:color w:val="000000"/>
        </w:rPr>
        <w:t xml:space="preserve">way and the Lebanon will explore </w:t>
      </w:r>
      <w:r w:rsidR="00815DEE">
        <w:rPr>
          <w:rFonts w:cs="Arial"/>
          <w:color w:val="000000"/>
        </w:rPr>
        <w:t xml:space="preserve">in this session </w:t>
      </w:r>
      <w:r w:rsidR="009C3940" w:rsidRPr="00C1382C">
        <w:rPr>
          <w:rFonts w:cs="Arial"/>
          <w:color w:val="000000"/>
        </w:rPr>
        <w:t xml:space="preserve">the implications of gender for drug use, drug treatment, harm reduction and service planning. </w:t>
      </w:r>
      <w:r w:rsidR="0064181D" w:rsidRPr="00C1382C">
        <w:rPr>
          <w:rFonts w:cs="Arial"/>
          <w:color w:val="000000"/>
        </w:rPr>
        <w:t xml:space="preserve"> </w:t>
      </w:r>
    </w:p>
    <w:p w:rsidR="0084500F" w:rsidRDefault="0051547C" w:rsidP="00EE2676">
      <w:pPr>
        <w:pStyle w:val="MaintextstyleBlack"/>
      </w:pPr>
      <w:r w:rsidRPr="00C1382C">
        <w:t xml:space="preserve">‘Once countries join the EU, they are automatically required to participate in the work of the EU agencies’, </w:t>
      </w:r>
      <w:r w:rsidR="00784541" w:rsidRPr="00C1382C">
        <w:t xml:space="preserve">says </w:t>
      </w:r>
      <w:r w:rsidR="00784541" w:rsidRPr="00C1382C">
        <w:rPr>
          <w:b/>
        </w:rPr>
        <w:t xml:space="preserve">Wolfgang </w:t>
      </w:r>
      <w:r w:rsidRPr="00C1382C">
        <w:rPr>
          <w:b/>
        </w:rPr>
        <w:t>Götz</w:t>
      </w:r>
      <w:r w:rsidR="00784541" w:rsidRPr="00C1382C">
        <w:rPr>
          <w:b/>
        </w:rPr>
        <w:t>, EMCDDA Director</w:t>
      </w:r>
      <w:r w:rsidRPr="00C1382C">
        <w:t>. ‘This is why aspiring EU members are encouraged to play an active role in the work of the agencies before entering the Union to ensure that, on accession, they are fully ope</w:t>
      </w:r>
      <w:r w:rsidR="00784541" w:rsidRPr="00C1382C">
        <w:t xml:space="preserve">rational in the specific field. </w:t>
      </w:r>
      <w:r w:rsidR="0084500F">
        <w:t xml:space="preserve">Participation in events </w:t>
      </w:r>
      <w:r w:rsidR="009C2CCF">
        <w:t>such as Reitox week</w:t>
      </w:r>
      <w:r w:rsidR="0084500F">
        <w:t xml:space="preserve"> can help </w:t>
      </w:r>
      <w:r w:rsidR="009C2CCF">
        <w:t xml:space="preserve">these </w:t>
      </w:r>
      <w:r w:rsidR="0084500F">
        <w:t xml:space="preserve">countries </w:t>
      </w:r>
      <w:r w:rsidR="0084500F" w:rsidRPr="00C1382C">
        <w:t>strengthen their national information systems and gain access to tools and expertise to implement their own national strategies and responses to the drugs problem</w:t>
      </w:r>
      <w:r w:rsidR="0084500F">
        <w:t>’</w:t>
      </w:r>
      <w:r w:rsidR="0084500F" w:rsidRPr="00C1382C">
        <w:t>.</w:t>
      </w:r>
      <w:bookmarkStart w:id="0" w:name="_GoBack"/>
      <w:bookmarkEnd w:id="0"/>
    </w:p>
    <w:p w:rsidR="009C2CCF" w:rsidRDefault="009C2CCF" w:rsidP="00211B32">
      <w:pPr>
        <w:pStyle w:val="newsContent"/>
        <w:rPr>
          <w:b/>
          <w:sz w:val="18"/>
          <w:szCs w:val="18"/>
        </w:rPr>
      </w:pPr>
      <w:r>
        <w:rPr>
          <w:b/>
          <w:sz w:val="18"/>
          <w:szCs w:val="18"/>
        </w:rPr>
        <w:t>No</w:t>
      </w:r>
      <w:r w:rsidRPr="009C2CCF">
        <w:rPr>
          <w:b/>
          <w:sz w:val="18"/>
          <w:szCs w:val="18"/>
        </w:rPr>
        <w:t>tes</w:t>
      </w:r>
    </w:p>
    <w:p w:rsidR="00C54F6D" w:rsidRDefault="00C54F6D" w:rsidP="00211B32">
      <w:pPr>
        <w:pStyle w:val="newsContent"/>
        <w:rPr>
          <w:sz w:val="18"/>
          <w:szCs w:val="18"/>
        </w:rPr>
      </w:pPr>
    </w:p>
    <w:p w:rsidR="00784541" w:rsidRPr="009C2CCF" w:rsidRDefault="0084500F" w:rsidP="00211B32">
      <w:pPr>
        <w:pStyle w:val="newsContent"/>
        <w:rPr>
          <w:b/>
          <w:sz w:val="18"/>
          <w:szCs w:val="18"/>
        </w:rPr>
      </w:pPr>
      <w:r w:rsidRPr="009C2CCF">
        <w:rPr>
          <w:sz w:val="18"/>
          <w:szCs w:val="18"/>
        </w:rPr>
        <w:t>(</w:t>
      </w:r>
      <w:r w:rsidRPr="009C2CCF">
        <w:rPr>
          <w:sz w:val="18"/>
          <w:szCs w:val="18"/>
          <w:vertAlign w:val="superscript"/>
        </w:rPr>
        <w:t>1</w:t>
      </w:r>
      <w:r w:rsidRPr="009C2CCF">
        <w:rPr>
          <w:sz w:val="18"/>
          <w:szCs w:val="18"/>
        </w:rPr>
        <w:t xml:space="preserve">) </w:t>
      </w:r>
      <w:r w:rsidRPr="004A2E95">
        <w:rPr>
          <w:sz w:val="18"/>
          <w:szCs w:val="18"/>
        </w:rPr>
        <w:t xml:space="preserve">For more, see </w:t>
      </w:r>
      <w:hyperlink r:id="rId10" w:history="1">
        <w:r w:rsidR="004A2E95" w:rsidRPr="004A2E95">
          <w:rPr>
            <w:rStyle w:val="Hyperlink"/>
            <w:sz w:val="18"/>
            <w:szCs w:val="18"/>
          </w:rPr>
          <w:t>www.emcdda.europa.eu/about/partners/reitox-network</w:t>
        </w:r>
      </w:hyperlink>
      <w:r w:rsidR="004A2E95">
        <w:rPr>
          <w:sz w:val="18"/>
          <w:szCs w:val="18"/>
        </w:rPr>
        <w:t xml:space="preserve"> </w:t>
      </w:r>
      <w:r w:rsidR="004A2E95" w:rsidRPr="004A2E95">
        <w:rPr>
          <w:sz w:val="18"/>
          <w:szCs w:val="18"/>
        </w:rPr>
        <w:t xml:space="preserve">and </w:t>
      </w:r>
      <w:hyperlink r:id="rId11" w:history="1">
        <w:r w:rsidR="004A2E95" w:rsidRPr="00BB2F57">
          <w:rPr>
            <w:rStyle w:val="Hyperlink"/>
            <w:sz w:val="18"/>
            <w:szCs w:val="18"/>
          </w:rPr>
          <w:t>www.emcdda.europa.eu/news/2015/fs10/reitox-week-2015</w:t>
        </w:r>
      </w:hyperlink>
      <w:r w:rsidR="004A2E95" w:rsidRPr="004A2E95">
        <w:rPr>
          <w:sz w:val="18"/>
          <w:szCs w:val="18"/>
        </w:rPr>
        <w:t xml:space="preserve"> </w:t>
      </w:r>
    </w:p>
    <w:p w:rsidR="00784541" w:rsidRPr="009C2CCF" w:rsidRDefault="00784541" w:rsidP="00211B32">
      <w:pPr>
        <w:pStyle w:val="newsContent"/>
        <w:rPr>
          <w:sz w:val="18"/>
          <w:szCs w:val="18"/>
        </w:rPr>
      </w:pPr>
      <w:r w:rsidRPr="009C2CCF">
        <w:rPr>
          <w:sz w:val="18"/>
          <w:szCs w:val="18"/>
        </w:rPr>
        <w:t>(</w:t>
      </w:r>
      <w:r w:rsidRPr="009C2CCF">
        <w:rPr>
          <w:sz w:val="18"/>
          <w:szCs w:val="18"/>
          <w:vertAlign w:val="superscript"/>
        </w:rPr>
        <w:t>2</w:t>
      </w:r>
      <w:r w:rsidRPr="009C2CCF">
        <w:rPr>
          <w:sz w:val="18"/>
          <w:szCs w:val="18"/>
        </w:rPr>
        <w:t xml:space="preserve">) In preparation for </w:t>
      </w:r>
      <w:r w:rsidR="00BB2F57">
        <w:rPr>
          <w:sz w:val="18"/>
          <w:szCs w:val="18"/>
        </w:rPr>
        <w:t xml:space="preserve">the </w:t>
      </w:r>
      <w:r w:rsidRPr="009C2CCF">
        <w:rPr>
          <w:sz w:val="18"/>
          <w:szCs w:val="18"/>
        </w:rPr>
        <w:t>EU enlargement</w:t>
      </w:r>
      <w:r w:rsidR="00BB2F57">
        <w:rPr>
          <w:sz w:val="18"/>
          <w:szCs w:val="18"/>
        </w:rPr>
        <w:t xml:space="preserve">s of </w:t>
      </w:r>
      <w:r w:rsidRPr="009C2CCF">
        <w:rPr>
          <w:sz w:val="18"/>
          <w:szCs w:val="18"/>
        </w:rPr>
        <w:t>2004</w:t>
      </w:r>
      <w:r w:rsidR="006A5D66" w:rsidRPr="009C2CCF">
        <w:rPr>
          <w:sz w:val="18"/>
          <w:szCs w:val="18"/>
        </w:rPr>
        <w:t xml:space="preserve"> and </w:t>
      </w:r>
      <w:r w:rsidRPr="009C2CCF">
        <w:rPr>
          <w:sz w:val="18"/>
          <w:szCs w:val="18"/>
        </w:rPr>
        <w:t xml:space="preserve">2007, the EMCDDA began cooperating </w:t>
      </w:r>
      <w:r w:rsidR="006A5D66" w:rsidRPr="009C2CCF">
        <w:rPr>
          <w:sz w:val="18"/>
          <w:szCs w:val="18"/>
        </w:rPr>
        <w:t xml:space="preserve">in 1999 </w:t>
      </w:r>
      <w:r w:rsidRPr="009C2CCF">
        <w:rPr>
          <w:sz w:val="18"/>
          <w:szCs w:val="18"/>
        </w:rPr>
        <w:t xml:space="preserve">with countries outside the EU, working with EU candidate countries on technical projects to develop </w:t>
      </w:r>
      <w:r w:rsidR="006A5D66" w:rsidRPr="009C2CCF">
        <w:rPr>
          <w:sz w:val="18"/>
          <w:szCs w:val="18"/>
        </w:rPr>
        <w:t>NFPs</w:t>
      </w:r>
      <w:r w:rsidRPr="009C2CCF">
        <w:rPr>
          <w:sz w:val="18"/>
          <w:szCs w:val="18"/>
        </w:rPr>
        <w:t xml:space="preserve"> and drug information systems. It began collaborating with Norway in 2001, and in 2003 extended this work to EU candidate and potential candidate countries in the Western Balkans. This broader perspective was enshrined in a revised EMCDDA founding regulation, enforced in 2007, which formalised the agency’s transfer of know-how to countries beyond EU borders.</w:t>
      </w:r>
      <w:r w:rsidR="0084500F" w:rsidRPr="009C2CCF">
        <w:rPr>
          <w:sz w:val="18"/>
          <w:szCs w:val="18"/>
        </w:rPr>
        <w:t xml:space="preserve"> </w:t>
      </w:r>
    </w:p>
    <w:p w:rsidR="0084500F" w:rsidRPr="009C2CCF" w:rsidRDefault="00784541" w:rsidP="00211B32">
      <w:pPr>
        <w:pStyle w:val="newsContent"/>
        <w:rPr>
          <w:sz w:val="18"/>
          <w:szCs w:val="18"/>
        </w:rPr>
      </w:pPr>
      <w:r w:rsidRPr="009C2CCF">
        <w:rPr>
          <w:sz w:val="18"/>
          <w:szCs w:val="18"/>
        </w:rPr>
        <w:t>(</w:t>
      </w:r>
      <w:r w:rsidRPr="009C2CCF">
        <w:rPr>
          <w:sz w:val="18"/>
          <w:szCs w:val="18"/>
          <w:vertAlign w:val="superscript"/>
        </w:rPr>
        <w:t>3</w:t>
      </w:r>
      <w:r w:rsidRPr="009C2CCF">
        <w:rPr>
          <w:sz w:val="18"/>
          <w:szCs w:val="18"/>
        </w:rPr>
        <w:t xml:space="preserve">) </w:t>
      </w:r>
      <w:hyperlink r:id="rId12" w:history="1">
        <w:r w:rsidR="009C2CCF" w:rsidRPr="00CF4779">
          <w:rPr>
            <w:rStyle w:val="Hyperlink"/>
            <w:sz w:val="18"/>
            <w:szCs w:val="18"/>
          </w:rPr>
          <w:t>http://ec.europa.eu/enlargement/instruments/overview/index_en.htm</w:t>
        </w:r>
      </w:hyperlink>
      <w:r w:rsidR="009C2CCF">
        <w:rPr>
          <w:sz w:val="18"/>
          <w:szCs w:val="18"/>
        </w:rPr>
        <w:t xml:space="preserve"> </w:t>
      </w:r>
      <w:r w:rsidR="0022230A" w:rsidRPr="009C2CCF">
        <w:rPr>
          <w:sz w:val="18"/>
          <w:szCs w:val="18"/>
        </w:rPr>
        <w:t xml:space="preserve"> </w:t>
      </w:r>
      <w:hyperlink r:id="rId13" w:history="1">
        <w:r w:rsidR="006A5D66" w:rsidRPr="009C2CCF">
          <w:rPr>
            <w:rStyle w:val="Hyperlink"/>
            <w:sz w:val="18"/>
            <w:szCs w:val="18"/>
          </w:rPr>
          <w:t>https://ec.europa.eu/europeaid/funding/european-neighbourhood-and-partnership-instrument-enpi_en</w:t>
        </w:r>
      </w:hyperlink>
      <w:r w:rsidR="009C2CCF">
        <w:rPr>
          <w:rStyle w:val="Hyperlink"/>
          <w:sz w:val="18"/>
          <w:szCs w:val="18"/>
        </w:rPr>
        <w:t>.</w:t>
      </w:r>
      <w:r w:rsidR="006A5D66" w:rsidRPr="009C2CCF">
        <w:rPr>
          <w:sz w:val="18"/>
          <w:szCs w:val="18"/>
        </w:rPr>
        <w:t xml:space="preserve"> </w:t>
      </w:r>
      <w:r w:rsidR="009C2CCF" w:rsidRPr="009C2CCF">
        <w:rPr>
          <w:sz w:val="18"/>
          <w:szCs w:val="18"/>
        </w:rPr>
        <w:t xml:space="preserve">In July 2015, the </w:t>
      </w:r>
      <w:r w:rsidR="009C2CCF" w:rsidRPr="000E7305">
        <w:rPr>
          <w:sz w:val="18"/>
          <w:szCs w:val="18"/>
        </w:rPr>
        <w:t>EMCDDA</w:t>
      </w:r>
      <w:r w:rsidR="009C2CCF" w:rsidRPr="009C2CCF">
        <w:rPr>
          <w:sz w:val="18"/>
          <w:szCs w:val="18"/>
        </w:rPr>
        <w:t xml:space="preserve"> launched its</w:t>
      </w:r>
      <w:r w:rsidR="000E7305">
        <w:rPr>
          <w:sz w:val="18"/>
          <w:szCs w:val="18"/>
        </w:rPr>
        <w:t xml:space="preserve"> </w:t>
      </w:r>
      <w:r w:rsidR="009C2CCF" w:rsidRPr="009C2CCF">
        <w:rPr>
          <w:sz w:val="18"/>
          <w:szCs w:val="18"/>
        </w:rPr>
        <w:t>I</w:t>
      </w:r>
      <w:r w:rsidR="002334B9">
        <w:rPr>
          <w:sz w:val="18"/>
          <w:szCs w:val="18"/>
        </w:rPr>
        <w:t xml:space="preserve">PA 5 programme </w:t>
      </w:r>
      <w:r w:rsidR="009C2CCF" w:rsidRPr="009C2CCF">
        <w:rPr>
          <w:sz w:val="18"/>
          <w:szCs w:val="18"/>
        </w:rPr>
        <w:t xml:space="preserve">to support IPA beneficiaries in preparing to participate in its work. </w:t>
      </w:r>
      <w:r w:rsidR="006A5D66" w:rsidRPr="009C2CCF">
        <w:rPr>
          <w:sz w:val="18"/>
          <w:szCs w:val="18"/>
        </w:rPr>
        <w:t xml:space="preserve"> </w:t>
      </w:r>
      <w:hyperlink r:id="rId14" w:history="1">
        <w:r w:rsidR="003A3E46" w:rsidRPr="004D3CE2">
          <w:rPr>
            <w:rStyle w:val="Hyperlink"/>
            <w:sz w:val="18"/>
            <w:szCs w:val="18"/>
          </w:rPr>
          <w:t>www.emcdda.europa.eu/about/partners/cc/ipa5</w:t>
        </w:r>
      </w:hyperlink>
      <w:r w:rsidR="006A5D66" w:rsidRPr="009C2CCF">
        <w:rPr>
          <w:sz w:val="18"/>
          <w:szCs w:val="18"/>
        </w:rPr>
        <w:t xml:space="preserve">                                                                                                                                           </w:t>
      </w:r>
      <w:r w:rsidR="009C2CCF">
        <w:rPr>
          <w:sz w:val="18"/>
          <w:szCs w:val="18"/>
        </w:rPr>
        <w:t xml:space="preserve">                                               </w:t>
      </w:r>
      <w:r w:rsidRPr="009C2CCF">
        <w:rPr>
          <w:sz w:val="18"/>
          <w:szCs w:val="18"/>
        </w:rPr>
        <w:t>(</w:t>
      </w:r>
      <w:r w:rsidR="0022230A" w:rsidRPr="009C2CCF">
        <w:rPr>
          <w:sz w:val="18"/>
          <w:szCs w:val="18"/>
          <w:vertAlign w:val="superscript"/>
        </w:rPr>
        <w:t>4</w:t>
      </w:r>
      <w:r w:rsidRPr="009C2CCF">
        <w:rPr>
          <w:sz w:val="18"/>
          <w:szCs w:val="18"/>
        </w:rPr>
        <w:t>)</w:t>
      </w:r>
      <w:r w:rsidR="0022230A" w:rsidRPr="009C2CCF">
        <w:rPr>
          <w:sz w:val="18"/>
          <w:szCs w:val="18"/>
        </w:rPr>
        <w:t xml:space="preserve"> This gathers: the 30 national focal points (NFPs); future NFPs from partner countries in the Western Balkans; and representatives of EU neighbouring countries and Third countries.</w:t>
      </w:r>
    </w:p>
    <w:sectPr w:rsidR="0084500F" w:rsidRPr="009C2CCF" w:rsidSect="006A5D66">
      <w:headerReference w:type="default" r:id="rId15"/>
      <w:footerReference w:type="default" r:id="rId16"/>
      <w:footerReference w:type="first" r:id="rId17"/>
      <w:type w:val="continuous"/>
      <w:pgSz w:w="11906" w:h="16838" w:code="9"/>
      <w:pgMar w:top="1644" w:right="1276" w:bottom="1135"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C4D" w:rsidRDefault="00460C4D" w:rsidP="009A28FB">
      <w:pPr>
        <w:spacing w:after="0" w:line="240" w:lineRule="auto"/>
      </w:pPr>
      <w:r>
        <w:separator/>
      </w:r>
    </w:p>
  </w:endnote>
  <w:endnote w:type="continuationSeparator" w:id="0">
    <w:p w:rsidR="00460C4D" w:rsidRDefault="00460C4D"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Futura Light">
    <w:altName w:val="Courier"/>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EE105F">
      <w:tc>
        <w:tcPr>
          <w:tcW w:w="1444" w:type="dxa"/>
        </w:tcPr>
        <w:p w:rsidR="00BF1E3B" w:rsidRDefault="00BF1E3B" w:rsidP="00D37865">
          <w:pPr>
            <w:pStyle w:val="newsCoordinates"/>
          </w:pPr>
          <w:r>
            <w:rPr>
              <w:noProof/>
              <w:lang w:eastAsia="en-GB"/>
            </w:rPr>
            <mc:AlternateContent>
              <mc:Choice Requires="wps">
                <w:drawing>
                  <wp:anchor distT="0" distB="0" distL="114300" distR="114300" simplePos="0" relativeHeight="251663360" behindDoc="1" locked="0" layoutInCell="1" allowOverlap="1" wp14:anchorId="08F9AF1D" wp14:editId="6DBFA9F3">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BF1E3B" w:rsidRDefault="007E0B3C" w:rsidP="00BF1E3B">
          <w:pPr>
            <w:pStyle w:val="newsReference"/>
            <w:jc w:val="right"/>
          </w:pPr>
          <w:r>
            <w:fldChar w:fldCharType="begin"/>
          </w:r>
          <w:r>
            <w:instrText xml:space="preserve"> PAGE   \* MERGEFORMAT </w:instrText>
          </w:r>
          <w:r>
            <w:fldChar w:fldCharType="separate"/>
          </w:r>
          <w:r w:rsidR="003A3E46">
            <w:rPr>
              <w:noProof/>
            </w:rPr>
            <w:t>2</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63677C" w:rsidP="003B00EE">
          <w:pPr>
            <w:pStyle w:val="newsCoordinates"/>
          </w:pPr>
          <w:r>
            <w:rPr>
              <w:noProof/>
              <w:lang w:eastAsia="en-GB"/>
            </w:rPr>
            <mc:AlternateContent>
              <mc:Choice Requires="wps">
                <w:drawing>
                  <wp:anchor distT="0" distB="0" distL="114300" distR="114300" simplePos="0" relativeHeight="251665408" behindDoc="1" locked="0" layoutInCell="1" allowOverlap="1" wp14:anchorId="572E6CD7" wp14:editId="2B125E21">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Contact: Kathy Robertson, Media relations </w:t>
          </w:r>
          <w:r w:rsidRPr="00FC0187">
            <w:rPr>
              <w:sz w:val="18"/>
            </w:rPr>
            <w:t>I</w:t>
          </w:r>
          <w:r>
            <w:t xml:space="preserve"> Kathryn.Robertson@emcdda.europa.eu </w:t>
          </w:r>
        </w:p>
        <w:p w:rsidR="0063677C" w:rsidRPr="00573AAC" w:rsidRDefault="0063677C" w:rsidP="003B00EE">
          <w:pPr>
            <w:pStyle w:val="newsCoordinates"/>
            <w:rPr>
              <w:lang w:val="pt-PT"/>
            </w:rPr>
          </w:pPr>
          <w:r w:rsidRPr="00573AAC">
            <w:rPr>
              <w:lang w:val="pt-PT"/>
            </w:rPr>
            <w:t xml:space="preserve">Praça Europa 1, Cais do Sodré, 1249-289 Lisbon, Portugal </w:t>
          </w:r>
        </w:p>
        <w:p w:rsidR="0063677C" w:rsidRDefault="0063677C" w:rsidP="003B00EE">
          <w:pPr>
            <w:pStyle w:val="newsCoordinates"/>
          </w:pPr>
          <w:r>
            <w:t xml:space="preserve">Tel. (351) 211 21 02 00 </w:t>
          </w:r>
          <w:r w:rsidRPr="00FC0187">
            <w:rPr>
              <w:sz w:val="18"/>
            </w:rPr>
            <w:t xml:space="preserve">I </w:t>
          </w:r>
          <w:r>
            <w:t xml:space="preserve">press@emcdda.europa.eu </w:t>
          </w:r>
          <w:r w:rsidRPr="00FC0187">
            <w:rPr>
              <w:sz w:val="18"/>
            </w:rPr>
            <w:t>I</w:t>
          </w:r>
          <w:r>
            <w:t xml:space="preserve"> emcdda.europa.eu</w:t>
          </w:r>
        </w:p>
      </w:tc>
      <w:tc>
        <w:tcPr>
          <w:tcW w:w="3294" w:type="dxa"/>
          <w:vAlign w:val="bottom"/>
        </w:tcPr>
        <w:p w:rsidR="0063677C" w:rsidRDefault="00784541" w:rsidP="00784541">
          <w:pPr>
            <w:pStyle w:val="newsReference"/>
            <w:jc w:val="right"/>
          </w:pPr>
          <w:r>
            <w:t>EN — No 10</w:t>
          </w:r>
          <w:r w:rsidR="0063677C" w:rsidRPr="00FC0187">
            <w:t>/</w:t>
          </w:r>
          <w:r>
            <w:t>2015</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C4D" w:rsidRDefault="00460C4D" w:rsidP="009A28FB">
      <w:pPr>
        <w:spacing w:after="0" w:line="240" w:lineRule="auto"/>
      </w:pPr>
      <w:r>
        <w:separator/>
      </w:r>
    </w:p>
  </w:footnote>
  <w:footnote w:type="continuationSeparator" w:id="0">
    <w:p w:rsidR="00460C4D" w:rsidRDefault="00460C4D"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CA54C6">
          <w:pPr>
            <w:pStyle w:val="newsEmbargo"/>
          </w:pPr>
          <w:r>
            <w:rPr>
              <w:noProof/>
              <w:lang w:eastAsia="en-GB"/>
            </w:rPr>
            <mc:AlternateContent>
              <mc:Choice Requires="wps">
                <w:drawing>
                  <wp:anchor distT="0" distB="0" distL="114300" distR="114300" simplePos="0" relativeHeight="251661312" behindDoc="1" locked="0" layoutInCell="1" allowOverlap="1" wp14:anchorId="50CD6DE5" wp14:editId="73FDD3B0">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Pr="00CC4FDA">
            <w:rPr>
              <w:noProof/>
              <w:lang w:eastAsia="en-GB"/>
            </w:rPr>
            <w:t>Plauda qu</w:t>
          </w:r>
          <w:r w:rsidR="00CA54C6">
            <w:rPr>
              <w:noProof/>
              <w:lang w:eastAsia="en-GB"/>
            </w:rPr>
            <w:t>aepuda disin rerrovita aut labo</w:t>
          </w:r>
        </w:p>
      </w:tc>
      <w:tc>
        <w:tcPr>
          <w:tcW w:w="3294" w:type="dxa"/>
          <w:vAlign w:val="bottom"/>
        </w:tcPr>
        <w:p w:rsidR="00BF1E3B" w:rsidRDefault="0022230A" w:rsidP="0022230A">
          <w:pPr>
            <w:pStyle w:val="newsReference"/>
            <w:jc w:val="right"/>
          </w:pPr>
          <w:r>
            <w:t>23</w:t>
          </w:r>
          <w:r w:rsidR="00BF1E3B" w:rsidRPr="00CC4FDA">
            <w:t>.</w:t>
          </w:r>
          <w:r>
            <w:t>11</w:t>
          </w:r>
          <w:r w:rsidR="00BF1E3B" w:rsidRPr="00CC4FDA">
            <w:t>.201</w:t>
          </w:r>
          <w:r>
            <w:t>5</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C"/>
    <w:rsid w:val="00014E8E"/>
    <w:rsid w:val="00036DAA"/>
    <w:rsid w:val="000535B7"/>
    <w:rsid w:val="00067DD3"/>
    <w:rsid w:val="000C6200"/>
    <w:rsid w:val="000E7305"/>
    <w:rsid w:val="00105BFC"/>
    <w:rsid w:val="00107C96"/>
    <w:rsid w:val="0017713E"/>
    <w:rsid w:val="001800D0"/>
    <w:rsid w:val="001A3338"/>
    <w:rsid w:val="001C795A"/>
    <w:rsid w:val="001D2B6E"/>
    <w:rsid w:val="001D5C26"/>
    <w:rsid w:val="001D694A"/>
    <w:rsid w:val="001F70B4"/>
    <w:rsid w:val="00211B32"/>
    <w:rsid w:val="0022230A"/>
    <w:rsid w:val="00223753"/>
    <w:rsid w:val="002334B9"/>
    <w:rsid w:val="002557B0"/>
    <w:rsid w:val="002646E4"/>
    <w:rsid w:val="0027252D"/>
    <w:rsid w:val="0028141E"/>
    <w:rsid w:val="00285234"/>
    <w:rsid w:val="002948E2"/>
    <w:rsid w:val="002A61F7"/>
    <w:rsid w:val="002B05CE"/>
    <w:rsid w:val="002B45AC"/>
    <w:rsid w:val="00314975"/>
    <w:rsid w:val="0033158E"/>
    <w:rsid w:val="0036121D"/>
    <w:rsid w:val="00387D02"/>
    <w:rsid w:val="003A3E46"/>
    <w:rsid w:val="003B41B1"/>
    <w:rsid w:val="003C0395"/>
    <w:rsid w:val="00411499"/>
    <w:rsid w:val="004137B0"/>
    <w:rsid w:val="00415B84"/>
    <w:rsid w:val="004221D3"/>
    <w:rsid w:val="0044111C"/>
    <w:rsid w:val="00444086"/>
    <w:rsid w:val="00445080"/>
    <w:rsid w:val="0045468D"/>
    <w:rsid w:val="00460C4D"/>
    <w:rsid w:val="004847FB"/>
    <w:rsid w:val="004A2E95"/>
    <w:rsid w:val="004B5CA7"/>
    <w:rsid w:val="004C3028"/>
    <w:rsid w:val="004D6E0C"/>
    <w:rsid w:val="0051547C"/>
    <w:rsid w:val="00520EF1"/>
    <w:rsid w:val="00542CEE"/>
    <w:rsid w:val="00546A56"/>
    <w:rsid w:val="00573AAC"/>
    <w:rsid w:val="005A0DC8"/>
    <w:rsid w:val="005B05A0"/>
    <w:rsid w:val="005B0882"/>
    <w:rsid w:val="005B17F4"/>
    <w:rsid w:val="005B1B63"/>
    <w:rsid w:val="005C4033"/>
    <w:rsid w:val="00600A76"/>
    <w:rsid w:val="006116D9"/>
    <w:rsid w:val="00623A55"/>
    <w:rsid w:val="0063677C"/>
    <w:rsid w:val="0064181D"/>
    <w:rsid w:val="00666A63"/>
    <w:rsid w:val="00671575"/>
    <w:rsid w:val="006A5D66"/>
    <w:rsid w:val="006C595E"/>
    <w:rsid w:val="00717B24"/>
    <w:rsid w:val="00730132"/>
    <w:rsid w:val="00765411"/>
    <w:rsid w:val="00773814"/>
    <w:rsid w:val="00784541"/>
    <w:rsid w:val="00791F09"/>
    <w:rsid w:val="007B0E03"/>
    <w:rsid w:val="007B1CCD"/>
    <w:rsid w:val="007E0B3C"/>
    <w:rsid w:val="007F5D0A"/>
    <w:rsid w:val="00813FB5"/>
    <w:rsid w:val="00815DEE"/>
    <w:rsid w:val="00841E86"/>
    <w:rsid w:val="0084500F"/>
    <w:rsid w:val="008528B2"/>
    <w:rsid w:val="00881730"/>
    <w:rsid w:val="008C1172"/>
    <w:rsid w:val="008D54B3"/>
    <w:rsid w:val="008E4077"/>
    <w:rsid w:val="008F177B"/>
    <w:rsid w:val="008F399E"/>
    <w:rsid w:val="00902300"/>
    <w:rsid w:val="00955F0C"/>
    <w:rsid w:val="00974A27"/>
    <w:rsid w:val="00982707"/>
    <w:rsid w:val="009A28FB"/>
    <w:rsid w:val="009B0855"/>
    <w:rsid w:val="009C2CCF"/>
    <w:rsid w:val="009C3940"/>
    <w:rsid w:val="009D6255"/>
    <w:rsid w:val="009F39D7"/>
    <w:rsid w:val="009F4FB0"/>
    <w:rsid w:val="00A0788A"/>
    <w:rsid w:val="00A16B77"/>
    <w:rsid w:val="00A311EF"/>
    <w:rsid w:val="00A3254D"/>
    <w:rsid w:val="00A661E2"/>
    <w:rsid w:val="00A7487A"/>
    <w:rsid w:val="00A856B7"/>
    <w:rsid w:val="00A87702"/>
    <w:rsid w:val="00AD7BFC"/>
    <w:rsid w:val="00AE093C"/>
    <w:rsid w:val="00AE1738"/>
    <w:rsid w:val="00AE2272"/>
    <w:rsid w:val="00AF13B3"/>
    <w:rsid w:val="00AF259D"/>
    <w:rsid w:val="00B11B73"/>
    <w:rsid w:val="00B272F1"/>
    <w:rsid w:val="00B30A4C"/>
    <w:rsid w:val="00B51E08"/>
    <w:rsid w:val="00B57464"/>
    <w:rsid w:val="00B61036"/>
    <w:rsid w:val="00B72DD3"/>
    <w:rsid w:val="00B7335C"/>
    <w:rsid w:val="00B97BC5"/>
    <w:rsid w:val="00BB2F57"/>
    <w:rsid w:val="00BB60CF"/>
    <w:rsid w:val="00BC6831"/>
    <w:rsid w:val="00BD51F5"/>
    <w:rsid w:val="00BF1E3B"/>
    <w:rsid w:val="00BF7A51"/>
    <w:rsid w:val="00C1382C"/>
    <w:rsid w:val="00C34F19"/>
    <w:rsid w:val="00C36BC1"/>
    <w:rsid w:val="00C54F6D"/>
    <w:rsid w:val="00C628C4"/>
    <w:rsid w:val="00C63254"/>
    <w:rsid w:val="00C874C0"/>
    <w:rsid w:val="00CA2FF5"/>
    <w:rsid w:val="00CA54C6"/>
    <w:rsid w:val="00CB49DA"/>
    <w:rsid w:val="00CC1F19"/>
    <w:rsid w:val="00CC4FDA"/>
    <w:rsid w:val="00CC6A8B"/>
    <w:rsid w:val="00D01335"/>
    <w:rsid w:val="00D03EC6"/>
    <w:rsid w:val="00D3312B"/>
    <w:rsid w:val="00D37865"/>
    <w:rsid w:val="00D57367"/>
    <w:rsid w:val="00D84AE3"/>
    <w:rsid w:val="00D92A34"/>
    <w:rsid w:val="00D96CF6"/>
    <w:rsid w:val="00E57C9D"/>
    <w:rsid w:val="00E66CCD"/>
    <w:rsid w:val="00E81F3D"/>
    <w:rsid w:val="00E83FC3"/>
    <w:rsid w:val="00EB5C54"/>
    <w:rsid w:val="00EE105F"/>
    <w:rsid w:val="00EE23CC"/>
    <w:rsid w:val="00EE2676"/>
    <w:rsid w:val="00F06CDE"/>
    <w:rsid w:val="00F1512B"/>
    <w:rsid w:val="00F21CA9"/>
    <w:rsid w:val="00F24096"/>
    <w:rsid w:val="00F414EF"/>
    <w:rsid w:val="00F47542"/>
    <w:rsid w:val="00FB3095"/>
    <w:rsid w:val="00FB351B"/>
    <w:rsid w:val="00FC0187"/>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6A5D66"/>
    <w:pPr>
      <w:tabs>
        <w:tab w:val="left" w:pos="5205"/>
      </w:tabs>
      <w:spacing w:before="220" w:after="112" w:line="300" w:lineRule="exact"/>
    </w:pPr>
    <w:rPr>
      <w:rFonts w:ascii="Arial" w:hAnsi="Arial"/>
      <w:caps/>
      <w:sz w:val="24"/>
      <w:szCs w:val="24"/>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CA2FF5"/>
    <w:pPr>
      <w:spacing w:after="300" w:line="300" w:lineRule="exact"/>
    </w:pPr>
    <w:rPr>
      <w:rFonts w:ascii="Arial" w:hAnsi="Arial"/>
      <w:b/>
      <w:sz w:val="26"/>
    </w:rPr>
  </w:style>
  <w:style w:type="paragraph" w:customStyle="1" w:styleId="newsContent">
    <w:name w:val="newsContent"/>
    <w:basedOn w:val="Normal"/>
    <w:link w:val="newsContentChar"/>
    <w:autoRedefine/>
    <w:qFormat/>
    <w:rsid w:val="00211B32"/>
    <w:pPr>
      <w:spacing w:after="0" w:line="240" w:lineRule="auto"/>
    </w:pPr>
    <w:rPr>
      <w:rFonts w:ascii="Arial" w:hAnsi="Arial" w:cs="Arial"/>
      <w:color w:val="000000"/>
      <w:sz w:val="16"/>
      <w:szCs w:val="16"/>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211B32"/>
    <w:rPr>
      <w:rFonts w:ascii="Arial" w:hAnsi="Arial" w:cs="Arial"/>
      <w:color w:val="000000"/>
      <w:sz w:val="16"/>
      <w:szCs w:val="16"/>
    </w:rPr>
  </w:style>
  <w:style w:type="character" w:customStyle="1" w:styleId="newsNotesChar">
    <w:name w:val="newsNotes Char"/>
    <w:basedOn w:val="newsContentChar"/>
    <w:link w:val="newsNotes"/>
    <w:rsid w:val="00CB49DA"/>
    <w:rPr>
      <w:rFonts w:ascii="Arial" w:hAnsi="Arial" w:cs="Arial"/>
      <w:color w:val="000000" w:themeColor="text1"/>
      <w:sz w:val="17"/>
      <w:szCs w:val="16"/>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16"/>
      <w:vertAlign w:val="superscript"/>
    </w:rPr>
  </w:style>
  <w:style w:type="paragraph" w:customStyle="1" w:styleId="Pa3">
    <w:name w:val="Pa3"/>
    <w:basedOn w:val="Normal"/>
    <w:next w:val="Normal"/>
    <w:rsid w:val="00573AAC"/>
    <w:pPr>
      <w:autoSpaceDE w:val="0"/>
      <w:autoSpaceDN w:val="0"/>
      <w:adjustRightInd w:val="0"/>
      <w:spacing w:after="0" w:line="181" w:lineRule="atLeast"/>
    </w:pPr>
    <w:rPr>
      <w:rFonts w:ascii="Futura Light" w:eastAsia="SimSun" w:hAnsi="Futura Light" w:cs="Times New Roman"/>
      <w:sz w:val="24"/>
      <w:szCs w:val="24"/>
      <w:lang w:eastAsia="zh-CN"/>
    </w:rPr>
  </w:style>
  <w:style w:type="paragraph" w:customStyle="1" w:styleId="Pa9">
    <w:name w:val="Pa9"/>
    <w:basedOn w:val="Normal"/>
    <w:next w:val="Normal"/>
    <w:uiPriority w:val="99"/>
    <w:rsid w:val="00BC6831"/>
    <w:pPr>
      <w:autoSpaceDE w:val="0"/>
      <w:autoSpaceDN w:val="0"/>
      <w:adjustRightInd w:val="0"/>
      <w:spacing w:after="0" w:line="171" w:lineRule="atLeast"/>
    </w:pPr>
    <w:rPr>
      <w:rFonts w:ascii="Trivia Sans Book" w:hAnsi="Trivia Sans Book"/>
      <w:sz w:val="24"/>
      <w:szCs w:val="24"/>
    </w:rPr>
  </w:style>
  <w:style w:type="paragraph" w:customStyle="1" w:styleId="MaintextstyleBlack">
    <w:name w:val="*Main text style (Black)"/>
    <w:basedOn w:val="Normal"/>
    <w:rsid w:val="00BC6831"/>
    <w:pPr>
      <w:spacing w:after="227" w:line="260" w:lineRule="exact"/>
    </w:pPr>
    <w:rPr>
      <w:rFonts w:ascii="Arial" w:eastAsia="Times New Roman" w:hAnsi="Arial" w:cs="Times New Roman"/>
      <w:sz w:val="20"/>
      <w:szCs w:val="20"/>
    </w:rPr>
  </w:style>
  <w:style w:type="character" w:customStyle="1" w:styleId="A6">
    <w:name w:val="A6"/>
    <w:uiPriority w:val="99"/>
    <w:rsid w:val="00BC6831"/>
    <w:rPr>
      <w:rFonts w:cs="Trivia Sans Book"/>
      <w:color w:val="000000"/>
      <w:sz w:val="10"/>
      <w:szCs w:val="10"/>
    </w:rPr>
  </w:style>
  <w:style w:type="paragraph" w:customStyle="1" w:styleId="Pa5">
    <w:name w:val="Pa5"/>
    <w:basedOn w:val="Normal"/>
    <w:next w:val="Normal"/>
    <w:uiPriority w:val="99"/>
    <w:rsid w:val="0051547C"/>
    <w:pPr>
      <w:autoSpaceDE w:val="0"/>
      <w:autoSpaceDN w:val="0"/>
      <w:adjustRightInd w:val="0"/>
      <w:spacing w:after="0" w:line="171" w:lineRule="atLeast"/>
    </w:pPr>
    <w:rPr>
      <w:rFonts w:ascii="Trivia Sans Book" w:hAnsi="Trivia Sans Book"/>
      <w:sz w:val="24"/>
      <w:szCs w:val="24"/>
    </w:rPr>
  </w:style>
  <w:style w:type="paragraph" w:styleId="NormalWeb">
    <w:name w:val="Normal (Web)"/>
    <w:basedOn w:val="Normal"/>
    <w:uiPriority w:val="99"/>
    <w:semiHidden/>
    <w:unhideWhenUsed/>
    <w:rsid w:val="009C39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34B9"/>
    <w:rPr>
      <w:sz w:val="16"/>
      <w:szCs w:val="16"/>
    </w:rPr>
  </w:style>
  <w:style w:type="paragraph" w:styleId="CommentText">
    <w:name w:val="annotation text"/>
    <w:basedOn w:val="Normal"/>
    <w:link w:val="CommentTextChar"/>
    <w:uiPriority w:val="99"/>
    <w:semiHidden/>
    <w:unhideWhenUsed/>
    <w:rsid w:val="002334B9"/>
    <w:pPr>
      <w:spacing w:line="240" w:lineRule="auto"/>
    </w:pPr>
    <w:rPr>
      <w:sz w:val="20"/>
      <w:szCs w:val="20"/>
    </w:rPr>
  </w:style>
  <w:style w:type="character" w:customStyle="1" w:styleId="CommentTextChar">
    <w:name w:val="Comment Text Char"/>
    <w:basedOn w:val="DefaultParagraphFont"/>
    <w:link w:val="CommentText"/>
    <w:uiPriority w:val="99"/>
    <w:semiHidden/>
    <w:rsid w:val="002334B9"/>
    <w:rPr>
      <w:sz w:val="20"/>
      <w:szCs w:val="20"/>
    </w:rPr>
  </w:style>
  <w:style w:type="paragraph" w:styleId="CommentSubject">
    <w:name w:val="annotation subject"/>
    <w:basedOn w:val="CommentText"/>
    <w:next w:val="CommentText"/>
    <w:link w:val="CommentSubjectChar"/>
    <w:uiPriority w:val="99"/>
    <w:semiHidden/>
    <w:unhideWhenUsed/>
    <w:rsid w:val="002334B9"/>
    <w:rPr>
      <w:b/>
      <w:bCs/>
    </w:rPr>
  </w:style>
  <w:style w:type="character" w:customStyle="1" w:styleId="CommentSubjectChar">
    <w:name w:val="Comment Subject Char"/>
    <w:basedOn w:val="CommentTextChar"/>
    <w:link w:val="CommentSubject"/>
    <w:uiPriority w:val="99"/>
    <w:semiHidden/>
    <w:rsid w:val="002334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6A5D66"/>
    <w:pPr>
      <w:tabs>
        <w:tab w:val="left" w:pos="5205"/>
      </w:tabs>
      <w:spacing w:before="220" w:after="112" w:line="300" w:lineRule="exact"/>
    </w:pPr>
    <w:rPr>
      <w:rFonts w:ascii="Arial" w:hAnsi="Arial"/>
      <w:caps/>
      <w:sz w:val="24"/>
      <w:szCs w:val="24"/>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CA2FF5"/>
    <w:pPr>
      <w:spacing w:after="300" w:line="300" w:lineRule="exact"/>
    </w:pPr>
    <w:rPr>
      <w:rFonts w:ascii="Arial" w:hAnsi="Arial"/>
      <w:b/>
      <w:sz w:val="26"/>
    </w:rPr>
  </w:style>
  <w:style w:type="paragraph" w:customStyle="1" w:styleId="newsContent">
    <w:name w:val="newsContent"/>
    <w:basedOn w:val="Normal"/>
    <w:link w:val="newsContentChar"/>
    <w:autoRedefine/>
    <w:qFormat/>
    <w:rsid w:val="00211B32"/>
    <w:pPr>
      <w:spacing w:after="0" w:line="240" w:lineRule="auto"/>
    </w:pPr>
    <w:rPr>
      <w:rFonts w:ascii="Arial" w:hAnsi="Arial" w:cs="Arial"/>
      <w:color w:val="000000"/>
      <w:sz w:val="16"/>
      <w:szCs w:val="16"/>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211B32"/>
    <w:rPr>
      <w:rFonts w:ascii="Arial" w:hAnsi="Arial" w:cs="Arial"/>
      <w:color w:val="000000"/>
      <w:sz w:val="16"/>
      <w:szCs w:val="16"/>
    </w:rPr>
  </w:style>
  <w:style w:type="character" w:customStyle="1" w:styleId="newsNotesChar">
    <w:name w:val="newsNotes Char"/>
    <w:basedOn w:val="newsContentChar"/>
    <w:link w:val="newsNotes"/>
    <w:rsid w:val="00CB49DA"/>
    <w:rPr>
      <w:rFonts w:ascii="Arial" w:hAnsi="Arial" w:cs="Arial"/>
      <w:color w:val="000000" w:themeColor="text1"/>
      <w:sz w:val="17"/>
      <w:szCs w:val="16"/>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16"/>
      <w:vertAlign w:val="superscript"/>
    </w:rPr>
  </w:style>
  <w:style w:type="paragraph" w:customStyle="1" w:styleId="Pa3">
    <w:name w:val="Pa3"/>
    <w:basedOn w:val="Normal"/>
    <w:next w:val="Normal"/>
    <w:rsid w:val="00573AAC"/>
    <w:pPr>
      <w:autoSpaceDE w:val="0"/>
      <w:autoSpaceDN w:val="0"/>
      <w:adjustRightInd w:val="0"/>
      <w:spacing w:after="0" w:line="181" w:lineRule="atLeast"/>
    </w:pPr>
    <w:rPr>
      <w:rFonts w:ascii="Futura Light" w:eastAsia="SimSun" w:hAnsi="Futura Light" w:cs="Times New Roman"/>
      <w:sz w:val="24"/>
      <w:szCs w:val="24"/>
      <w:lang w:eastAsia="zh-CN"/>
    </w:rPr>
  </w:style>
  <w:style w:type="paragraph" w:customStyle="1" w:styleId="Pa9">
    <w:name w:val="Pa9"/>
    <w:basedOn w:val="Normal"/>
    <w:next w:val="Normal"/>
    <w:uiPriority w:val="99"/>
    <w:rsid w:val="00BC6831"/>
    <w:pPr>
      <w:autoSpaceDE w:val="0"/>
      <w:autoSpaceDN w:val="0"/>
      <w:adjustRightInd w:val="0"/>
      <w:spacing w:after="0" w:line="171" w:lineRule="atLeast"/>
    </w:pPr>
    <w:rPr>
      <w:rFonts w:ascii="Trivia Sans Book" w:hAnsi="Trivia Sans Book"/>
      <w:sz w:val="24"/>
      <w:szCs w:val="24"/>
    </w:rPr>
  </w:style>
  <w:style w:type="paragraph" w:customStyle="1" w:styleId="MaintextstyleBlack">
    <w:name w:val="*Main text style (Black)"/>
    <w:basedOn w:val="Normal"/>
    <w:rsid w:val="00BC6831"/>
    <w:pPr>
      <w:spacing w:after="227" w:line="260" w:lineRule="exact"/>
    </w:pPr>
    <w:rPr>
      <w:rFonts w:ascii="Arial" w:eastAsia="Times New Roman" w:hAnsi="Arial" w:cs="Times New Roman"/>
      <w:sz w:val="20"/>
      <w:szCs w:val="20"/>
    </w:rPr>
  </w:style>
  <w:style w:type="character" w:customStyle="1" w:styleId="A6">
    <w:name w:val="A6"/>
    <w:uiPriority w:val="99"/>
    <w:rsid w:val="00BC6831"/>
    <w:rPr>
      <w:rFonts w:cs="Trivia Sans Book"/>
      <w:color w:val="000000"/>
      <w:sz w:val="10"/>
      <w:szCs w:val="10"/>
    </w:rPr>
  </w:style>
  <w:style w:type="paragraph" w:customStyle="1" w:styleId="Pa5">
    <w:name w:val="Pa5"/>
    <w:basedOn w:val="Normal"/>
    <w:next w:val="Normal"/>
    <w:uiPriority w:val="99"/>
    <w:rsid w:val="0051547C"/>
    <w:pPr>
      <w:autoSpaceDE w:val="0"/>
      <w:autoSpaceDN w:val="0"/>
      <w:adjustRightInd w:val="0"/>
      <w:spacing w:after="0" w:line="171" w:lineRule="atLeast"/>
    </w:pPr>
    <w:rPr>
      <w:rFonts w:ascii="Trivia Sans Book" w:hAnsi="Trivia Sans Book"/>
      <w:sz w:val="24"/>
      <w:szCs w:val="24"/>
    </w:rPr>
  </w:style>
  <w:style w:type="paragraph" w:styleId="NormalWeb">
    <w:name w:val="Normal (Web)"/>
    <w:basedOn w:val="Normal"/>
    <w:uiPriority w:val="99"/>
    <w:semiHidden/>
    <w:unhideWhenUsed/>
    <w:rsid w:val="009C39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34B9"/>
    <w:rPr>
      <w:sz w:val="16"/>
      <w:szCs w:val="16"/>
    </w:rPr>
  </w:style>
  <w:style w:type="paragraph" w:styleId="CommentText">
    <w:name w:val="annotation text"/>
    <w:basedOn w:val="Normal"/>
    <w:link w:val="CommentTextChar"/>
    <w:uiPriority w:val="99"/>
    <w:semiHidden/>
    <w:unhideWhenUsed/>
    <w:rsid w:val="002334B9"/>
    <w:pPr>
      <w:spacing w:line="240" w:lineRule="auto"/>
    </w:pPr>
    <w:rPr>
      <w:sz w:val="20"/>
      <w:szCs w:val="20"/>
    </w:rPr>
  </w:style>
  <w:style w:type="character" w:customStyle="1" w:styleId="CommentTextChar">
    <w:name w:val="Comment Text Char"/>
    <w:basedOn w:val="DefaultParagraphFont"/>
    <w:link w:val="CommentText"/>
    <w:uiPriority w:val="99"/>
    <w:semiHidden/>
    <w:rsid w:val="002334B9"/>
    <w:rPr>
      <w:sz w:val="20"/>
      <w:szCs w:val="20"/>
    </w:rPr>
  </w:style>
  <w:style w:type="paragraph" w:styleId="CommentSubject">
    <w:name w:val="annotation subject"/>
    <w:basedOn w:val="CommentText"/>
    <w:next w:val="CommentText"/>
    <w:link w:val="CommentSubjectChar"/>
    <w:uiPriority w:val="99"/>
    <w:semiHidden/>
    <w:unhideWhenUsed/>
    <w:rsid w:val="002334B9"/>
    <w:rPr>
      <w:b/>
      <w:bCs/>
    </w:rPr>
  </w:style>
  <w:style w:type="character" w:customStyle="1" w:styleId="CommentSubjectChar">
    <w:name w:val="Comment Subject Char"/>
    <w:basedOn w:val="CommentTextChar"/>
    <w:link w:val="CommentSubject"/>
    <w:uiPriority w:val="99"/>
    <w:semiHidden/>
    <w:rsid w:val="002334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europeaid/funding/european-neighbourhood-and-partnership-instrument-enpi_e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enlargement/instruments/overview/index_en.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news/2015/fs10/reitox-week-2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about/partners/reitox-net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about/partners/cc/ip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5906-875B-4C08-B1DF-1977EC9A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Fact sheet EN</vt:lpstr>
    </vt:vector>
  </TitlesOfParts>
  <Manager>EMCDDA</Manager>
  <Company>EMCDDA</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EN</dc:title>
  <dc:subject>Fact sheet EN</dc:subject>
  <dc:creator>Kathryn Robertson</dc:creator>
  <cp:lastModifiedBy>Kathryn Robertson</cp:lastModifiedBy>
  <cp:revision>13</cp:revision>
  <cp:lastPrinted>2015-11-12T10:18:00Z</cp:lastPrinted>
  <dcterms:created xsi:type="dcterms:W3CDTF">2015-11-09T11:59:00Z</dcterms:created>
  <dcterms:modified xsi:type="dcterms:W3CDTF">2015-11-13T09:32:00Z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