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121"/>
        <w:gridCol w:w="5863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43F794DA" wp14:editId="0C164A76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4E334D7C" wp14:editId="213065DD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5B6E13" w:rsidRDefault="00264C84" w:rsidP="00233C29">
      <w:pPr>
        <w:pStyle w:val="newsTitle"/>
        <w:rPr>
          <w:b/>
        </w:rPr>
      </w:pPr>
      <w:r>
        <w:t xml:space="preserve">COUNCIL: </w:t>
      </w:r>
      <w:r w:rsidR="005B7C0E" w:rsidRPr="005B6E13">
        <w:t>‘Sufficient grounds</w:t>
      </w:r>
      <w:r w:rsidR="00B92848" w:rsidRPr="005B6E13">
        <w:t>’</w:t>
      </w:r>
      <w:r w:rsidR="005B7C0E" w:rsidRPr="005B6E13">
        <w:t xml:space="preserve"> for controlling </w:t>
      </w:r>
      <w:r w:rsidR="00B92848" w:rsidRPr="005B6E13">
        <w:t xml:space="preserve">two </w:t>
      </w:r>
      <w:r w:rsidR="005B7C0E" w:rsidRPr="005B6E13">
        <w:t xml:space="preserve">new </w:t>
      </w:r>
      <w:r w:rsidR="005B6E13" w:rsidRPr="005B6E13">
        <w:t xml:space="preserve">psychoactive </w:t>
      </w:r>
      <w:r w:rsidR="003901FB" w:rsidRPr="005B6E13">
        <w:t>substances</w:t>
      </w:r>
      <w:r w:rsidR="005B7C0E" w:rsidRPr="005B6E13">
        <w:t xml:space="preserve"> </w:t>
      </w:r>
    </w:p>
    <w:p w:rsidR="00A16B77" w:rsidRPr="00FA4BA7" w:rsidRDefault="00B92848" w:rsidP="00FA4BA7">
      <w:pPr>
        <w:pStyle w:val="newsSubTitle"/>
      </w:pPr>
      <w:r w:rsidRPr="00FA4BA7">
        <w:rPr>
          <w:rFonts w:cs="Arial"/>
          <w:color w:val="000000"/>
        </w:rPr>
        <w:t>4,4′-DMAR</w:t>
      </w:r>
      <w:r w:rsidRPr="00FA4BA7">
        <w:t xml:space="preserve"> and </w:t>
      </w:r>
      <w:r w:rsidRPr="00FA4BA7">
        <w:rPr>
          <w:rFonts w:cs="Arial"/>
          <w:color w:val="000000"/>
        </w:rPr>
        <w:t xml:space="preserve">MT-45 </w:t>
      </w:r>
      <w:r w:rsidRPr="00FA4BA7">
        <w:t xml:space="preserve">to be placed under control across the EU </w:t>
      </w:r>
    </w:p>
    <w:p w:rsidR="009A242E" w:rsidRPr="00B53BC6" w:rsidRDefault="00C64132" w:rsidP="00C64132">
      <w:pPr>
        <w:pStyle w:val="newsContent"/>
        <w:rPr>
          <w:szCs w:val="20"/>
        </w:rPr>
      </w:pPr>
      <w:r w:rsidRPr="00C64132">
        <w:t>(20</w:t>
      </w:r>
      <w:r w:rsidR="00B92848" w:rsidRPr="00C64132">
        <w:t>.</w:t>
      </w:r>
      <w:r w:rsidR="00233C29" w:rsidRPr="00C64132">
        <w:t>10</w:t>
      </w:r>
      <w:r w:rsidR="00B92848" w:rsidRPr="00C64132">
        <w:t>.2015</w:t>
      </w:r>
      <w:r w:rsidR="00B92848" w:rsidRPr="00C61C85">
        <w:t>,</w:t>
      </w:r>
      <w:r w:rsidR="00B92848">
        <w:t xml:space="preserve"> LISBON) </w:t>
      </w:r>
      <w:r w:rsidR="00B92848" w:rsidRPr="001610D9">
        <w:t xml:space="preserve">Europe has responded to </w:t>
      </w:r>
      <w:r w:rsidR="00C61C85" w:rsidRPr="00E03346">
        <w:t>rising</w:t>
      </w:r>
      <w:r w:rsidR="00C61C85">
        <w:t xml:space="preserve"> </w:t>
      </w:r>
      <w:r w:rsidR="00B92848" w:rsidRPr="001610D9">
        <w:t>conc</w:t>
      </w:r>
      <w:bookmarkStart w:id="0" w:name="_GoBack"/>
      <w:bookmarkEnd w:id="0"/>
      <w:r w:rsidR="00B92848" w:rsidRPr="001610D9">
        <w:t xml:space="preserve">erns over the use of </w:t>
      </w:r>
      <w:r w:rsidR="00B92848">
        <w:t xml:space="preserve">two </w:t>
      </w:r>
      <w:r w:rsidR="00B92848" w:rsidRPr="003901FB">
        <w:t>new drugs</w:t>
      </w:r>
      <w:r w:rsidR="00B92848" w:rsidRPr="001610D9">
        <w:t xml:space="preserve">                         </w:t>
      </w:r>
      <w:r w:rsidR="00B92848">
        <w:t xml:space="preserve"> by subjecting them</w:t>
      </w:r>
      <w:r w:rsidR="00B92848" w:rsidRPr="001610D9">
        <w:t xml:space="preserve"> to ‘control measures and criminal penalties’ throughout the Union. The </w:t>
      </w:r>
      <w:r w:rsidR="00F53DF3" w:rsidRPr="00C64132">
        <w:t xml:space="preserve">implementing </w:t>
      </w:r>
      <w:r w:rsidR="00C61C85" w:rsidRPr="00C64132">
        <w:t>decision</w:t>
      </w:r>
      <w:r w:rsidR="00C61C85" w:rsidRPr="001610D9">
        <w:t xml:space="preserve"> </w:t>
      </w:r>
      <w:r w:rsidR="00B92848" w:rsidRPr="001610D9">
        <w:t>of the Council of the EU (</w:t>
      </w:r>
      <w:r w:rsidR="00B92848" w:rsidRPr="001610D9">
        <w:rPr>
          <w:vertAlign w:val="superscript"/>
        </w:rPr>
        <w:t>1</w:t>
      </w:r>
      <w:r w:rsidR="00B92848" w:rsidRPr="001610D9">
        <w:t>)</w:t>
      </w:r>
      <w:r w:rsidR="003A34C2">
        <w:t xml:space="preserve">, published in the </w:t>
      </w:r>
      <w:r w:rsidR="003A34C2" w:rsidRPr="003A34C2">
        <w:rPr>
          <w:i/>
        </w:rPr>
        <w:t>Official Journal of the European Union</w:t>
      </w:r>
      <w:r w:rsidR="003A34C2">
        <w:t xml:space="preserve"> today,</w:t>
      </w:r>
      <w:r w:rsidR="00B92848" w:rsidRPr="001610D9">
        <w:t xml:space="preserve"> was adopted in the final stage of the three-step legal procedure designed to respond to potentially threatening new psychoa</w:t>
      </w:r>
      <w:r w:rsidR="00B92848">
        <w:t xml:space="preserve">ctive </w:t>
      </w:r>
      <w:r w:rsidR="00C61C85">
        <w:rPr>
          <w:color w:val="000000"/>
          <w:szCs w:val="20"/>
        </w:rPr>
        <w:t xml:space="preserve">substances (NPS) </w:t>
      </w:r>
      <w:r w:rsidR="00656B61">
        <w:t xml:space="preserve">available </w:t>
      </w:r>
      <w:r w:rsidR="00172A72">
        <w:t>o</w:t>
      </w:r>
      <w:r w:rsidR="00656B61">
        <w:t xml:space="preserve">n </w:t>
      </w:r>
      <w:r w:rsidR="00B92848">
        <w:t>the market (</w:t>
      </w:r>
      <w:r w:rsidR="00B92848">
        <w:rPr>
          <w:vertAlign w:val="superscript"/>
        </w:rPr>
        <w:t>2</w:t>
      </w:r>
      <w:r w:rsidR="00B92848">
        <w:t>).</w:t>
      </w:r>
      <w:r w:rsidR="00EC5681" w:rsidRPr="00EC5681">
        <w:rPr>
          <w:color w:val="000000"/>
          <w:szCs w:val="20"/>
        </w:rPr>
        <w:t xml:space="preserve"> </w:t>
      </w:r>
      <w:r w:rsidR="00EC5681" w:rsidRPr="005B7C0E">
        <w:rPr>
          <w:color w:val="000000"/>
          <w:szCs w:val="20"/>
        </w:rPr>
        <w:t>T</w:t>
      </w:r>
      <w:r w:rsidR="00EC5681">
        <w:rPr>
          <w:color w:val="000000"/>
          <w:szCs w:val="20"/>
        </w:rPr>
        <w:t xml:space="preserve">he two new </w:t>
      </w:r>
      <w:r w:rsidR="00FE15C2">
        <w:rPr>
          <w:color w:val="000000"/>
          <w:szCs w:val="20"/>
        </w:rPr>
        <w:t xml:space="preserve">substances </w:t>
      </w:r>
      <w:r w:rsidR="00EC5681">
        <w:rPr>
          <w:color w:val="000000"/>
          <w:szCs w:val="20"/>
        </w:rPr>
        <w:t xml:space="preserve">— </w:t>
      </w:r>
      <w:r w:rsidR="00EC5681" w:rsidRPr="00420D47">
        <w:rPr>
          <w:b/>
          <w:color w:val="000000"/>
          <w:szCs w:val="20"/>
        </w:rPr>
        <w:t>4,4′-DMAR</w:t>
      </w:r>
      <w:r w:rsidR="00EC5681" w:rsidRPr="00420D47">
        <w:rPr>
          <w:color w:val="000000"/>
          <w:szCs w:val="20"/>
        </w:rPr>
        <w:t xml:space="preserve"> and</w:t>
      </w:r>
      <w:r w:rsidR="00EC5681" w:rsidRPr="00420D47">
        <w:rPr>
          <w:b/>
          <w:color w:val="000000"/>
          <w:szCs w:val="20"/>
        </w:rPr>
        <w:t xml:space="preserve"> MT-45</w:t>
      </w:r>
      <w:r w:rsidR="00EC5681">
        <w:rPr>
          <w:color w:val="000000"/>
          <w:szCs w:val="20"/>
        </w:rPr>
        <w:t xml:space="preserve"> — have been </w:t>
      </w:r>
      <w:r w:rsidR="00EC5681" w:rsidRPr="005B7C0E">
        <w:rPr>
          <w:color w:val="000000"/>
          <w:szCs w:val="20"/>
        </w:rPr>
        <w:t>raising health concerns in Europe</w:t>
      </w:r>
      <w:r w:rsidR="00EC5681">
        <w:rPr>
          <w:color w:val="000000"/>
          <w:szCs w:val="20"/>
        </w:rPr>
        <w:t xml:space="preserve"> </w:t>
      </w:r>
      <w:r w:rsidR="009A242E">
        <w:t>after</w:t>
      </w:r>
      <w:r w:rsidR="00FE15C2">
        <w:t xml:space="preserve"> harmful </w:t>
      </w:r>
      <w:r w:rsidR="00FE15C2" w:rsidRPr="00B53BC6">
        <w:rPr>
          <w:szCs w:val="20"/>
        </w:rPr>
        <w:t xml:space="preserve">effects related to them </w:t>
      </w:r>
      <w:r w:rsidR="009A242E" w:rsidRPr="00B53BC6">
        <w:rPr>
          <w:szCs w:val="20"/>
        </w:rPr>
        <w:t xml:space="preserve">were reported by the Member States </w:t>
      </w:r>
      <w:r w:rsidR="00253073" w:rsidRPr="00B53BC6">
        <w:rPr>
          <w:szCs w:val="20"/>
        </w:rPr>
        <w:t>through</w:t>
      </w:r>
      <w:r w:rsidR="009A242E" w:rsidRPr="00B53BC6">
        <w:rPr>
          <w:szCs w:val="20"/>
        </w:rPr>
        <w:t xml:space="preserve"> the </w:t>
      </w:r>
      <w:r w:rsidR="009A242E" w:rsidRPr="00B53BC6">
        <w:rPr>
          <w:b/>
          <w:szCs w:val="20"/>
        </w:rPr>
        <w:t>EU Early Warning System</w:t>
      </w:r>
      <w:r w:rsidR="009A242E" w:rsidRPr="00B53BC6">
        <w:rPr>
          <w:szCs w:val="20"/>
        </w:rPr>
        <w:t xml:space="preserve"> (EWS)</w:t>
      </w:r>
      <w:r w:rsidR="00850992" w:rsidRPr="00B53BC6">
        <w:rPr>
          <w:szCs w:val="20"/>
        </w:rPr>
        <w:t xml:space="preserve">. </w:t>
      </w:r>
    </w:p>
    <w:p w:rsidR="00EC5681" w:rsidRPr="003A34C2" w:rsidRDefault="00FA4BA7" w:rsidP="00C64132">
      <w:pPr>
        <w:pStyle w:val="newsContent"/>
        <w:rPr>
          <w:szCs w:val="20"/>
        </w:rPr>
      </w:pPr>
      <w:r w:rsidRPr="00B53BC6">
        <w:rPr>
          <w:szCs w:val="20"/>
        </w:rPr>
        <w:t>T</w:t>
      </w:r>
      <w:r w:rsidR="00B53BC6" w:rsidRPr="00B53BC6">
        <w:rPr>
          <w:szCs w:val="20"/>
        </w:rPr>
        <w:t>he decision</w:t>
      </w:r>
      <w:r w:rsidR="003A34C2">
        <w:rPr>
          <w:szCs w:val="20"/>
        </w:rPr>
        <w:t xml:space="preserve"> </w:t>
      </w:r>
      <w:r w:rsidR="00EC5681" w:rsidRPr="00B53BC6">
        <w:rPr>
          <w:szCs w:val="20"/>
        </w:rPr>
        <w:t>is based on the findings of formal risk</w:t>
      </w:r>
      <w:r w:rsidR="00253073" w:rsidRPr="00B53BC6">
        <w:rPr>
          <w:szCs w:val="20"/>
        </w:rPr>
        <w:t xml:space="preserve"> </w:t>
      </w:r>
      <w:r w:rsidR="00EC5681" w:rsidRPr="003B1924">
        <w:rPr>
          <w:szCs w:val="20"/>
        </w:rPr>
        <w:t>assessment</w:t>
      </w:r>
      <w:r w:rsidR="00253073" w:rsidRPr="003B1924">
        <w:rPr>
          <w:szCs w:val="20"/>
        </w:rPr>
        <w:t>s</w:t>
      </w:r>
      <w:r w:rsidR="00EC5681" w:rsidRPr="003A34C2">
        <w:rPr>
          <w:szCs w:val="20"/>
        </w:rPr>
        <w:t xml:space="preserve"> on the two </w:t>
      </w:r>
      <w:r w:rsidR="00656B61" w:rsidRPr="003A34C2">
        <w:rPr>
          <w:szCs w:val="20"/>
        </w:rPr>
        <w:t>substances</w:t>
      </w:r>
      <w:r w:rsidRPr="003A34C2">
        <w:rPr>
          <w:szCs w:val="20"/>
        </w:rPr>
        <w:t>,</w:t>
      </w:r>
      <w:r w:rsidR="00EC5681" w:rsidRPr="003A34C2">
        <w:rPr>
          <w:szCs w:val="20"/>
        </w:rPr>
        <w:t xml:space="preserve"> </w:t>
      </w:r>
      <w:r w:rsidR="00253073" w:rsidRPr="003A34C2">
        <w:rPr>
          <w:szCs w:val="20"/>
        </w:rPr>
        <w:t xml:space="preserve">conducted </w:t>
      </w:r>
      <w:r w:rsidR="00EC5681" w:rsidRPr="003A34C2">
        <w:rPr>
          <w:szCs w:val="20"/>
        </w:rPr>
        <w:t xml:space="preserve">by the extended </w:t>
      </w:r>
      <w:r w:rsidRPr="003A34C2">
        <w:rPr>
          <w:b/>
          <w:szCs w:val="20"/>
        </w:rPr>
        <w:t xml:space="preserve">EMCDDA </w:t>
      </w:r>
      <w:r w:rsidR="00EC5681" w:rsidRPr="003A34C2">
        <w:rPr>
          <w:b/>
          <w:szCs w:val="20"/>
        </w:rPr>
        <w:t>Scientific Committee</w:t>
      </w:r>
      <w:r w:rsidR="00EC5681" w:rsidRPr="003A34C2">
        <w:rPr>
          <w:szCs w:val="20"/>
        </w:rPr>
        <w:t xml:space="preserve">, with participation of additional experts from the </w:t>
      </w:r>
      <w:r w:rsidR="00EC5681" w:rsidRPr="003A34C2">
        <w:rPr>
          <w:b/>
          <w:szCs w:val="20"/>
        </w:rPr>
        <w:t>EU</w:t>
      </w:r>
      <w:r w:rsidR="00EC5681" w:rsidRPr="003A34C2">
        <w:rPr>
          <w:szCs w:val="20"/>
        </w:rPr>
        <w:t xml:space="preserve"> </w:t>
      </w:r>
      <w:r w:rsidR="00EC5681" w:rsidRPr="003A34C2">
        <w:rPr>
          <w:b/>
          <w:szCs w:val="20"/>
        </w:rPr>
        <w:t>Member States,</w:t>
      </w:r>
      <w:r w:rsidR="00EC5681" w:rsidRPr="003A34C2">
        <w:rPr>
          <w:szCs w:val="20"/>
        </w:rPr>
        <w:t xml:space="preserve"> </w:t>
      </w:r>
      <w:r w:rsidR="00EC5681" w:rsidRPr="003A34C2">
        <w:rPr>
          <w:b/>
          <w:szCs w:val="20"/>
        </w:rPr>
        <w:t>European Commission, Europol</w:t>
      </w:r>
      <w:r w:rsidR="00EC5681" w:rsidRPr="003A34C2">
        <w:rPr>
          <w:szCs w:val="20"/>
        </w:rPr>
        <w:t xml:space="preserve"> and the </w:t>
      </w:r>
      <w:r w:rsidR="00EC5681" w:rsidRPr="003A34C2">
        <w:rPr>
          <w:b/>
          <w:szCs w:val="20"/>
        </w:rPr>
        <w:t>European Med</w:t>
      </w:r>
      <w:r w:rsidRPr="003A34C2">
        <w:rPr>
          <w:b/>
          <w:szCs w:val="20"/>
        </w:rPr>
        <w:t>icines Agency</w:t>
      </w:r>
      <w:r w:rsidR="00EC5681" w:rsidRPr="003A34C2">
        <w:rPr>
          <w:szCs w:val="20"/>
        </w:rPr>
        <w:t xml:space="preserve">. The </w:t>
      </w:r>
      <w:r w:rsidR="00380ED6" w:rsidRPr="003A34C2">
        <w:rPr>
          <w:szCs w:val="20"/>
        </w:rPr>
        <w:t xml:space="preserve">risk assessment </w:t>
      </w:r>
      <w:r w:rsidR="00EC5681" w:rsidRPr="003A34C2">
        <w:rPr>
          <w:szCs w:val="20"/>
        </w:rPr>
        <w:t>report</w:t>
      </w:r>
      <w:r w:rsidR="00420D47" w:rsidRPr="003A34C2">
        <w:rPr>
          <w:szCs w:val="20"/>
        </w:rPr>
        <w:t>s</w:t>
      </w:r>
      <w:r w:rsidR="007B4094" w:rsidRPr="003A34C2">
        <w:rPr>
          <w:szCs w:val="20"/>
        </w:rPr>
        <w:t xml:space="preserve"> </w:t>
      </w:r>
      <w:r w:rsidR="00EC5681" w:rsidRPr="003A34C2">
        <w:rPr>
          <w:szCs w:val="20"/>
        </w:rPr>
        <w:t>assessed the health and social risks of the drug</w:t>
      </w:r>
      <w:r w:rsidRPr="003A34C2">
        <w:rPr>
          <w:szCs w:val="20"/>
        </w:rPr>
        <w:t>s</w:t>
      </w:r>
      <w:r w:rsidR="00E03346" w:rsidRPr="003A34C2">
        <w:rPr>
          <w:szCs w:val="20"/>
        </w:rPr>
        <w:t>,</w:t>
      </w:r>
      <w:r w:rsidR="00EC5681" w:rsidRPr="003A34C2">
        <w:rPr>
          <w:szCs w:val="20"/>
        </w:rPr>
        <w:t xml:space="preserve"> as well as international trafficking and the involvement of organised crime</w:t>
      </w:r>
      <w:r w:rsidR="0008626C" w:rsidRPr="003A34C2">
        <w:rPr>
          <w:szCs w:val="20"/>
        </w:rPr>
        <w:t xml:space="preserve"> (</w:t>
      </w:r>
      <w:r w:rsidR="0008626C" w:rsidRPr="003A34C2">
        <w:rPr>
          <w:szCs w:val="20"/>
          <w:vertAlign w:val="superscript"/>
        </w:rPr>
        <w:t>3</w:t>
      </w:r>
      <w:r w:rsidR="0008626C" w:rsidRPr="003A34C2">
        <w:rPr>
          <w:szCs w:val="20"/>
        </w:rPr>
        <w:t>)</w:t>
      </w:r>
      <w:r w:rsidR="00EC5681" w:rsidRPr="003A34C2">
        <w:rPr>
          <w:szCs w:val="20"/>
        </w:rPr>
        <w:t>.</w:t>
      </w:r>
    </w:p>
    <w:p w:rsidR="00EC5681" w:rsidRPr="004C5E25" w:rsidRDefault="00B92848" w:rsidP="00C64132">
      <w:pPr>
        <w:pStyle w:val="newsContent"/>
      </w:pPr>
      <w:r w:rsidRPr="00C61C85">
        <w:rPr>
          <w:b/>
        </w:rPr>
        <w:t>4,4′-DMAR</w:t>
      </w:r>
      <w:r w:rsidR="00EC5681">
        <w:t xml:space="preserve"> is</w:t>
      </w:r>
      <w:r w:rsidRPr="005B7C0E">
        <w:t xml:space="preserve"> a derivative of aminorex</w:t>
      </w:r>
      <w:r w:rsidR="00C61C85">
        <w:t>,</w:t>
      </w:r>
      <w:r w:rsidRPr="005B7C0E">
        <w:t xml:space="preserve"> </w:t>
      </w:r>
      <w:r w:rsidR="003E4019">
        <w:t>has</w:t>
      </w:r>
      <w:r w:rsidRPr="005B7C0E">
        <w:t xml:space="preserve"> psychostimulant properties, </w:t>
      </w:r>
      <w:r w:rsidR="00C61C85">
        <w:t>and</w:t>
      </w:r>
      <w:r w:rsidR="00C61C85" w:rsidRPr="005B7C0E">
        <w:t xml:space="preserve"> </w:t>
      </w:r>
      <w:r w:rsidR="003E4019">
        <w:t>is reported to have been</w:t>
      </w:r>
      <w:r w:rsidRPr="005B7C0E">
        <w:t xml:space="preserve"> available on the drug market since at least December 2012. </w:t>
      </w:r>
      <w:r w:rsidRPr="00C61C85">
        <w:rPr>
          <w:b/>
        </w:rPr>
        <w:t>MT-45</w:t>
      </w:r>
      <w:r w:rsidRPr="005B7C0E">
        <w:t>, a synthetic opioid investigated in the 1970s for its analgesic properties</w:t>
      </w:r>
      <w:r w:rsidR="00EC5681">
        <w:t xml:space="preserve">, was </w:t>
      </w:r>
      <w:r w:rsidRPr="005B7C0E">
        <w:t xml:space="preserve">detected for the first time on the European drug market in October 2013. </w:t>
      </w:r>
      <w:r w:rsidR="00233C29" w:rsidRPr="00A14B5A">
        <w:t xml:space="preserve">At the time of the risk assessments, </w:t>
      </w:r>
      <w:r w:rsidR="005B7C0E" w:rsidRPr="004C5E25">
        <w:t xml:space="preserve">a total of 31 and 28 deaths </w:t>
      </w:r>
      <w:r w:rsidR="00233C29" w:rsidRPr="00A14B5A">
        <w:t xml:space="preserve">had been </w:t>
      </w:r>
      <w:r w:rsidR="005B7C0E" w:rsidRPr="004C5E25">
        <w:t xml:space="preserve">associated with these drugs </w:t>
      </w:r>
      <w:r w:rsidR="00233C29" w:rsidRPr="004C5E25">
        <w:t xml:space="preserve">respectively, </w:t>
      </w:r>
      <w:r w:rsidR="005B7C0E" w:rsidRPr="004C5E25">
        <w:t xml:space="preserve">and, in all cases, the presence of the substance in biological samples was analytically confirmed. </w:t>
      </w:r>
    </w:p>
    <w:p w:rsidR="00E03346" w:rsidRPr="004C5E25" w:rsidRDefault="00B92848" w:rsidP="00575AC6">
      <w:pPr>
        <w:pStyle w:val="MaintextstyleBlack"/>
        <w:rPr>
          <w:rFonts w:eastAsia="SimSun"/>
          <w:lang w:eastAsia="zh-CN"/>
        </w:rPr>
      </w:pPr>
      <w:r w:rsidRPr="004C5E25">
        <w:t>The Council</w:t>
      </w:r>
      <w:r w:rsidR="00FF0F48" w:rsidRPr="00A14B5A">
        <w:t xml:space="preserve"> </w:t>
      </w:r>
      <w:r w:rsidR="00233C29" w:rsidRPr="00A14B5A">
        <w:t>i</w:t>
      </w:r>
      <w:r w:rsidR="00FF0F48" w:rsidRPr="00A14B5A">
        <w:t>mplementing</w:t>
      </w:r>
      <w:r w:rsidRPr="00A14B5A">
        <w:t xml:space="preserve"> </w:t>
      </w:r>
      <w:r w:rsidR="00233C29" w:rsidRPr="00A14B5A">
        <w:t>d</w:t>
      </w:r>
      <w:r w:rsidRPr="00A14B5A">
        <w:t xml:space="preserve">ecision states that the </w:t>
      </w:r>
      <w:r w:rsidRPr="004C5E25">
        <w:rPr>
          <w:rFonts w:eastAsia="SimSun"/>
          <w:lang w:eastAsia="zh-CN"/>
        </w:rPr>
        <w:t xml:space="preserve">evidence available </w:t>
      </w:r>
      <w:r w:rsidR="00575AC6" w:rsidRPr="004C5E25">
        <w:rPr>
          <w:rFonts w:eastAsia="SimSun"/>
          <w:lang w:eastAsia="zh-CN"/>
        </w:rPr>
        <w:t xml:space="preserve">for each substance </w:t>
      </w:r>
      <w:r w:rsidRPr="004C5E25">
        <w:rPr>
          <w:rFonts w:eastAsia="SimSun"/>
          <w:lang w:eastAsia="zh-CN"/>
        </w:rPr>
        <w:t>provides ‘sufficient grounds</w:t>
      </w:r>
      <w:r w:rsidR="00094CB0" w:rsidRPr="004C5E25">
        <w:rPr>
          <w:rFonts w:eastAsia="SimSun"/>
          <w:lang w:eastAsia="zh-CN"/>
        </w:rPr>
        <w:t>’</w:t>
      </w:r>
      <w:r w:rsidRPr="004C5E25">
        <w:rPr>
          <w:rFonts w:eastAsia="SimSun"/>
          <w:lang w:eastAsia="zh-CN"/>
        </w:rPr>
        <w:t xml:space="preserve"> for </w:t>
      </w:r>
      <w:r w:rsidR="00575AC6" w:rsidRPr="004C5E25">
        <w:rPr>
          <w:rFonts w:eastAsia="SimSun"/>
          <w:lang w:eastAsia="zh-CN"/>
        </w:rPr>
        <w:t xml:space="preserve">subjecting it </w:t>
      </w:r>
      <w:r w:rsidRPr="004C5E25">
        <w:rPr>
          <w:rFonts w:eastAsia="SimSun"/>
          <w:lang w:eastAsia="zh-CN"/>
        </w:rPr>
        <w:t>to control measures across the Union. Reasons for the conclusion include:</w:t>
      </w:r>
      <w:r w:rsidR="00575AC6" w:rsidRPr="004C5E25">
        <w:rPr>
          <w:rFonts w:eastAsia="SimSun"/>
          <w:lang w:eastAsia="zh-CN"/>
        </w:rPr>
        <w:t xml:space="preserve"> the health risks posed by </w:t>
      </w:r>
      <w:r w:rsidR="00E03346" w:rsidRPr="004C5E25">
        <w:rPr>
          <w:rFonts w:eastAsia="SimSun"/>
          <w:lang w:eastAsia="zh-CN"/>
        </w:rPr>
        <w:t>use</w:t>
      </w:r>
      <w:r w:rsidR="00575AC6" w:rsidRPr="004C5E25">
        <w:rPr>
          <w:rFonts w:eastAsia="SimSun"/>
          <w:lang w:eastAsia="zh-CN"/>
        </w:rPr>
        <w:t xml:space="preserve"> of </w:t>
      </w:r>
      <w:r w:rsidR="007B4094" w:rsidRPr="004C5E25">
        <w:rPr>
          <w:rFonts w:eastAsia="SimSun"/>
          <w:lang w:eastAsia="zh-CN"/>
        </w:rPr>
        <w:t>the</w:t>
      </w:r>
      <w:r w:rsidR="00575AC6" w:rsidRPr="004C5E25">
        <w:rPr>
          <w:rFonts w:eastAsia="SimSun"/>
          <w:lang w:eastAsia="zh-CN"/>
        </w:rPr>
        <w:t xml:space="preserve"> </w:t>
      </w:r>
      <w:r w:rsidR="00E03346" w:rsidRPr="004C5E25">
        <w:rPr>
          <w:rFonts w:eastAsia="SimSun"/>
          <w:lang w:eastAsia="zh-CN"/>
        </w:rPr>
        <w:t>drug</w:t>
      </w:r>
      <w:r w:rsidR="00FA4E91" w:rsidRPr="004C5E25">
        <w:rPr>
          <w:rFonts w:eastAsia="SimSun"/>
          <w:lang w:eastAsia="zh-CN"/>
        </w:rPr>
        <w:t>s</w:t>
      </w:r>
      <w:r w:rsidR="00E03346" w:rsidRPr="004C5E25">
        <w:rPr>
          <w:rFonts w:eastAsia="SimSun"/>
          <w:lang w:eastAsia="zh-CN"/>
        </w:rPr>
        <w:t xml:space="preserve"> </w:t>
      </w:r>
      <w:r w:rsidR="00575AC6" w:rsidRPr="004C5E25">
        <w:rPr>
          <w:rFonts w:eastAsia="SimSun"/>
          <w:lang w:eastAsia="zh-CN"/>
        </w:rPr>
        <w:t xml:space="preserve">and </w:t>
      </w:r>
      <w:r w:rsidR="00FA4E91" w:rsidRPr="004C5E25">
        <w:rPr>
          <w:rFonts w:eastAsia="SimSun"/>
          <w:lang w:eastAsia="zh-CN"/>
        </w:rPr>
        <w:t xml:space="preserve">their </w:t>
      </w:r>
      <w:r w:rsidR="00575AC6" w:rsidRPr="004C5E25">
        <w:rPr>
          <w:rFonts w:eastAsia="SimSun"/>
          <w:lang w:eastAsia="zh-CN"/>
        </w:rPr>
        <w:t xml:space="preserve">lack of medical value. </w:t>
      </w:r>
    </w:p>
    <w:p w:rsidR="00575AC6" w:rsidRDefault="00233C29" w:rsidP="00575AC6">
      <w:pPr>
        <w:pStyle w:val="MaintextstyleBlack"/>
        <w:rPr>
          <w:rFonts w:eastAsia="SimSun"/>
          <w:lang w:eastAsia="zh-CN"/>
        </w:rPr>
      </w:pPr>
      <w:r w:rsidRPr="00A14B5A">
        <w:rPr>
          <w:rFonts w:eastAsia="SimSun"/>
          <w:lang w:eastAsia="zh-CN"/>
        </w:rPr>
        <w:t>At the time of the risk assessments, t</w:t>
      </w:r>
      <w:r w:rsidR="007B4094" w:rsidRPr="004C5E25">
        <w:rPr>
          <w:rFonts w:eastAsia="SimSun"/>
          <w:lang w:eastAsia="zh-CN"/>
        </w:rPr>
        <w:t xml:space="preserve">hree Member States </w:t>
      </w:r>
      <w:r w:rsidR="004A2647" w:rsidRPr="004C5E25">
        <w:rPr>
          <w:rFonts w:eastAsia="SimSun"/>
          <w:lang w:eastAsia="zh-CN"/>
        </w:rPr>
        <w:t>(</w:t>
      </w:r>
      <w:r w:rsidR="00666108" w:rsidRPr="004C5E25">
        <w:rPr>
          <w:rFonts w:eastAsia="SimSun"/>
          <w:lang w:eastAsia="zh-CN"/>
        </w:rPr>
        <w:t>DK, FI, SI</w:t>
      </w:r>
      <w:r w:rsidR="004A2647" w:rsidRPr="004C5E25">
        <w:rPr>
          <w:rFonts w:eastAsia="SimSun"/>
          <w:lang w:eastAsia="zh-CN"/>
        </w:rPr>
        <w:t xml:space="preserve">) </w:t>
      </w:r>
      <w:r w:rsidR="007B4094" w:rsidRPr="004C5E25">
        <w:rPr>
          <w:rFonts w:eastAsia="SimSun"/>
          <w:lang w:eastAsia="zh-CN"/>
        </w:rPr>
        <w:t xml:space="preserve">and one Member State </w:t>
      </w:r>
      <w:r w:rsidR="004A2647" w:rsidRPr="004C5E25">
        <w:rPr>
          <w:rFonts w:eastAsia="SimSun"/>
          <w:lang w:eastAsia="zh-CN"/>
        </w:rPr>
        <w:t>(</w:t>
      </w:r>
      <w:r w:rsidR="00666108" w:rsidRPr="004C5E25">
        <w:rPr>
          <w:rFonts w:eastAsia="SimSun"/>
          <w:lang w:eastAsia="zh-CN"/>
        </w:rPr>
        <w:t>SE</w:t>
      </w:r>
      <w:r w:rsidR="004A2647" w:rsidRPr="004C5E25">
        <w:rPr>
          <w:rFonts w:eastAsia="SimSun"/>
          <w:lang w:eastAsia="zh-CN"/>
        </w:rPr>
        <w:t xml:space="preserve">) </w:t>
      </w:r>
      <w:r w:rsidRPr="00A14B5A">
        <w:rPr>
          <w:rFonts w:eastAsia="SimSun"/>
          <w:lang w:eastAsia="zh-CN"/>
        </w:rPr>
        <w:t xml:space="preserve">had </w:t>
      </w:r>
      <w:r w:rsidR="007B4094" w:rsidRPr="00A14B5A">
        <w:rPr>
          <w:rFonts w:eastAsia="SimSun"/>
          <w:lang w:eastAsia="zh-CN"/>
        </w:rPr>
        <w:t>control</w:t>
      </w:r>
      <w:r w:rsidR="006A49C6" w:rsidRPr="00A14B5A">
        <w:rPr>
          <w:rFonts w:eastAsia="SimSun"/>
          <w:lang w:eastAsia="zh-CN"/>
        </w:rPr>
        <w:t>led</w:t>
      </w:r>
      <w:r w:rsidR="007B4094" w:rsidRPr="004C5E25">
        <w:rPr>
          <w:rFonts w:eastAsia="SimSun"/>
          <w:lang w:eastAsia="zh-CN"/>
        </w:rPr>
        <w:t xml:space="preserve"> </w:t>
      </w:r>
      <w:r w:rsidR="007B4094" w:rsidRPr="004C5E25">
        <w:rPr>
          <w:rFonts w:eastAsia="SimSun"/>
          <w:b/>
          <w:lang w:eastAsia="zh-CN"/>
        </w:rPr>
        <w:t>4,4’-DMAR</w:t>
      </w:r>
      <w:r w:rsidR="007B4094" w:rsidRPr="004C5E25">
        <w:rPr>
          <w:rFonts w:eastAsia="SimSun"/>
          <w:lang w:eastAsia="zh-CN"/>
        </w:rPr>
        <w:t xml:space="preserve"> and </w:t>
      </w:r>
      <w:r w:rsidR="007B4094" w:rsidRPr="004C5E25">
        <w:rPr>
          <w:rFonts w:eastAsia="SimSun"/>
          <w:b/>
          <w:lang w:eastAsia="zh-CN"/>
        </w:rPr>
        <w:t>MT-45</w:t>
      </w:r>
      <w:r w:rsidR="007B4094" w:rsidRPr="004C5E25">
        <w:rPr>
          <w:rFonts w:eastAsia="SimSun"/>
          <w:lang w:eastAsia="zh-CN"/>
        </w:rPr>
        <w:t xml:space="preserve"> respectively under </w:t>
      </w:r>
      <w:r w:rsidR="005223D7" w:rsidRPr="004C5E25">
        <w:rPr>
          <w:rFonts w:eastAsia="SimSun"/>
          <w:lang w:eastAsia="zh-CN"/>
        </w:rPr>
        <w:t xml:space="preserve">national </w:t>
      </w:r>
      <w:r w:rsidR="00F4327A" w:rsidRPr="004C5E25">
        <w:rPr>
          <w:rFonts w:eastAsia="SimSun"/>
          <w:lang w:eastAsia="zh-CN"/>
        </w:rPr>
        <w:t xml:space="preserve">drug control </w:t>
      </w:r>
      <w:r w:rsidR="007B4094" w:rsidRPr="004C5E25">
        <w:rPr>
          <w:rFonts w:eastAsia="SimSun"/>
          <w:lang w:eastAsia="zh-CN"/>
        </w:rPr>
        <w:t>legislation</w:t>
      </w:r>
      <w:r w:rsidR="00E03346" w:rsidRPr="004C5E25">
        <w:rPr>
          <w:rFonts w:eastAsia="SimSun"/>
          <w:lang w:eastAsia="zh-CN"/>
        </w:rPr>
        <w:t xml:space="preserve">. </w:t>
      </w:r>
      <w:r w:rsidR="00FA4E91" w:rsidRPr="004C5E25">
        <w:rPr>
          <w:rFonts w:eastAsia="SimSun"/>
          <w:lang w:eastAsia="zh-CN"/>
        </w:rPr>
        <w:t>As a result of t</w:t>
      </w:r>
      <w:r w:rsidR="00E03346" w:rsidRPr="004C5E25">
        <w:rPr>
          <w:rFonts w:eastAsia="SimSun"/>
          <w:lang w:eastAsia="zh-CN"/>
        </w:rPr>
        <w:t>oday’s</w:t>
      </w:r>
      <w:r w:rsidR="00E03346">
        <w:rPr>
          <w:rFonts w:eastAsia="SimSun"/>
          <w:lang w:eastAsia="zh-CN"/>
        </w:rPr>
        <w:t xml:space="preserve"> decision, </w:t>
      </w:r>
      <w:r w:rsidR="00FA4E91">
        <w:rPr>
          <w:rFonts w:eastAsia="SimSun"/>
          <w:lang w:eastAsia="zh-CN"/>
        </w:rPr>
        <w:t xml:space="preserve">all </w:t>
      </w:r>
      <w:r w:rsidR="00FA4E91" w:rsidRPr="00155BB1">
        <w:rPr>
          <w:rFonts w:cs="Arial"/>
        </w:rPr>
        <w:t xml:space="preserve">EU Member States are called </w:t>
      </w:r>
      <w:r w:rsidR="00FA4E91">
        <w:rPr>
          <w:rFonts w:cs="Arial"/>
        </w:rPr>
        <w:t>upon</w:t>
      </w:r>
      <w:r w:rsidR="00FA4E91" w:rsidRPr="00155BB1">
        <w:rPr>
          <w:rFonts w:cs="Arial"/>
        </w:rPr>
        <w:t xml:space="preserve"> to </w:t>
      </w:r>
      <w:r w:rsidR="00FA4E91">
        <w:rPr>
          <w:rFonts w:cs="Arial"/>
        </w:rPr>
        <w:t xml:space="preserve">introduce control measures and criminal penalties </w:t>
      </w:r>
      <w:r w:rsidR="00FA4E91" w:rsidRPr="00155BB1">
        <w:rPr>
          <w:rFonts w:cs="Arial"/>
        </w:rPr>
        <w:t>within one year</w:t>
      </w:r>
      <w:r w:rsidR="00FA4E91">
        <w:rPr>
          <w:rFonts w:cs="Arial"/>
        </w:rPr>
        <w:t>. This will facilitate</w:t>
      </w:r>
      <w:r w:rsidR="007B4094" w:rsidRPr="007B4094">
        <w:rPr>
          <w:rFonts w:eastAsia="SimSun"/>
          <w:lang w:eastAsia="zh-CN"/>
        </w:rPr>
        <w:t xml:space="preserve"> cross-border law enforcement and judicial coop</w:t>
      </w:r>
      <w:r w:rsidR="00E03346">
        <w:rPr>
          <w:rFonts w:eastAsia="SimSun"/>
          <w:lang w:eastAsia="zh-CN"/>
        </w:rPr>
        <w:t>eration</w:t>
      </w:r>
      <w:r w:rsidR="007B4094" w:rsidRPr="007B4094">
        <w:rPr>
          <w:rFonts w:eastAsia="SimSun"/>
          <w:lang w:eastAsia="zh-CN"/>
        </w:rPr>
        <w:t xml:space="preserve"> and protect from the risks </w:t>
      </w:r>
      <w:r w:rsidR="00FA4E91">
        <w:rPr>
          <w:rFonts w:eastAsia="SimSun"/>
          <w:lang w:eastAsia="zh-CN"/>
        </w:rPr>
        <w:t xml:space="preserve">posed by the </w:t>
      </w:r>
      <w:r w:rsidR="007B4094" w:rsidRPr="007B4094">
        <w:rPr>
          <w:rFonts w:eastAsia="SimSun"/>
          <w:lang w:eastAsia="zh-CN"/>
        </w:rPr>
        <w:t xml:space="preserve">availability and use </w:t>
      </w:r>
      <w:r w:rsidR="00FA4E91">
        <w:rPr>
          <w:rFonts w:eastAsia="SimSun"/>
          <w:lang w:eastAsia="zh-CN"/>
        </w:rPr>
        <w:t>of these substances</w:t>
      </w:r>
      <w:r w:rsidR="007B4094" w:rsidRPr="007B4094">
        <w:rPr>
          <w:rFonts w:eastAsia="SimSun"/>
          <w:lang w:eastAsia="zh-CN"/>
        </w:rPr>
        <w:t>.</w:t>
      </w:r>
      <w:r w:rsidR="00FA4E91">
        <w:rPr>
          <w:rFonts w:eastAsia="SimSun"/>
          <w:lang w:eastAsia="zh-CN"/>
        </w:rPr>
        <w:t xml:space="preserve"> </w:t>
      </w:r>
    </w:p>
    <w:p w:rsidR="00B92848" w:rsidRPr="00017E29" w:rsidRDefault="00B92848" w:rsidP="00233C29">
      <w:pPr>
        <w:autoSpaceDE w:val="0"/>
        <w:autoSpaceDN w:val="0"/>
        <w:adjustRightInd w:val="0"/>
        <w:spacing w:after="0" w:line="26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017E29">
        <w:rPr>
          <w:rFonts w:ascii="Arial" w:hAnsi="Arial" w:cs="Arial"/>
          <w:b/>
          <w:sz w:val="20"/>
          <w:szCs w:val="20"/>
        </w:rPr>
        <w:t>EMCDDA Director Wolfgang Götz</w:t>
      </w:r>
      <w:r w:rsidRPr="00017E29">
        <w:rPr>
          <w:rFonts w:ascii="Arial" w:hAnsi="Arial" w:cs="Arial"/>
          <w:sz w:val="20"/>
          <w:szCs w:val="20"/>
        </w:rPr>
        <w:t xml:space="preserve"> welcomed the news: ‘Today’s decision to introduce controls on                          </w:t>
      </w:r>
      <w:r w:rsidR="007B4094" w:rsidRPr="00017E29">
        <w:rPr>
          <w:rFonts w:ascii="Arial" w:hAnsi="Arial" w:cs="Arial"/>
          <w:sz w:val="20"/>
          <w:szCs w:val="20"/>
        </w:rPr>
        <w:t xml:space="preserve">4,4’-DMAR and MT-45 </w:t>
      </w:r>
      <w:r w:rsidRPr="00017E29">
        <w:rPr>
          <w:rFonts w:ascii="Arial" w:hAnsi="Arial" w:cs="Arial"/>
          <w:sz w:val="20"/>
          <w:szCs w:val="20"/>
        </w:rPr>
        <w:t xml:space="preserve">is another positive example of </w:t>
      </w:r>
      <w:r w:rsidR="007B4094" w:rsidRPr="00017E29">
        <w:rPr>
          <w:rFonts w:ascii="Arial" w:hAnsi="Arial" w:cs="Arial"/>
          <w:sz w:val="20"/>
          <w:szCs w:val="20"/>
        </w:rPr>
        <w:t xml:space="preserve">the EU’s </w:t>
      </w:r>
      <w:r w:rsidRPr="00017E29">
        <w:rPr>
          <w:rFonts w:ascii="Arial" w:hAnsi="Arial" w:cs="Arial"/>
          <w:sz w:val="20"/>
          <w:szCs w:val="20"/>
        </w:rPr>
        <w:t xml:space="preserve">ability to respond to </w:t>
      </w:r>
      <w:r w:rsidR="00573F11" w:rsidRPr="00017E29">
        <w:rPr>
          <w:rFonts w:ascii="Arial" w:hAnsi="Arial" w:cs="Arial"/>
          <w:sz w:val="20"/>
          <w:szCs w:val="20"/>
        </w:rPr>
        <w:t xml:space="preserve">harms posed by </w:t>
      </w:r>
      <w:r w:rsidRPr="00017E29">
        <w:rPr>
          <w:rFonts w:ascii="Arial" w:hAnsi="Arial" w:cs="Arial"/>
          <w:sz w:val="20"/>
          <w:szCs w:val="20"/>
        </w:rPr>
        <w:t xml:space="preserve">new psychoactive substances. </w:t>
      </w:r>
      <w:r w:rsidR="00A866F3" w:rsidRPr="00017E29">
        <w:rPr>
          <w:rFonts w:ascii="Arial" w:hAnsi="Arial" w:cs="Arial"/>
          <w:sz w:val="20"/>
          <w:szCs w:val="20"/>
        </w:rPr>
        <w:t>Both substances</w:t>
      </w:r>
      <w:r w:rsidR="00573F11" w:rsidRPr="00017E29">
        <w:rPr>
          <w:rFonts w:ascii="Arial" w:hAnsi="Arial" w:cs="Arial"/>
          <w:sz w:val="20"/>
          <w:szCs w:val="20"/>
        </w:rPr>
        <w:t xml:space="preserve"> had been available for </w:t>
      </w:r>
      <w:r w:rsidR="004A2647" w:rsidRPr="00017E29">
        <w:rPr>
          <w:rFonts w:ascii="Arial" w:hAnsi="Arial" w:cs="Arial"/>
          <w:sz w:val="20"/>
          <w:szCs w:val="20"/>
        </w:rPr>
        <w:t xml:space="preserve">only </w:t>
      </w:r>
      <w:r w:rsidR="00A866F3" w:rsidRPr="00017E29">
        <w:rPr>
          <w:rFonts w:ascii="Arial" w:hAnsi="Arial" w:cs="Arial"/>
          <w:sz w:val="20"/>
          <w:szCs w:val="20"/>
        </w:rPr>
        <w:t xml:space="preserve">short period of time </w:t>
      </w:r>
      <w:r w:rsidR="00573F11" w:rsidRPr="00017E29">
        <w:rPr>
          <w:rFonts w:ascii="Arial" w:hAnsi="Arial" w:cs="Arial"/>
          <w:sz w:val="20"/>
          <w:szCs w:val="20"/>
        </w:rPr>
        <w:t xml:space="preserve">before the </w:t>
      </w:r>
      <w:r w:rsidR="00A866F3" w:rsidRPr="00017E29">
        <w:rPr>
          <w:rFonts w:ascii="Arial" w:hAnsi="Arial" w:cs="Arial"/>
          <w:sz w:val="20"/>
          <w:szCs w:val="20"/>
        </w:rPr>
        <w:t xml:space="preserve">EWS undertook the first action to </w:t>
      </w:r>
      <w:r w:rsidR="00573F11" w:rsidRPr="00017E29">
        <w:rPr>
          <w:rFonts w:ascii="Arial" w:hAnsi="Arial" w:cs="Arial"/>
          <w:sz w:val="20"/>
          <w:szCs w:val="20"/>
        </w:rPr>
        <w:t xml:space="preserve">respond to emerging health concerns posed by </w:t>
      </w:r>
      <w:r w:rsidR="00A866F3" w:rsidRPr="00017E29">
        <w:rPr>
          <w:rFonts w:ascii="Arial" w:hAnsi="Arial" w:cs="Arial"/>
          <w:sz w:val="20"/>
          <w:szCs w:val="20"/>
        </w:rPr>
        <w:t>them</w:t>
      </w:r>
      <w:r w:rsidR="007B026A" w:rsidRPr="00017E29">
        <w:rPr>
          <w:rFonts w:ascii="Arial" w:hAnsi="Arial" w:cs="Arial"/>
          <w:sz w:val="20"/>
          <w:szCs w:val="20"/>
        </w:rPr>
        <w:t>.</w:t>
      </w:r>
      <w:r w:rsidR="00A866F3" w:rsidRPr="00017E29">
        <w:rPr>
          <w:rFonts w:ascii="Arial" w:hAnsi="Arial" w:cs="Arial"/>
          <w:sz w:val="20"/>
          <w:szCs w:val="20"/>
        </w:rPr>
        <w:t xml:space="preserve"> </w:t>
      </w:r>
      <w:r w:rsidR="00017E29" w:rsidRPr="00017E29">
        <w:rPr>
          <w:rFonts w:ascii="Arial" w:hAnsi="Arial" w:cs="Arial"/>
          <w:bCs/>
          <w:sz w:val="20"/>
          <w:szCs w:val="20"/>
        </w:rPr>
        <w:t xml:space="preserve">The EMCDDA </w:t>
      </w:r>
      <w:r w:rsidR="00017E29">
        <w:rPr>
          <w:rFonts w:ascii="Arial" w:hAnsi="Arial" w:cs="Arial"/>
          <w:bCs/>
          <w:sz w:val="20"/>
          <w:szCs w:val="20"/>
        </w:rPr>
        <w:t xml:space="preserve">is a world leader </w:t>
      </w:r>
      <w:r w:rsidR="00017E29" w:rsidRPr="00017E29">
        <w:rPr>
          <w:rFonts w:ascii="Arial" w:hAnsi="Arial" w:cs="Arial"/>
          <w:bCs/>
          <w:sz w:val="20"/>
          <w:szCs w:val="20"/>
        </w:rPr>
        <w:t xml:space="preserve">in the collection, exchange and analysis of information on new </w:t>
      </w:r>
      <w:r w:rsidR="00017E29">
        <w:rPr>
          <w:rFonts w:ascii="Arial" w:hAnsi="Arial" w:cs="Arial"/>
          <w:bCs/>
          <w:sz w:val="20"/>
          <w:szCs w:val="20"/>
        </w:rPr>
        <w:t>drugs</w:t>
      </w:r>
      <w:r w:rsidR="00017E29" w:rsidRPr="00017E29">
        <w:rPr>
          <w:rFonts w:ascii="Arial" w:hAnsi="Arial" w:cs="Arial"/>
          <w:bCs/>
          <w:sz w:val="20"/>
          <w:szCs w:val="20"/>
        </w:rPr>
        <w:t>, but more</w:t>
      </w:r>
      <w:r w:rsidR="00017E29" w:rsidRPr="00017E29">
        <w:rPr>
          <w:rFonts w:ascii="Arial" w:hAnsi="Arial" w:cs="Arial"/>
          <w:b/>
          <w:bCs/>
          <w:sz w:val="20"/>
          <w:szCs w:val="20"/>
        </w:rPr>
        <w:t xml:space="preserve"> </w:t>
      </w:r>
      <w:r w:rsidR="00A866F3" w:rsidRPr="00017E29">
        <w:rPr>
          <w:rFonts w:ascii="Arial" w:eastAsia="SimSun" w:hAnsi="Arial" w:cs="Arial"/>
          <w:sz w:val="20"/>
          <w:szCs w:val="20"/>
          <w:lang w:eastAsia="zh-CN"/>
        </w:rPr>
        <w:t>investment is needed to develop greater capacity to assess the health implications of the wide variety of new substances now becoming available.</w:t>
      </w:r>
      <w:r w:rsidRPr="00017E29">
        <w:rPr>
          <w:rFonts w:ascii="Arial" w:eastAsia="SimSun" w:hAnsi="Arial" w:cs="Arial"/>
          <w:sz w:val="20"/>
          <w:szCs w:val="20"/>
          <w:lang w:eastAsia="zh-CN"/>
        </w:rPr>
        <w:t>’</w:t>
      </w:r>
      <w:r w:rsidR="00420D47" w:rsidRPr="00017E2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233C29" w:rsidRPr="00C64132" w:rsidRDefault="00233C29" w:rsidP="00C64132">
      <w:pPr>
        <w:pStyle w:val="newsNotes"/>
        <w:rPr>
          <w:sz w:val="18"/>
          <w:szCs w:val="18"/>
        </w:rPr>
      </w:pPr>
    </w:p>
    <w:p w:rsidR="00E03346" w:rsidRPr="00C64132" w:rsidRDefault="00233C29" w:rsidP="00C64132">
      <w:pPr>
        <w:pStyle w:val="Default"/>
        <w:rPr>
          <w:rFonts w:eastAsia="SimSun" w:cs="Arial"/>
          <w:sz w:val="18"/>
          <w:szCs w:val="18"/>
          <w:highlight w:val="yellow"/>
          <w:lang w:eastAsia="zh-CN"/>
        </w:rPr>
      </w:pPr>
      <w:r w:rsidRPr="00C64132">
        <w:rPr>
          <w:rFonts w:ascii="Arial" w:hAnsi="Arial" w:cs="Arial"/>
          <w:sz w:val="18"/>
          <w:szCs w:val="18"/>
        </w:rPr>
        <w:t>(</w:t>
      </w:r>
      <w:r w:rsidRPr="00C64132">
        <w:rPr>
          <w:rStyle w:val="newsNotesNumberChar"/>
          <w:rFonts w:cs="Arial"/>
          <w:sz w:val="18"/>
          <w:szCs w:val="18"/>
        </w:rPr>
        <w:t>1</w:t>
      </w:r>
      <w:r w:rsidRPr="00C64132">
        <w:rPr>
          <w:rFonts w:ascii="Arial" w:hAnsi="Arial" w:cs="Arial"/>
          <w:sz w:val="18"/>
          <w:szCs w:val="18"/>
        </w:rPr>
        <w:t xml:space="preserve">) </w:t>
      </w:r>
      <w:r w:rsidR="008A10C6" w:rsidRPr="00C64132">
        <w:rPr>
          <w:rFonts w:ascii="Arial" w:hAnsi="Arial" w:cs="Arial"/>
          <w:sz w:val="18"/>
          <w:szCs w:val="18"/>
        </w:rPr>
        <w:t xml:space="preserve">Council </w:t>
      </w:r>
      <w:r w:rsidRPr="00C64132">
        <w:rPr>
          <w:rFonts w:ascii="Arial" w:hAnsi="Arial" w:cs="Arial"/>
          <w:sz w:val="18"/>
          <w:szCs w:val="18"/>
        </w:rPr>
        <w:t>i</w:t>
      </w:r>
      <w:r w:rsidR="008A10C6" w:rsidRPr="00C64132">
        <w:rPr>
          <w:rFonts w:ascii="Arial" w:hAnsi="Arial" w:cs="Arial"/>
          <w:sz w:val="18"/>
          <w:szCs w:val="18"/>
        </w:rPr>
        <w:t xml:space="preserve">mplementing </w:t>
      </w:r>
      <w:r w:rsidRPr="00C64132">
        <w:rPr>
          <w:rFonts w:ascii="Arial" w:hAnsi="Arial" w:cs="Arial"/>
          <w:sz w:val="18"/>
          <w:szCs w:val="18"/>
        </w:rPr>
        <w:t>d</w:t>
      </w:r>
      <w:r w:rsidR="008A10C6" w:rsidRPr="00C64132">
        <w:rPr>
          <w:rFonts w:ascii="Arial" w:hAnsi="Arial" w:cs="Arial"/>
          <w:sz w:val="18"/>
          <w:szCs w:val="18"/>
        </w:rPr>
        <w:t>ecision</w:t>
      </w:r>
      <w:r w:rsidR="00C64132" w:rsidRPr="00C64132">
        <w:rPr>
          <w:rFonts w:ascii="Arial" w:hAnsi="Arial" w:cs="Arial"/>
          <w:sz w:val="18"/>
          <w:szCs w:val="18"/>
        </w:rPr>
        <w:t xml:space="preserve"> (</w:t>
      </w:r>
      <w:r w:rsidR="00C64132" w:rsidRPr="00C64132">
        <w:rPr>
          <w:rFonts w:ascii="Arial" w:hAnsi="Arial" w:cs="Arial"/>
          <w:bCs/>
          <w:sz w:val="18"/>
          <w:szCs w:val="18"/>
        </w:rPr>
        <w:t>2015/1873</w:t>
      </w:r>
      <w:r w:rsidR="00C64132" w:rsidRPr="00C64132">
        <w:rPr>
          <w:rFonts w:ascii="Arial" w:hAnsi="Arial" w:cs="Arial"/>
          <w:sz w:val="18"/>
          <w:szCs w:val="18"/>
        </w:rPr>
        <w:t>)</w:t>
      </w:r>
      <w:r w:rsidR="00B53BC6">
        <w:rPr>
          <w:rFonts w:ascii="Arial" w:hAnsi="Arial" w:cs="Arial"/>
          <w:sz w:val="18"/>
          <w:szCs w:val="18"/>
        </w:rPr>
        <w:t xml:space="preserve"> published in the </w:t>
      </w:r>
      <w:r w:rsidR="00B53BC6" w:rsidRPr="00B53BC6">
        <w:rPr>
          <w:rFonts w:ascii="Arial" w:hAnsi="Arial" w:cs="Arial"/>
          <w:i/>
          <w:sz w:val="18"/>
          <w:szCs w:val="18"/>
        </w:rPr>
        <w:t>Official Journal</w:t>
      </w:r>
      <w:r w:rsidR="00B53BC6">
        <w:rPr>
          <w:rFonts w:ascii="Arial" w:hAnsi="Arial" w:cs="Arial"/>
          <w:sz w:val="18"/>
          <w:szCs w:val="18"/>
        </w:rPr>
        <w:t xml:space="preserve"> of </w:t>
      </w:r>
      <w:r w:rsidR="003A34C2" w:rsidRPr="003A34C2">
        <w:rPr>
          <w:rFonts w:ascii="Arial" w:hAnsi="Arial" w:cs="Arial"/>
          <w:i/>
          <w:sz w:val="18"/>
          <w:szCs w:val="18"/>
        </w:rPr>
        <w:t>the European Union</w:t>
      </w:r>
      <w:r w:rsidR="003A34C2">
        <w:rPr>
          <w:rFonts w:ascii="Arial" w:hAnsi="Arial" w:cs="Arial"/>
          <w:sz w:val="18"/>
          <w:szCs w:val="18"/>
        </w:rPr>
        <w:t xml:space="preserve"> on </w:t>
      </w:r>
      <w:r w:rsidR="00B53BC6">
        <w:rPr>
          <w:rFonts w:ascii="Arial" w:hAnsi="Arial" w:cs="Arial"/>
          <w:sz w:val="18"/>
          <w:szCs w:val="18"/>
        </w:rPr>
        <w:t>20.10.2015</w:t>
      </w:r>
      <w:r w:rsidRPr="00C64132">
        <w:rPr>
          <w:rFonts w:ascii="Arial" w:hAnsi="Arial" w:cs="Arial"/>
          <w:sz w:val="18"/>
          <w:szCs w:val="18"/>
        </w:rPr>
        <w:t xml:space="preserve">: </w:t>
      </w:r>
      <w:r w:rsidR="00B53BC6">
        <w:rPr>
          <w:rFonts w:ascii="Arial" w:hAnsi="Arial" w:cs="Arial"/>
          <w:sz w:val="18"/>
          <w:szCs w:val="18"/>
        </w:rPr>
        <w:t xml:space="preserve">                                           </w:t>
      </w:r>
      <w:hyperlink r:id="rId10" w:history="1">
        <w:r w:rsidR="00C64132" w:rsidRPr="00C64132">
          <w:rPr>
            <w:rStyle w:val="Hyperlink"/>
            <w:rFonts w:cs="Arial"/>
            <w:sz w:val="18"/>
            <w:szCs w:val="18"/>
          </w:rPr>
          <w:t>http://eur-lex.europa.eu/legal-content/EN/TXT/PDF/?uri=OJ:JOL_2015_275_R_0010&amp;from=EN</w:t>
        </w:r>
      </w:hyperlink>
      <w:r w:rsidR="00AA5549" w:rsidRPr="00C641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B49DA" w:rsidRPr="00C64132">
        <w:rPr>
          <w:sz w:val="18"/>
          <w:szCs w:val="18"/>
        </w:rPr>
        <w:t>(</w:t>
      </w:r>
      <w:r w:rsidR="00CB49DA" w:rsidRPr="00C64132">
        <w:rPr>
          <w:rStyle w:val="newsNotesNumberChar"/>
          <w:sz w:val="18"/>
          <w:szCs w:val="18"/>
        </w:rPr>
        <w:t>2</w:t>
      </w:r>
      <w:r w:rsidR="00CB49DA" w:rsidRPr="00C64132">
        <w:rPr>
          <w:sz w:val="18"/>
          <w:szCs w:val="18"/>
        </w:rPr>
        <w:t xml:space="preserve">) </w:t>
      </w:r>
      <w:r w:rsidR="00253073" w:rsidRPr="00C64132">
        <w:rPr>
          <w:sz w:val="18"/>
          <w:szCs w:val="18"/>
        </w:rPr>
        <w:t>Council Decision 2005/387/JHA</w:t>
      </w:r>
      <w:r w:rsidR="00FA4BA7" w:rsidRPr="00C64132">
        <w:rPr>
          <w:sz w:val="18"/>
          <w:szCs w:val="18"/>
        </w:rPr>
        <w:t>:</w:t>
      </w:r>
      <w:r w:rsidR="00253073" w:rsidRPr="00C64132">
        <w:rPr>
          <w:sz w:val="18"/>
          <w:szCs w:val="18"/>
        </w:rPr>
        <w:t xml:space="preserve"> </w:t>
      </w:r>
      <w:hyperlink r:id="rId11" w:history="1">
        <w:r w:rsidR="008A10C6" w:rsidRPr="00C64132">
          <w:rPr>
            <w:rStyle w:val="Hyperlink"/>
            <w:sz w:val="18"/>
            <w:szCs w:val="18"/>
          </w:rPr>
          <w:t>www.emcdda.europa.eu/activities/action-on-new-drugs</w:t>
        </w:r>
      </w:hyperlink>
      <w:r w:rsidRPr="00C64132">
        <w:rPr>
          <w:rStyle w:val="Hyperlink"/>
          <w:sz w:val="18"/>
          <w:szCs w:val="18"/>
        </w:rPr>
        <w:t xml:space="preserve"> </w:t>
      </w:r>
      <w:r w:rsidR="00C64132" w:rsidRPr="00C64132">
        <w:rPr>
          <w:rStyle w:val="Hyperlink"/>
          <w:sz w:val="18"/>
          <w:szCs w:val="18"/>
        </w:rPr>
        <w:t xml:space="preserve">                                                                                                        </w:t>
      </w:r>
      <w:r w:rsidR="00FA4BA7" w:rsidRPr="00C64132">
        <w:rPr>
          <w:sz w:val="18"/>
          <w:szCs w:val="18"/>
        </w:rPr>
        <w:t>(</w:t>
      </w:r>
      <w:r w:rsidR="00FA4BA7" w:rsidRPr="00C64132">
        <w:rPr>
          <w:rStyle w:val="newsNotesNumberChar"/>
          <w:sz w:val="18"/>
          <w:szCs w:val="18"/>
        </w:rPr>
        <w:t>3</w:t>
      </w:r>
      <w:r w:rsidR="00FA4BA7" w:rsidRPr="00C64132">
        <w:rPr>
          <w:sz w:val="18"/>
          <w:szCs w:val="18"/>
        </w:rPr>
        <w:t xml:space="preserve">) </w:t>
      </w:r>
      <w:r w:rsidR="00FA4BA7" w:rsidRPr="00C64132">
        <w:rPr>
          <w:rFonts w:cs="Arial"/>
          <w:sz w:val="18"/>
          <w:szCs w:val="18"/>
        </w:rPr>
        <w:t>A</w:t>
      </w:r>
      <w:r w:rsidR="00420D47" w:rsidRPr="00C64132">
        <w:rPr>
          <w:rFonts w:cs="Arial"/>
          <w:sz w:val="18"/>
          <w:szCs w:val="18"/>
        </w:rPr>
        <w:t xml:space="preserve">vailable </w:t>
      </w:r>
      <w:r w:rsidR="00FA4BA7" w:rsidRPr="00C64132">
        <w:rPr>
          <w:rFonts w:cs="Arial"/>
          <w:sz w:val="18"/>
          <w:szCs w:val="18"/>
        </w:rPr>
        <w:t xml:space="preserve">in English </w:t>
      </w:r>
      <w:r w:rsidR="00420D47" w:rsidRPr="00C64132">
        <w:rPr>
          <w:rFonts w:cs="Arial"/>
          <w:sz w:val="18"/>
          <w:szCs w:val="18"/>
        </w:rPr>
        <w:t xml:space="preserve">at: </w:t>
      </w:r>
      <w:r w:rsidR="00420D47" w:rsidRPr="00C64132">
        <w:rPr>
          <w:rFonts w:cs="Arial"/>
          <w:color w:val="353A92"/>
          <w:sz w:val="18"/>
          <w:szCs w:val="18"/>
        </w:rPr>
        <w:t xml:space="preserve">www.emcdda.europa.eu/publications/risk-assessments </w:t>
      </w:r>
    </w:p>
    <w:sectPr w:rsidR="00E03346" w:rsidRPr="00C64132" w:rsidSect="00C64132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644" w:right="991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64" w:rsidRDefault="00C62364" w:rsidP="009A28FB">
      <w:pPr>
        <w:spacing w:after="0" w:line="240" w:lineRule="auto"/>
      </w:pPr>
      <w:r>
        <w:separator/>
      </w:r>
    </w:p>
  </w:endnote>
  <w:endnote w:type="continuationSeparator" w:id="0">
    <w:p w:rsidR="00C62364" w:rsidRDefault="00C62364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3E0B61" wp14:editId="784764C6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3B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RPr="006B7911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5F1E648" wp14:editId="0C1C36A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</w:t>
          </w:r>
          <w:r w:rsidR="002E3E37">
            <w:t>press</w:t>
          </w:r>
          <w:r>
            <w:t xml:space="preserve">@emcdda.europa.eu </w:t>
          </w:r>
        </w:p>
        <w:p w:rsidR="0063677C" w:rsidRPr="00455E47" w:rsidRDefault="0063677C" w:rsidP="003B00EE">
          <w:pPr>
            <w:pStyle w:val="newsCoordinates"/>
            <w:rPr>
              <w:lang w:val="pt-PT"/>
            </w:rPr>
          </w:pPr>
          <w:r w:rsidRPr="00455E47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Pr="006B7911" w:rsidRDefault="007B6F51" w:rsidP="005D6F6F">
          <w:pPr>
            <w:pStyle w:val="newsReference"/>
            <w:jc w:val="right"/>
          </w:pPr>
          <w:r w:rsidRPr="00C64132">
            <w:t>EN — No</w:t>
          </w:r>
          <w:r w:rsidR="00D344A1" w:rsidRPr="00C64132">
            <w:t xml:space="preserve"> </w:t>
          </w:r>
          <w:r w:rsidR="00233C29" w:rsidRPr="00C64132">
            <w:t>9</w:t>
          </w:r>
          <w:r w:rsidR="0063677C" w:rsidRPr="00C64132">
            <w:t>/</w:t>
          </w:r>
          <w:r w:rsidRPr="00C64132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64" w:rsidRDefault="00C62364" w:rsidP="009A28FB">
      <w:pPr>
        <w:spacing w:after="0" w:line="240" w:lineRule="auto"/>
      </w:pPr>
      <w:r>
        <w:separator/>
      </w:r>
    </w:p>
  </w:footnote>
  <w:footnote w:type="continuationSeparator" w:id="0">
    <w:p w:rsidR="00C62364" w:rsidRDefault="00C62364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BDC4230" wp14:editId="0BE4026F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EWS-RELEASE-EN"/>
  </w:docVars>
  <w:rsids>
    <w:rsidRoot w:val="00455E47"/>
    <w:rsid w:val="000043EF"/>
    <w:rsid w:val="00014E8E"/>
    <w:rsid w:val="00017E29"/>
    <w:rsid w:val="00036DAA"/>
    <w:rsid w:val="000535B7"/>
    <w:rsid w:val="00067DD3"/>
    <w:rsid w:val="00073140"/>
    <w:rsid w:val="0008626C"/>
    <w:rsid w:val="00094CB0"/>
    <w:rsid w:val="000C6200"/>
    <w:rsid w:val="00105BFC"/>
    <w:rsid w:val="00107C96"/>
    <w:rsid w:val="00172A72"/>
    <w:rsid w:val="0017713E"/>
    <w:rsid w:val="001800D0"/>
    <w:rsid w:val="001A1DFC"/>
    <w:rsid w:val="001A1E99"/>
    <w:rsid w:val="001A3338"/>
    <w:rsid w:val="001C795A"/>
    <w:rsid w:val="001D5C26"/>
    <w:rsid w:val="001F70B4"/>
    <w:rsid w:val="00223753"/>
    <w:rsid w:val="00233C29"/>
    <w:rsid w:val="00253073"/>
    <w:rsid w:val="002557B0"/>
    <w:rsid w:val="002646E4"/>
    <w:rsid w:val="00264C84"/>
    <w:rsid w:val="00266BEB"/>
    <w:rsid w:val="0027252D"/>
    <w:rsid w:val="0028141E"/>
    <w:rsid w:val="002948E2"/>
    <w:rsid w:val="00296A55"/>
    <w:rsid w:val="002A61F7"/>
    <w:rsid w:val="002B05CE"/>
    <w:rsid w:val="002B45AC"/>
    <w:rsid w:val="002E3E37"/>
    <w:rsid w:val="002F4635"/>
    <w:rsid w:val="0033158E"/>
    <w:rsid w:val="0036121D"/>
    <w:rsid w:val="00380ED6"/>
    <w:rsid w:val="00387D02"/>
    <w:rsid w:val="003901FB"/>
    <w:rsid w:val="003A34C2"/>
    <w:rsid w:val="003B1924"/>
    <w:rsid w:val="003B41B1"/>
    <w:rsid w:val="003C0395"/>
    <w:rsid w:val="003E4019"/>
    <w:rsid w:val="004137B0"/>
    <w:rsid w:val="00420D47"/>
    <w:rsid w:val="004221D3"/>
    <w:rsid w:val="0044111C"/>
    <w:rsid w:val="00445080"/>
    <w:rsid w:val="0045468D"/>
    <w:rsid w:val="00455E47"/>
    <w:rsid w:val="00483DD1"/>
    <w:rsid w:val="004847FB"/>
    <w:rsid w:val="00487571"/>
    <w:rsid w:val="004A2647"/>
    <w:rsid w:val="004C3028"/>
    <w:rsid w:val="004C5E25"/>
    <w:rsid w:val="004D6E0C"/>
    <w:rsid w:val="004F7E64"/>
    <w:rsid w:val="00520EF1"/>
    <w:rsid w:val="005223D7"/>
    <w:rsid w:val="00542CEE"/>
    <w:rsid w:val="00573F11"/>
    <w:rsid w:val="00575AC6"/>
    <w:rsid w:val="005A0DC8"/>
    <w:rsid w:val="005B05A0"/>
    <w:rsid w:val="005B0882"/>
    <w:rsid w:val="005B1B63"/>
    <w:rsid w:val="005B6E13"/>
    <w:rsid w:val="005B7C0E"/>
    <w:rsid w:val="005C4033"/>
    <w:rsid w:val="005D6F6F"/>
    <w:rsid w:val="006116D9"/>
    <w:rsid w:val="00623A55"/>
    <w:rsid w:val="0063677C"/>
    <w:rsid w:val="00656B61"/>
    <w:rsid w:val="00666108"/>
    <w:rsid w:val="00666A63"/>
    <w:rsid w:val="00690A8D"/>
    <w:rsid w:val="006A49C6"/>
    <w:rsid w:val="006B7911"/>
    <w:rsid w:val="00730132"/>
    <w:rsid w:val="00773814"/>
    <w:rsid w:val="00791F09"/>
    <w:rsid w:val="007B026A"/>
    <w:rsid w:val="007B0E03"/>
    <w:rsid w:val="007B1CCD"/>
    <w:rsid w:val="007B4094"/>
    <w:rsid w:val="007B6F51"/>
    <w:rsid w:val="00813FB5"/>
    <w:rsid w:val="00836620"/>
    <w:rsid w:val="00841E86"/>
    <w:rsid w:val="00850992"/>
    <w:rsid w:val="00881730"/>
    <w:rsid w:val="008A10C6"/>
    <w:rsid w:val="008C1172"/>
    <w:rsid w:val="008D54B3"/>
    <w:rsid w:val="008F177B"/>
    <w:rsid w:val="008F399E"/>
    <w:rsid w:val="00902300"/>
    <w:rsid w:val="00914CD6"/>
    <w:rsid w:val="00937FCB"/>
    <w:rsid w:val="00955F0C"/>
    <w:rsid w:val="00974A27"/>
    <w:rsid w:val="0099769A"/>
    <w:rsid w:val="009A242E"/>
    <w:rsid w:val="009A28FB"/>
    <w:rsid w:val="009D6255"/>
    <w:rsid w:val="009F4FB0"/>
    <w:rsid w:val="00A0788A"/>
    <w:rsid w:val="00A14B5A"/>
    <w:rsid w:val="00A16B77"/>
    <w:rsid w:val="00A311EF"/>
    <w:rsid w:val="00A3254D"/>
    <w:rsid w:val="00A661E2"/>
    <w:rsid w:val="00A856B7"/>
    <w:rsid w:val="00A866F3"/>
    <w:rsid w:val="00AA5549"/>
    <w:rsid w:val="00AD7BFC"/>
    <w:rsid w:val="00AE093C"/>
    <w:rsid w:val="00AE1738"/>
    <w:rsid w:val="00AF13B3"/>
    <w:rsid w:val="00AF259D"/>
    <w:rsid w:val="00B11B73"/>
    <w:rsid w:val="00B25554"/>
    <w:rsid w:val="00B272F1"/>
    <w:rsid w:val="00B51E08"/>
    <w:rsid w:val="00B53BC6"/>
    <w:rsid w:val="00B57464"/>
    <w:rsid w:val="00B61036"/>
    <w:rsid w:val="00B72DD3"/>
    <w:rsid w:val="00B7335C"/>
    <w:rsid w:val="00B92848"/>
    <w:rsid w:val="00B97BC5"/>
    <w:rsid w:val="00BB60CF"/>
    <w:rsid w:val="00BF1E3B"/>
    <w:rsid w:val="00C36BC1"/>
    <w:rsid w:val="00C61C85"/>
    <w:rsid w:val="00C62364"/>
    <w:rsid w:val="00C628C4"/>
    <w:rsid w:val="00C63254"/>
    <w:rsid w:val="00C64132"/>
    <w:rsid w:val="00C874C0"/>
    <w:rsid w:val="00CA2FF5"/>
    <w:rsid w:val="00CB49DA"/>
    <w:rsid w:val="00CC1F19"/>
    <w:rsid w:val="00CC4FDA"/>
    <w:rsid w:val="00CC6A8B"/>
    <w:rsid w:val="00D01335"/>
    <w:rsid w:val="00D03EC6"/>
    <w:rsid w:val="00D3312B"/>
    <w:rsid w:val="00D344A1"/>
    <w:rsid w:val="00D37865"/>
    <w:rsid w:val="00D57367"/>
    <w:rsid w:val="00D84AE3"/>
    <w:rsid w:val="00D92A34"/>
    <w:rsid w:val="00E03346"/>
    <w:rsid w:val="00E321BA"/>
    <w:rsid w:val="00E57C9D"/>
    <w:rsid w:val="00E66CCD"/>
    <w:rsid w:val="00E81F3D"/>
    <w:rsid w:val="00E83FC3"/>
    <w:rsid w:val="00EC5681"/>
    <w:rsid w:val="00EE23CC"/>
    <w:rsid w:val="00F06CDE"/>
    <w:rsid w:val="00F21CA9"/>
    <w:rsid w:val="00F24096"/>
    <w:rsid w:val="00F31EBE"/>
    <w:rsid w:val="00F414EF"/>
    <w:rsid w:val="00F4327A"/>
    <w:rsid w:val="00F47542"/>
    <w:rsid w:val="00F53DF3"/>
    <w:rsid w:val="00FA4BA7"/>
    <w:rsid w:val="00FA4E91"/>
    <w:rsid w:val="00FB351B"/>
    <w:rsid w:val="00FC0187"/>
    <w:rsid w:val="00FE15C2"/>
    <w:rsid w:val="00FE3721"/>
    <w:rsid w:val="00FE4789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233C29"/>
    <w:pPr>
      <w:tabs>
        <w:tab w:val="left" w:pos="5205"/>
      </w:tabs>
      <w:spacing w:before="12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FA4BA7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C64132"/>
    <w:pPr>
      <w:spacing w:after="260" w:line="260" w:lineRule="exact"/>
      <w:ind w:right="-142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64132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  <w:style w:type="paragraph" w:customStyle="1" w:styleId="Default">
    <w:name w:val="Default"/>
    <w:rsid w:val="00C6413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233C29"/>
    <w:pPr>
      <w:tabs>
        <w:tab w:val="left" w:pos="5205"/>
      </w:tabs>
      <w:spacing w:before="12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FA4BA7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C64132"/>
    <w:pPr>
      <w:spacing w:after="260" w:line="260" w:lineRule="exact"/>
      <w:ind w:right="-142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64132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  <w:style w:type="paragraph" w:customStyle="1" w:styleId="Default">
    <w:name w:val="Default"/>
    <w:rsid w:val="00C6413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glima\AppData\Local\Microsoft\Windows\Temporary%20Internet%20Files\Content.Outlook\TG4EDJL5\www.emcdda.europa.eu\activities\action-on-new-dru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OJ:JOL_2015_275_R_0010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DD71-F8E3-40F9-BE07-5586185E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news-release-EN</Template>
  <TotalTime>17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10</cp:revision>
  <cp:lastPrinted>2015-10-20T09:10:00Z</cp:lastPrinted>
  <dcterms:created xsi:type="dcterms:W3CDTF">2015-10-20T08:20:00Z</dcterms:created>
  <dcterms:modified xsi:type="dcterms:W3CDTF">2015-10-20T09:13:00Z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