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EA3E2F">
        <w:trPr>
          <w:trHeight w:val="1273"/>
        </w:trPr>
        <w:tc>
          <w:tcPr>
            <w:tcW w:w="2331" w:type="pct"/>
          </w:tcPr>
          <w:p w:rsidR="00EE23CC" w:rsidRDefault="00D4714F" w:rsidP="00EE23CC"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1A7E3B46" wp14:editId="77B4A2AD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D4714F" w:rsidP="001F70B4"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67D1B42A" wp14:editId="72F9B00F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30E" w:rsidRPr="009567A6" w:rsidRDefault="009B430E" w:rsidP="00A5649D">
      <w:pPr>
        <w:pStyle w:val="newsTitle"/>
        <w:rPr>
          <w:b/>
        </w:rPr>
      </w:pPr>
      <w:r>
        <w:t xml:space="preserve">Prémio </w:t>
      </w:r>
      <w:r w:rsidR="008A3B27">
        <w:t>de escrita</w:t>
      </w:r>
      <w:r>
        <w:t xml:space="preserve"> Científic</w:t>
      </w:r>
      <w:r w:rsidR="008A3B27">
        <w:t>a</w:t>
      </w:r>
      <w:r>
        <w:t xml:space="preserve"> 2015 do EMCDDA — LISBOA</w:t>
      </w:r>
    </w:p>
    <w:p w:rsidR="009B430E" w:rsidRPr="002A6B44" w:rsidRDefault="009B430E" w:rsidP="002A6B44">
      <w:pPr>
        <w:pStyle w:val="newsSubTitle"/>
      </w:pPr>
      <w:r w:rsidRPr="002A6B44">
        <w:t xml:space="preserve">Cerimónia anual </w:t>
      </w:r>
      <w:r w:rsidR="008A3B27" w:rsidRPr="002A6B44">
        <w:t>para distinguir a</w:t>
      </w:r>
      <w:r w:rsidRPr="002A6B44">
        <w:t xml:space="preserve"> excelência </w:t>
      </w:r>
      <w:r w:rsidR="008A3B27" w:rsidRPr="002A6B44">
        <w:t>d</w:t>
      </w:r>
      <w:r w:rsidRPr="002A6B44">
        <w:t>a escrita científica sobre drogas ilícitas</w:t>
      </w:r>
    </w:p>
    <w:p w:rsidR="00D5579D" w:rsidRDefault="009B430E" w:rsidP="00D5579D">
      <w:pPr>
        <w:pStyle w:val="newsContent"/>
      </w:pPr>
      <w:r w:rsidRPr="002A6B44">
        <w:t>(2</w:t>
      </w:r>
      <w:r w:rsidR="00687022">
        <w:t>2</w:t>
      </w:r>
      <w:r w:rsidRPr="002A6B44">
        <w:t>.9</w:t>
      </w:r>
      <w:r>
        <w:t xml:space="preserve">.2015, LISBOA) Os vencedores do </w:t>
      </w:r>
      <w:r>
        <w:rPr>
          <w:b/>
        </w:rPr>
        <w:t xml:space="preserve">Prémio </w:t>
      </w:r>
      <w:r w:rsidR="008A3B27">
        <w:rPr>
          <w:b/>
        </w:rPr>
        <w:t>de escrita</w:t>
      </w:r>
      <w:r>
        <w:rPr>
          <w:b/>
        </w:rPr>
        <w:t xml:space="preserve"> </w:t>
      </w:r>
      <w:r w:rsidR="008A3B27">
        <w:rPr>
          <w:b/>
        </w:rPr>
        <w:t>c</w:t>
      </w:r>
      <w:r>
        <w:rPr>
          <w:b/>
        </w:rPr>
        <w:t>ientífic</w:t>
      </w:r>
      <w:r w:rsidR="008A3B27">
        <w:rPr>
          <w:b/>
        </w:rPr>
        <w:t>a</w:t>
      </w:r>
      <w:r w:rsidR="00CC2F88">
        <w:rPr>
          <w:b/>
        </w:rPr>
        <w:t xml:space="preserve"> 2015 do Observatório Europeu da Droga e da Toxicodependência (E</w:t>
      </w:r>
      <w:r>
        <w:rPr>
          <w:b/>
        </w:rPr>
        <w:t>MCDDA</w:t>
      </w:r>
      <w:r w:rsidR="00CC2F88">
        <w:rPr>
          <w:b/>
        </w:rPr>
        <w:t>)</w:t>
      </w:r>
      <w:r>
        <w:rPr>
          <w:b/>
        </w:rPr>
        <w:t xml:space="preserve"> </w:t>
      </w:r>
      <w:r>
        <w:t xml:space="preserve">irão reunir-se em Lisboa, no dia 23 de setembro, </w:t>
      </w:r>
      <w:r w:rsidR="00CC314D">
        <w:t>para a</w:t>
      </w:r>
      <w:r>
        <w:t xml:space="preserve"> quinta cerimónia anual de entrega de prémios organizada pela </w:t>
      </w:r>
      <w:r w:rsidRPr="00CC2F88">
        <w:t xml:space="preserve">agência da </w:t>
      </w:r>
      <w:r w:rsidR="002A6B44" w:rsidRPr="00CC2F88">
        <w:t>EU</w:t>
      </w:r>
      <w:r w:rsidR="00D5579D">
        <w:rPr>
          <w:b/>
        </w:rPr>
        <w:t xml:space="preserve"> </w:t>
      </w:r>
      <w:r w:rsidR="00D5579D" w:rsidRPr="00D5579D">
        <w:t>(</w:t>
      </w:r>
      <w:r w:rsidR="00D5579D" w:rsidRPr="00D5579D">
        <w:rPr>
          <w:vertAlign w:val="superscript"/>
        </w:rPr>
        <w:t>1</w:t>
      </w:r>
      <w:r w:rsidR="00D5579D" w:rsidRPr="00D5579D">
        <w:t>)</w:t>
      </w:r>
      <w:r w:rsidRPr="00D5579D">
        <w:t>.</w:t>
      </w:r>
      <w:r>
        <w:t xml:space="preserve"> Os autores galardoados receberão um prémio não monetário pelos seus artigos, à margem da conferência </w:t>
      </w:r>
      <w:r>
        <w:rPr>
          <w:i/>
        </w:rPr>
        <w:t>Lisbon Addictions 2015</w:t>
      </w:r>
      <w:r>
        <w:t>, que terá início esta semana na capital portuguesa</w:t>
      </w:r>
      <w:r w:rsidR="00D5579D">
        <w:t xml:space="preserve"> </w:t>
      </w:r>
      <w:r w:rsidR="00D5579D" w:rsidRPr="00D5579D">
        <w:t>(</w:t>
      </w:r>
      <w:r w:rsidR="00D5579D">
        <w:rPr>
          <w:vertAlign w:val="superscript"/>
        </w:rPr>
        <w:t>2</w:t>
      </w:r>
      <w:r w:rsidR="00D5579D" w:rsidRPr="00D5579D">
        <w:t>)</w:t>
      </w:r>
      <w:r w:rsidR="00D5579D">
        <w:t>.</w:t>
      </w:r>
    </w:p>
    <w:p w:rsidR="009D688E" w:rsidRDefault="009B430E" w:rsidP="00D5579D">
      <w:pPr>
        <w:pStyle w:val="newsContent"/>
      </w:pPr>
      <w:r>
        <w:t xml:space="preserve">O prémio, criado em 2011 pelo </w:t>
      </w:r>
      <w:r w:rsidR="00CC2F88">
        <w:rPr>
          <w:b/>
        </w:rPr>
        <w:t>Observatório</w:t>
      </w:r>
      <w:r w:rsidR="00CC2F88">
        <w:t xml:space="preserve"> </w:t>
      </w:r>
      <w:r>
        <w:t xml:space="preserve">e pelo seu </w:t>
      </w:r>
      <w:r>
        <w:rPr>
          <w:b/>
        </w:rPr>
        <w:t>Comité Científico</w:t>
      </w:r>
      <w:r>
        <w:t xml:space="preserve">, </w:t>
      </w:r>
      <w:r w:rsidR="00CC314D">
        <w:t>distingue</w:t>
      </w:r>
      <w:r>
        <w:t xml:space="preserve"> a escrita científica e</w:t>
      </w:r>
      <w:r w:rsidR="00CC314D">
        <w:t xml:space="preserve"> a elevada qualidade</w:t>
      </w:r>
      <w:r>
        <w:t xml:space="preserve"> </w:t>
      </w:r>
      <w:r w:rsidR="00CC314D" w:rsidRPr="002A6B44">
        <w:t>d</w:t>
      </w:r>
      <w:r w:rsidRPr="002A6B44">
        <w:t>a</w:t>
      </w:r>
      <w:r>
        <w:t xml:space="preserve"> investigação no domínio das drogas ilícitas. Este ano, os membros do Comité Científico, os pontos focais nacionais da rede Reitox, as </w:t>
      </w:r>
      <w:r w:rsidR="008932B2">
        <w:t xml:space="preserve">associações e as </w:t>
      </w:r>
      <w:r>
        <w:t>revistas</w:t>
      </w:r>
      <w:r w:rsidR="00CC314D">
        <w:t xml:space="preserve"> científicas</w:t>
      </w:r>
      <w:r>
        <w:t xml:space="preserve"> europeias </w:t>
      </w:r>
      <w:r w:rsidR="00CC314D">
        <w:t>especializadas na área das drogas</w:t>
      </w:r>
      <w:r>
        <w:t xml:space="preserve"> e o</w:t>
      </w:r>
      <w:r w:rsidR="00CC314D">
        <w:t>s membros do</w:t>
      </w:r>
      <w:r>
        <w:t xml:space="preserve"> pessoal do </w:t>
      </w:r>
      <w:r>
        <w:rPr>
          <w:b/>
        </w:rPr>
        <w:t>EMCDDA</w:t>
      </w:r>
      <w:r w:rsidR="00CC314D">
        <w:rPr>
          <w:b/>
        </w:rPr>
        <w:t xml:space="preserve"> </w:t>
      </w:r>
      <w:r w:rsidR="00CC314D">
        <w:t>nomearam mais de 50 artigos, de entre cinco categorias</w:t>
      </w:r>
      <w:r>
        <w:t xml:space="preserve">. Os artigos </w:t>
      </w:r>
      <w:r w:rsidR="00EC03C0">
        <w:t>premiados</w:t>
      </w:r>
      <w:r>
        <w:t xml:space="preserve"> em 2015, que serão apresentados na</w:t>
      </w:r>
      <w:r w:rsidR="00E41BF9">
        <w:t xml:space="preserve"> cerimónia, são os seguintes:</w:t>
      </w:r>
    </w:p>
    <w:p w:rsidR="002136C8" w:rsidRDefault="005630BE" w:rsidP="002136C8">
      <w:pPr>
        <w:pStyle w:val="newsContent"/>
        <w:numPr>
          <w:ilvl w:val="0"/>
          <w:numId w:val="6"/>
        </w:numPr>
        <w:spacing w:after="0"/>
        <w:ind w:left="284" w:hanging="284"/>
      </w:pPr>
      <w:r>
        <w:t>«</w:t>
      </w:r>
      <w:r>
        <w:rPr>
          <w:i/>
        </w:rPr>
        <w:t>Pregnenolone can protect the brain from</w:t>
      </w:r>
      <w:r>
        <w:t xml:space="preserve"> cannabis </w:t>
      </w:r>
      <w:r>
        <w:rPr>
          <w:i/>
        </w:rPr>
        <w:t>intoxication</w:t>
      </w:r>
      <w:r>
        <w:t xml:space="preserve">» (2014) (A pregnenolona pode proteger o cérebro contra a intoxicação por </w:t>
      </w:r>
      <w:r>
        <w:rPr>
          <w:i/>
        </w:rPr>
        <w:t>cannabis</w:t>
      </w:r>
      <w:r>
        <w:t xml:space="preserve">), autora principal </w:t>
      </w:r>
      <w:r>
        <w:rPr>
          <w:b/>
        </w:rPr>
        <w:t>Monique Vallée</w:t>
      </w:r>
      <w:r>
        <w:t xml:space="preserve"> (França). Publicado na revista </w:t>
      </w:r>
      <w:r>
        <w:rPr>
          <w:i/>
        </w:rPr>
        <w:t>Science</w:t>
      </w:r>
      <w:r w:rsidR="00156588">
        <w:t xml:space="preserve">, </w:t>
      </w:r>
      <w:r>
        <w:t>343, 6166, pp.</w:t>
      </w:r>
      <w:r w:rsidR="002A6B44">
        <w:t xml:space="preserve"> </w:t>
      </w:r>
      <w:r>
        <w:t>94–98.</w:t>
      </w:r>
    </w:p>
    <w:p w:rsidR="00C97D95" w:rsidRPr="00C97D95" w:rsidRDefault="00C97D95" w:rsidP="002136C8">
      <w:pPr>
        <w:pStyle w:val="newsContent"/>
        <w:spacing w:after="120"/>
        <w:ind w:left="284"/>
      </w:pPr>
      <w:r>
        <w:t>Categoria: Investigação comportamental, neurobiológica e biológica.</w:t>
      </w:r>
    </w:p>
    <w:p w:rsidR="00C97D95" w:rsidRPr="005630BE" w:rsidRDefault="005630BE" w:rsidP="002136C8">
      <w:pPr>
        <w:pStyle w:val="newsContent"/>
        <w:numPr>
          <w:ilvl w:val="0"/>
          <w:numId w:val="6"/>
        </w:numPr>
        <w:spacing w:after="120"/>
        <w:ind w:left="284" w:right="-144" w:hanging="284"/>
      </w:pPr>
      <w:r w:rsidRPr="00156588">
        <w:t>«</w:t>
      </w:r>
      <w:r w:rsidRPr="00D5579D">
        <w:rPr>
          <w:i/>
        </w:rPr>
        <w:t>Challenges of surveying wastewater drug loads of small populations and generalizable</w:t>
      </w:r>
      <w:r w:rsidR="002A6B44" w:rsidRPr="00D5579D">
        <w:rPr>
          <w:i/>
        </w:rPr>
        <w:t xml:space="preserve"> </w:t>
      </w:r>
      <w:r w:rsidRPr="00D5579D">
        <w:rPr>
          <w:i/>
        </w:rPr>
        <w:t>aspects on optimizing monitoring design</w:t>
      </w:r>
      <w:r w:rsidRPr="00156588">
        <w:t>» (2014) (</w:t>
      </w:r>
      <w:r w:rsidR="00B76113" w:rsidRPr="00156588">
        <w:t>Desafios na pesquisa</w:t>
      </w:r>
      <w:r w:rsidRPr="00156588">
        <w:t xml:space="preserve"> das quantidades de droga presentes nas águas residuais, provenientes de pequenas populações, e aspetos generalizados para otimizar </w:t>
      </w:r>
      <w:r w:rsidR="00B547DB" w:rsidRPr="00156588">
        <w:t>o processo</w:t>
      </w:r>
      <w:r w:rsidRPr="00156588">
        <w:t xml:space="preserve"> d</w:t>
      </w:r>
      <w:r w:rsidR="00B547DB" w:rsidRPr="00156588">
        <w:t>e</w:t>
      </w:r>
      <w:r w:rsidRPr="00156588">
        <w:t xml:space="preserve"> monitorização», autor principal </w:t>
      </w:r>
      <w:r w:rsidRPr="00D5579D">
        <w:rPr>
          <w:b/>
        </w:rPr>
        <w:t xml:space="preserve">Christoph Ort </w:t>
      </w:r>
      <w:r w:rsidRPr="00156588">
        <w:t>(Suíça</w:t>
      </w:r>
      <w:r w:rsidR="00156588" w:rsidRPr="00156588">
        <w:t xml:space="preserve">, </w:t>
      </w:r>
      <w:r w:rsidR="00B143CE">
        <w:t>fazendo-se acompanhar pelo</w:t>
      </w:r>
      <w:r w:rsidR="00A5649D">
        <w:t xml:space="preserve"> </w:t>
      </w:r>
      <w:r w:rsidR="00B143CE">
        <w:t xml:space="preserve">       </w:t>
      </w:r>
      <w:r w:rsidR="00A5649D">
        <w:t xml:space="preserve">co-autor suiço </w:t>
      </w:r>
      <w:r w:rsidR="00156588" w:rsidRPr="00D5579D">
        <w:rPr>
          <w:rFonts w:eastAsiaTheme="minorHAnsi"/>
          <w:lang w:eastAsia="en-US"/>
        </w:rPr>
        <w:t>Jonas Eppler</w:t>
      </w:r>
      <w:r w:rsidR="00156588" w:rsidRPr="00D5579D">
        <w:rPr>
          <w:rFonts w:eastAsiaTheme="minorHAnsi"/>
        </w:rPr>
        <w:t>).</w:t>
      </w:r>
      <w:r w:rsidR="00D5579D" w:rsidRPr="00D5579D">
        <w:rPr>
          <w:rFonts w:eastAsiaTheme="minorHAnsi"/>
        </w:rPr>
        <w:t xml:space="preserve"> </w:t>
      </w:r>
      <w:r>
        <w:t xml:space="preserve">Publicado na revista </w:t>
      </w:r>
      <w:r w:rsidRPr="00D5579D">
        <w:rPr>
          <w:i/>
        </w:rPr>
        <w:t>Addiction</w:t>
      </w:r>
      <w:r>
        <w:t xml:space="preserve">, 109, 3, pp. 472–481. </w:t>
      </w:r>
      <w:r w:rsidR="00D5579D">
        <w:t xml:space="preserve">                                                      </w:t>
      </w:r>
      <w:r>
        <w:t>Categoria: Investigação</w:t>
      </w:r>
      <w:r w:rsidR="00074CE9">
        <w:t xml:space="preserve"> epidemiológica</w:t>
      </w:r>
      <w:r>
        <w:t xml:space="preserve"> </w:t>
      </w:r>
      <w:r w:rsidR="00074CE9">
        <w:t xml:space="preserve">e baseada </w:t>
      </w:r>
      <w:r w:rsidR="00993135">
        <w:t>nas</w:t>
      </w:r>
      <w:r>
        <w:t xml:space="preserve">  populaç</w:t>
      </w:r>
      <w:r w:rsidR="00993135">
        <w:t>ões</w:t>
      </w:r>
      <w:r>
        <w:t>.</w:t>
      </w:r>
    </w:p>
    <w:p w:rsidR="002136C8" w:rsidRDefault="00930F16" w:rsidP="002136C8">
      <w:pPr>
        <w:pStyle w:val="newsContent"/>
        <w:numPr>
          <w:ilvl w:val="0"/>
          <w:numId w:val="6"/>
        </w:numPr>
        <w:spacing w:after="0"/>
        <w:ind w:left="284" w:hanging="284"/>
      </w:pPr>
      <w:r>
        <w:t>«</w:t>
      </w:r>
      <w:r>
        <w:rPr>
          <w:i/>
        </w:rPr>
        <w:t xml:space="preserve">Use of contingency management incentives to improve completion of hepatitis B vaccination in people undergoing treatment for heroin dependence: </w:t>
      </w:r>
      <w:r w:rsidR="007A213C">
        <w:rPr>
          <w:i/>
        </w:rPr>
        <w:t>o cluster</w:t>
      </w:r>
      <w:r>
        <w:rPr>
          <w:i/>
        </w:rPr>
        <w:t xml:space="preserve"> randomised trial</w:t>
      </w:r>
      <w:r>
        <w:t>» (2014)</w:t>
      </w:r>
      <w:r w:rsidR="00CC2F88">
        <w:t xml:space="preserve">                       </w:t>
      </w:r>
      <w:r>
        <w:t>(Utilização</w:t>
      </w:r>
      <w:r w:rsidR="00CC2F88">
        <w:t xml:space="preserve"> </w:t>
      </w:r>
      <w:r>
        <w:t xml:space="preserve">de incentivos de gestão de contingências para melhorar </w:t>
      </w:r>
      <w:r w:rsidR="003C2FF3">
        <w:t>a realização d</w:t>
      </w:r>
      <w:r>
        <w:t xml:space="preserve">a vacinação contra a hepatite B </w:t>
      </w:r>
      <w:r w:rsidR="007452C1">
        <w:t>em</w:t>
      </w:r>
      <w:r>
        <w:t xml:space="preserve"> pessoas </w:t>
      </w:r>
      <w:r w:rsidR="007452C1">
        <w:t>submetidas ao</w:t>
      </w:r>
      <w:r>
        <w:t xml:space="preserve"> tratamento por dependência da heroína:</w:t>
      </w:r>
      <w:r w:rsidR="00CC2F88">
        <w:t xml:space="preserve"> </w:t>
      </w:r>
      <w:r>
        <w:t xml:space="preserve">um </w:t>
      </w:r>
      <w:r w:rsidR="007A213C">
        <w:t>estudo randomizado</w:t>
      </w:r>
      <w:r w:rsidR="00051DEB">
        <w:t xml:space="preserve"> em</w:t>
      </w:r>
      <w:r>
        <w:t xml:space="preserve"> grupos), autores principais </w:t>
      </w:r>
      <w:r>
        <w:rPr>
          <w:b/>
        </w:rPr>
        <w:t xml:space="preserve">Tim Weaver e Nicola Metrebian </w:t>
      </w:r>
      <w:r>
        <w:t>(Reino Unido). Publicado em</w:t>
      </w:r>
      <w:r w:rsidR="00A5649D">
        <w:t xml:space="preserve"> </w:t>
      </w:r>
      <w:r>
        <w:rPr>
          <w:i/>
        </w:rPr>
        <w:t>The Lancet</w:t>
      </w:r>
      <w:r>
        <w:t>, 384, 9938, pp.153–163.</w:t>
      </w:r>
    </w:p>
    <w:p w:rsidR="00055676" w:rsidRDefault="005630BE" w:rsidP="002136C8">
      <w:pPr>
        <w:pStyle w:val="newsContent"/>
        <w:spacing w:after="120"/>
        <w:ind w:left="284"/>
      </w:pPr>
      <w:r>
        <w:t xml:space="preserve">Categoria: Investigação sobre redução da procura. </w:t>
      </w:r>
    </w:p>
    <w:p w:rsidR="002136C8" w:rsidRDefault="00055676" w:rsidP="002136C8">
      <w:pPr>
        <w:pStyle w:val="newsContent"/>
        <w:numPr>
          <w:ilvl w:val="0"/>
          <w:numId w:val="6"/>
        </w:numPr>
        <w:spacing w:after="0"/>
        <w:ind w:left="284" w:hanging="284"/>
      </w:pPr>
      <w:r>
        <w:t>«</w:t>
      </w:r>
      <w:r>
        <w:rPr>
          <w:i/>
        </w:rPr>
        <w:t>A social cost perspective in the wake of the Portuguese strategy for the fight against drugs</w:t>
      </w:r>
      <w:r>
        <w:t xml:space="preserve">» </w:t>
      </w:r>
      <w:r w:rsidR="00B143CE">
        <w:t xml:space="preserve">                   </w:t>
      </w:r>
      <w:r>
        <w:t xml:space="preserve">(Uma perspetiva dos custos sociais </w:t>
      </w:r>
      <w:r w:rsidR="005509F5">
        <w:t xml:space="preserve">na </w:t>
      </w:r>
      <w:r w:rsidR="007A213C">
        <w:t>sequência da</w:t>
      </w:r>
      <w:r>
        <w:t xml:space="preserve"> estratégia portuguesa de luta contra a droga) (2015/publicado em linha em 2014), autor principal </w:t>
      </w:r>
      <w:r>
        <w:rPr>
          <w:b/>
        </w:rPr>
        <w:t xml:space="preserve">Ricardo Gonçalves </w:t>
      </w:r>
      <w:r>
        <w:t>(Portugal).</w:t>
      </w:r>
    </w:p>
    <w:p w:rsidR="003527E2" w:rsidRDefault="00055676" w:rsidP="002136C8">
      <w:pPr>
        <w:pStyle w:val="newsContent"/>
        <w:spacing w:after="120"/>
        <w:ind w:left="284"/>
      </w:pPr>
      <w:r w:rsidRPr="00D5579D">
        <w:rPr>
          <w:lang w:val="en-GB"/>
        </w:rPr>
        <w:t xml:space="preserve">Publicado em </w:t>
      </w:r>
      <w:r w:rsidRPr="00D5579D">
        <w:rPr>
          <w:i/>
          <w:lang w:val="en-GB"/>
        </w:rPr>
        <w:t>International Journal of Drug Policy</w:t>
      </w:r>
      <w:r w:rsidRPr="00D5579D">
        <w:rPr>
          <w:lang w:val="en-GB"/>
        </w:rPr>
        <w:t xml:space="preserve">, 26, 2, pp.199–209. </w:t>
      </w:r>
      <w:r w:rsidR="00CC2F88">
        <w:rPr>
          <w:lang w:val="en-GB"/>
        </w:rPr>
        <w:t xml:space="preserve">                                                           </w:t>
      </w:r>
      <w:r>
        <w:t>Categoria: Política de luta contra a droga.</w:t>
      </w:r>
    </w:p>
    <w:p w:rsidR="00D5579D" w:rsidRDefault="007F4AD5" w:rsidP="00DF7D4C">
      <w:pPr>
        <w:pStyle w:val="newsContent"/>
        <w:numPr>
          <w:ilvl w:val="0"/>
          <w:numId w:val="6"/>
        </w:numPr>
        <w:spacing w:after="0"/>
        <w:ind w:left="284" w:hanging="284"/>
      </w:pPr>
      <w:r>
        <w:t>«</w:t>
      </w:r>
      <w:r>
        <w:rPr>
          <w:i/>
        </w:rPr>
        <w:t>Hashish revival in Morocco</w:t>
      </w:r>
      <w:r>
        <w:t>» (2014) (</w:t>
      </w:r>
      <w:r w:rsidR="00D5579D">
        <w:t>Resurgimento</w:t>
      </w:r>
      <w:r>
        <w:t xml:space="preserve"> do haxixe em Marrocos), autor principal </w:t>
      </w:r>
      <w:r w:rsidR="00687022">
        <w:t xml:space="preserve">      </w:t>
      </w:r>
      <w:r>
        <w:rPr>
          <w:b/>
        </w:rPr>
        <w:t xml:space="preserve">Pierre-Arnaud Chouvy </w:t>
      </w:r>
      <w:r>
        <w:t xml:space="preserve">(França, representado no evento pelo co-autor marroquino Kenza Afsahi). </w:t>
      </w:r>
      <w:r w:rsidR="00CC2F88">
        <w:t xml:space="preserve">      </w:t>
      </w:r>
      <w:r>
        <w:t xml:space="preserve">Publicado em </w:t>
      </w:r>
      <w:r>
        <w:rPr>
          <w:i/>
        </w:rPr>
        <w:t>International Journal of Drug Policy</w:t>
      </w:r>
      <w:r>
        <w:t>, 25, 3, pp.</w:t>
      </w:r>
      <w:r w:rsidR="00D5579D">
        <w:t xml:space="preserve"> </w:t>
      </w:r>
      <w:r>
        <w:t xml:space="preserve">416–423. </w:t>
      </w:r>
    </w:p>
    <w:p w:rsidR="00930F16" w:rsidRDefault="00D5579D" w:rsidP="00D5579D">
      <w:pPr>
        <w:pStyle w:val="newsContent"/>
        <w:spacing w:after="0"/>
      </w:pPr>
      <w:r>
        <w:t xml:space="preserve">     </w:t>
      </w:r>
      <w:r w:rsidR="007F4AD5">
        <w:t xml:space="preserve">Categoria: Oferta de droga. </w:t>
      </w:r>
    </w:p>
    <w:p w:rsidR="00DF7D4C" w:rsidRPr="003527E2" w:rsidRDefault="00DF7D4C" w:rsidP="00DF7D4C">
      <w:pPr>
        <w:pStyle w:val="newsContent"/>
        <w:spacing w:after="0"/>
        <w:ind w:left="284"/>
      </w:pPr>
      <w:bookmarkStart w:id="0" w:name="_GoBack"/>
      <w:bookmarkEnd w:id="0"/>
    </w:p>
    <w:p w:rsidR="00DF7D4C" w:rsidRDefault="0009508C" w:rsidP="00DF7D4C">
      <w:pPr>
        <w:pStyle w:val="newsContent"/>
        <w:spacing w:after="0"/>
      </w:pPr>
      <w:r>
        <w:rPr>
          <w:b/>
        </w:rPr>
        <w:lastRenderedPageBreak/>
        <w:t>O Prof. Dr. Gerhard Bühringer, Presidente do Comité Científico do EMCDDA</w:t>
      </w:r>
      <w:r w:rsidRPr="007A213C">
        <w:t xml:space="preserve">, </w:t>
      </w:r>
      <w:r w:rsidR="00A16C6C">
        <w:t>disse</w:t>
      </w:r>
      <w:r>
        <w:t xml:space="preserve">: «Este ano, o EMCDDA comemora 20 anos de monitorização </w:t>
      </w:r>
      <w:r w:rsidR="007A213C">
        <w:t xml:space="preserve">do fenómeno da droga na Europa. </w:t>
      </w:r>
      <w:r w:rsidR="00A16C6C">
        <w:t>P</w:t>
      </w:r>
      <w:r>
        <w:t>romo</w:t>
      </w:r>
      <w:r w:rsidR="00A16C6C">
        <w:t>ver</w:t>
      </w:r>
      <w:r>
        <w:t xml:space="preserve"> a excelência científica tem </w:t>
      </w:r>
      <w:r w:rsidR="004E2081">
        <w:t>estado</w:t>
      </w:r>
      <w:r w:rsidR="00D5579D">
        <w:t xml:space="preserve"> </w:t>
      </w:r>
      <w:r w:rsidR="004E2081">
        <w:t>no centro do</w:t>
      </w:r>
      <w:r>
        <w:t xml:space="preserve"> trabalho </w:t>
      </w:r>
      <w:r w:rsidR="004E2081">
        <w:t xml:space="preserve">da agência ao longo deste período, </w:t>
      </w:r>
      <w:r>
        <w:t xml:space="preserve">e foi </w:t>
      </w:r>
      <w:r w:rsidR="00DC4794">
        <w:t>a</w:t>
      </w:r>
      <w:r>
        <w:t xml:space="preserve"> </w:t>
      </w:r>
      <w:r w:rsidR="006462C2">
        <w:t xml:space="preserve">razão </w:t>
      </w:r>
      <w:r w:rsidR="00DC4794">
        <w:t>par</w:t>
      </w:r>
      <w:r>
        <w:t xml:space="preserve">a </w:t>
      </w:r>
      <w:r w:rsidR="006462C2">
        <w:t xml:space="preserve">a </w:t>
      </w:r>
      <w:r>
        <w:t>cria</w:t>
      </w:r>
      <w:r w:rsidR="006462C2">
        <w:t>ção</w:t>
      </w:r>
      <w:r>
        <w:t xml:space="preserve"> </w:t>
      </w:r>
      <w:r w:rsidR="006462C2">
        <w:t>d</w:t>
      </w:r>
      <w:r w:rsidR="00C10A83">
        <w:t>este</w:t>
      </w:r>
      <w:r>
        <w:t xml:space="preserve"> prémio </w:t>
      </w:r>
      <w:r w:rsidR="00A16C6C">
        <w:t>de escrita</w:t>
      </w:r>
      <w:r>
        <w:t xml:space="preserve"> científic</w:t>
      </w:r>
      <w:r w:rsidR="00A16C6C">
        <w:t>a</w:t>
      </w:r>
      <w:r>
        <w:t>. Este prémio permitiu-nos destacar os principais avanços realizados no domínio da</w:t>
      </w:r>
      <w:r w:rsidR="00F50BF5">
        <w:t>s</w:t>
      </w:r>
      <w:r>
        <w:t xml:space="preserve"> droga</w:t>
      </w:r>
      <w:r w:rsidR="00F50BF5">
        <w:t>s</w:t>
      </w:r>
      <w:r>
        <w:t xml:space="preserve"> e chegar a uma comunidade</w:t>
      </w:r>
      <w:r w:rsidR="00794B79">
        <w:t xml:space="preserve"> ativa</w:t>
      </w:r>
      <w:r>
        <w:t xml:space="preserve"> de investigadores em toda a UE</w:t>
      </w:r>
      <w:r w:rsidR="007A213C">
        <w:t xml:space="preserve">, </w:t>
      </w:r>
      <w:r w:rsidR="006462C2">
        <w:t xml:space="preserve">e </w:t>
      </w:r>
      <w:r w:rsidR="00794B79">
        <w:t>ajuda</w:t>
      </w:r>
      <w:r w:rsidR="00095453">
        <w:t>-nos</w:t>
      </w:r>
      <w:r w:rsidR="00794B79">
        <w:t xml:space="preserve"> </w:t>
      </w:r>
      <w:r w:rsidR="00A5649D">
        <w:t>igualmente a</w:t>
      </w:r>
      <w:r>
        <w:t xml:space="preserve"> </w:t>
      </w:r>
      <w:r w:rsidR="00C10A83">
        <w:t>destacar</w:t>
      </w:r>
      <w:r>
        <w:t xml:space="preserve"> as lacunas da investigação </w:t>
      </w:r>
      <w:r w:rsidR="00794B79">
        <w:t xml:space="preserve">no sentido </w:t>
      </w:r>
      <w:r w:rsidR="007A213C">
        <w:t>de melhorar</w:t>
      </w:r>
      <w:r>
        <w:t xml:space="preserve"> as políticas e</w:t>
      </w:r>
      <w:r w:rsidR="00794B79">
        <w:t xml:space="preserve"> as</w:t>
      </w:r>
      <w:r>
        <w:t xml:space="preserve"> práticas».</w:t>
      </w:r>
    </w:p>
    <w:p w:rsidR="00DF7D4C" w:rsidRDefault="00DF7D4C" w:rsidP="00DF7D4C">
      <w:pPr>
        <w:pStyle w:val="newsContent"/>
        <w:spacing w:after="0"/>
      </w:pPr>
    </w:p>
    <w:p w:rsidR="00A5649D" w:rsidRDefault="00A5649D" w:rsidP="007B17CC">
      <w:pPr>
        <w:pStyle w:val="newsContent"/>
        <w:spacing w:after="0" w:line="240" w:lineRule="auto"/>
        <w:rPr>
          <w:b/>
          <w:sz w:val="18"/>
        </w:rPr>
      </w:pPr>
    </w:p>
    <w:p w:rsidR="00A5649D" w:rsidRPr="00B143CE" w:rsidRDefault="00A5649D" w:rsidP="007B17CC">
      <w:pPr>
        <w:pStyle w:val="newsContent"/>
        <w:spacing w:after="0" w:line="240" w:lineRule="auto"/>
        <w:rPr>
          <w:b/>
        </w:rPr>
      </w:pPr>
      <w:r w:rsidRPr="00B143CE">
        <w:rPr>
          <w:b/>
        </w:rPr>
        <w:t>N</w:t>
      </w:r>
      <w:r w:rsidR="00CC2F88">
        <w:rPr>
          <w:b/>
        </w:rPr>
        <w:t>ota</w:t>
      </w:r>
      <w:r w:rsidRPr="00B143CE">
        <w:rPr>
          <w:b/>
        </w:rPr>
        <w:t>s</w:t>
      </w:r>
    </w:p>
    <w:p w:rsidR="00A5649D" w:rsidRDefault="00A5649D" w:rsidP="007B17CC">
      <w:pPr>
        <w:pStyle w:val="newsContent"/>
        <w:spacing w:after="0" w:line="240" w:lineRule="auto"/>
        <w:rPr>
          <w:b/>
          <w:sz w:val="18"/>
        </w:rPr>
      </w:pPr>
    </w:p>
    <w:p w:rsidR="007B17CC" w:rsidRDefault="00377696" w:rsidP="007B17CC">
      <w:pPr>
        <w:pStyle w:val="newsContent"/>
        <w:spacing w:after="0" w:line="240" w:lineRule="auto"/>
        <w:rPr>
          <w:sz w:val="18"/>
        </w:rPr>
      </w:pPr>
      <w:r>
        <w:rPr>
          <w:b/>
          <w:sz w:val="18"/>
        </w:rPr>
        <w:t>Cerimónia de atribuição do prémio:</w:t>
      </w:r>
      <w:r w:rsidR="004152B8">
        <w:rPr>
          <w:sz w:val="18"/>
        </w:rPr>
        <w:t xml:space="preserve"> Quarta</w:t>
      </w:r>
      <w:r>
        <w:rPr>
          <w:sz w:val="18"/>
        </w:rPr>
        <w:t>-feira, 23 de setembro,</w:t>
      </w:r>
      <w:r w:rsidR="00A16C6C">
        <w:rPr>
          <w:sz w:val="18"/>
        </w:rPr>
        <w:t xml:space="preserve"> entre as 18h30 e as 19h30</w:t>
      </w:r>
      <w:r>
        <w:rPr>
          <w:sz w:val="18"/>
        </w:rPr>
        <w:t xml:space="preserve"> na FIL, Parque das Nações (aberta à imprensa</w:t>
      </w:r>
      <w:r w:rsidR="00CC2F88">
        <w:rPr>
          <w:sz w:val="18"/>
        </w:rPr>
        <w:t xml:space="preserve"> — </w:t>
      </w:r>
      <w:hyperlink r:id="rId11" w:history="1">
        <w:r w:rsidR="00CC2F88" w:rsidRPr="009C7827">
          <w:rPr>
            <w:rStyle w:val="Hyperlink"/>
            <w:sz w:val="18"/>
          </w:rPr>
          <w:t>press@emcdda.europa.eu</w:t>
        </w:r>
      </w:hyperlink>
      <w:r>
        <w:rPr>
          <w:sz w:val="18"/>
        </w:rPr>
        <w:t>).</w:t>
      </w:r>
    </w:p>
    <w:p w:rsidR="00D5579D" w:rsidRDefault="00D5579D" w:rsidP="007B17CC">
      <w:pPr>
        <w:pStyle w:val="newsContent"/>
        <w:spacing w:after="0" w:line="240" w:lineRule="auto"/>
        <w:rPr>
          <w:sz w:val="18"/>
        </w:rPr>
      </w:pPr>
    </w:p>
    <w:p w:rsidR="00D5579D" w:rsidRDefault="00A5649D" w:rsidP="00D5579D">
      <w:pPr>
        <w:pStyle w:val="FootnoteText"/>
        <w:rPr>
          <w:rStyle w:val="Hyperlink"/>
          <w:sz w:val="18"/>
          <w:szCs w:val="18"/>
        </w:rPr>
      </w:pPr>
      <w:r w:rsidRPr="00CC2F88">
        <w:rPr>
          <w:sz w:val="18"/>
          <w:szCs w:val="18"/>
        </w:rPr>
        <w:t>(</w:t>
      </w:r>
      <w:r w:rsidRPr="00CC2F88">
        <w:rPr>
          <w:sz w:val="18"/>
          <w:szCs w:val="18"/>
          <w:vertAlign w:val="superscript"/>
        </w:rPr>
        <w:t>1</w:t>
      </w:r>
      <w:r w:rsidRPr="00CC2F88">
        <w:rPr>
          <w:sz w:val="18"/>
          <w:szCs w:val="18"/>
        </w:rPr>
        <w:t xml:space="preserve">) </w:t>
      </w:r>
      <w:r w:rsidR="00D5579D" w:rsidRPr="00CC2F88">
        <w:rPr>
          <w:sz w:val="18"/>
          <w:szCs w:val="18"/>
        </w:rPr>
        <w:t>Para mais informações sobre os artigos finalistas e vencedores</w:t>
      </w:r>
      <w:proofErr w:type="gramStart"/>
      <w:r w:rsidR="00D5579D" w:rsidRPr="00CC2F88">
        <w:rPr>
          <w:sz w:val="18"/>
          <w:szCs w:val="18"/>
        </w:rPr>
        <w:t>,</w:t>
      </w:r>
      <w:proofErr w:type="gramEnd"/>
      <w:r w:rsidR="00D5579D" w:rsidRPr="00CC2F88">
        <w:rPr>
          <w:sz w:val="18"/>
          <w:szCs w:val="18"/>
        </w:rPr>
        <w:t xml:space="preserve"> ver: </w:t>
      </w:r>
      <w:hyperlink r:id="rId12">
        <w:r w:rsidR="00D5579D" w:rsidRPr="00CC2F88">
          <w:rPr>
            <w:rStyle w:val="Hyperlink"/>
            <w:sz w:val="18"/>
            <w:szCs w:val="18"/>
          </w:rPr>
          <w:t>www.emcdda.europa.eu/activities/scientific-paper-award</w:t>
        </w:r>
      </w:hyperlink>
    </w:p>
    <w:p w:rsidR="00CC2F88" w:rsidRPr="00CC2F88" w:rsidRDefault="00CC2F88" w:rsidP="00D5579D">
      <w:pPr>
        <w:pStyle w:val="FootnoteText"/>
        <w:rPr>
          <w:sz w:val="18"/>
          <w:szCs w:val="18"/>
        </w:rPr>
      </w:pPr>
    </w:p>
    <w:p w:rsidR="00D5579D" w:rsidRPr="00CC2F88" w:rsidRDefault="00A5649D" w:rsidP="00D5579D">
      <w:pPr>
        <w:pStyle w:val="FootnoteText"/>
        <w:rPr>
          <w:rStyle w:val="Hyperlink"/>
          <w:sz w:val="18"/>
          <w:szCs w:val="18"/>
        </w:rPr>
      </w:pPr>
      <w:r w:rsidRPr="00CC2F88">
        <w:rPr>
          <w:sz w:val="18"/>
          <w:szCs w:val="18"/>
        </w:rPr>
        <w:t>(</w:t>
      </w:r>
      <w:r w:rsidRPr="00CC2F88">
        <w:rPr>
          <w:sz w:val="18"/>
          <w:szCs w:val="18"/>
          <w:vertAlign w:val="superscript"/>
        </w:rPr>
        <w:t>2</w:t>
      </w:r>
      <w:r w:rsidRPr="00CC2F88">
        <w:rPr>
          <w:sz w:val="18"/>
          <w:szCs w:val="18"/>
        </w:rPr>
        <w:t xml:space="preserve">) </w:t>
      </w:r>
      <w:r w:rsidR="00D5579D" w:rsidRPr="00CC2F88">
        <w:rPr>
          <w:sz w:val="18"/>
          <w:szCs w:val="18"/>
        </w:rPr>
        <w:t xml:space="preserve">Para mais informações sobre a </w:t>
      </w:r>
      <w:r w:rsidR="00D5579D" w:rsidRPr="00CC2F88">
        <w:rPr>
          <w:i/>
          <w:sz w:val="18"/>
          <w:szCs w:val="18"/>
        </w:rPr>
        <w:t>Lisbon Addictions 2015</w:t>
      </w:r>
      <w:proofErr w:type="gramStart"/>
      <w:r w:rsidR="00D5579D" w:rsidRPr="00CC2F88">
        <w:rPr>
          <w:i/>
          <w:sz w:val="18"/>
          <w:szCs w:val="18"/>
        </w:rPr>
        <w:t>,</w:t>
      </w:r>
      <w:proofErr w:type="gramEnd"/>
      <w:r w:rsidR="00D5579D" w:rsidRPr="00CC2F88">
        <w:rPr>
          <w:i/>
          <w:sz w:val="18"/>
          <w:szCs w:val="18"/>
        </w:rPr>
        <w:t xml:space="preserve"> </w:t>
      </w:r>
      <w:r w:rsidR="00D5579D" w:rsidRPr="00CC2F88">
        <w:rPr>
          <w:sz w:val="18"/>
          <w:szCs w:val="18"/>
        </w:rPr>
        <w:t xml:space="preserve">ver </w:t>
      </w:r>
      <w:hyperlink r:id="rId13">
        <w:r w:rsidR="00D5579D" w:rsidRPr="00CC2F88">
          <w:rPr>
            <w:rStyle w:val="Hyperlink"/>
            <w:sz w:val="18"/>
            <w:szCs w:val="18"/>
          </w:rPr>
          <w:t>www.lisbonaddictions.eu</w:t>
        </w:r>
      </w:hyperlink>
    </w:p>
    <w:p w:rsidR="00CC2F88" w:rsidRDefault="00CC2F88" w:rsidP="00D5579D">
      <w:pPr>
        <w:pStyle w:val="FootnoteText"/>
        <w:rPr>
          <w:sz w:val="18"/>
          <w:szCs w:val="18"/>
        </w:rPr>
      </w:pPr>
    </w:p>
    <w:p w:rsidR="00D5579D" w:rsidRPr="00CC2F88" w:rsidRDefault="007A213C" w:rsidP="00D5579D">
      <w:pPr>
        <w:pStyle w:val="FootnoteText"/>
        <w:rPr>
          <w:sz w:val="18"/>
          <w:szCs w:val="18"/>
        </w:rPr>
      </w:pPr>
      <w:r w:rsidRPr="00CC2F88">
        <w:rPr>
          <w:sz w:val="18"/>
          <w:szCs w:val="18"/>
        </w:rPr>
        <w:t>O EMCDDA</w:t>
      </w:r>
      <w:r w:rsidR="00D5579D" w:rsidRPr="00CC2F88">
        <w:rPr>
          <w:sz w:val="18"/>
          <w:szCs w:val="18"/>
        </w:rPr>
        <w:t xml:space="preserve"> organiza também esta semana (nos dias 21 e 22 de setembro) uma conferência técnica para comemorar duas décadas de monitorização</w:t>
      </w:r>
      <w:r w:rsidR="00A5649D" w:rsidRPr="00CC2F88">
        <w:rPr>
          <w:sz w:val="18"/>
          <w:szCs w:val="18"/>
        </w:rPr>
        <w:t xml:space="preserve"> </w:t>
      </w:r>
      <w:hyperlink r:id="rId14" w:history="1">
        <w:r w:rsidR="00A5649D" w:rsidRPr="00CC2F88">
          <w:rPr>
            <w:rStyle w:val="Hyperlink"/>
            <w:sz w:val="18"/>
            <w:szCs w:val="18"/>
          </w:rPr>
          <w:t>www.emcdda.europa.eu/news/2015/nr7/20-years-of-monitoring-conference</w:t>
        </w:r>
      </w:hyperlink>
    </w:p>
    <w:p w:rsidR="00A5649D" w:rsidRPr="00CC2F88" w:rsidRDefault="00A5649D" w:rsidP="00D5579D">
      <w:pPr>
        <w:pStyle w:val="FootnoteText"/>
        <w:rPr>
          <w:sz w:val="18"/>
          <w:szCs w:val="18"/>
        </w:rPr>
      </w:pPr>
    </w:p>
    <w:p w:rsidR="00A5649D" w:rsidRPr="00CC2F88" w:rsidRDefault="00A5649D" w:rsidP="00A5649D">
      <w:pPr>
        <w:pStyle w:val="newsContent"/>
        <w:spacing w:after="0"/>
        <w:rPr>
          <w:sz w:val="18"/>
          <w:szCs w:val="18"/>
        </w:rPr>
      </w:pPr>
    </w:p>
    <w:p w:rsidR="00A5649D" w:rsidRPr="007A213C" w:rsidRDefault="00A5649D" w:rsidP="00D5579D">
      <w:pPr>
        <w:pStyle w:val="FootnoteText"/>
        <w:rPr>
          <w:szCs w:val="16"/>
        </w:rPr>
      </w:pPr>
    </w:p>
    <w:p w:rsidR="00D5579D" w:rsidRPr="007A213C" w:rsidRDefault="00D5579D" w:rsidP="007B17CC">
      <w:pPr>
        <w:pStyle w:val="newsContent"/>
        <w:spacing w:after="0" w:line="240" w:lineRule="auto"/>
        <w:rPr>
          <w:b/>
          <w:sz w:val="18"/>
          <w:szCs w:val="18"/>
        </w:rPr>
      </w:pPr>
    </w:p>
    <w:sectPr w:rsidR="00D5579D" w:rsidRPr="007A213C" w:rsidSect="00CC2F88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381" w:right="1276" w:bottom="113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D8" w:rsidRDefault="00C516D8" w:rsidP="009A28FB">
      <w:pPr>
        <w:spacing w:after="0" w:line="240" w:lineRule="auto"/>
      </w:pPr>
      <w:r>
        <w:separator/>
      </w:r>
    </w:p>
  </w:endnote>
  <w:endnote w:type="continuationSeparator" w:id="0">
    <w:p w:rsidR="00C516D8" w:rsidRDefault="00C516D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F60FD3A" wp14:editId="36DF622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xmlns:o="urn:schemas-microsoft-com:office:office" xmlns:v="urn:schemas-microsoft-com:vml"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xmlns:w10="urn:schemas-microsoft-com:office:word" anchorx="page" anchory="page"/>
                  </v:line>
                </w:pict>
              </mc:Fallback>
            </mc:AlternateContent>
          </w:r>
          <w: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702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2C541F8" wp14:editId="54808BBA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xmlns:o="urn:schemas-microsoft-com:office:office" xmlns:v="urn:schemas-microsoft-com:vml"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xmlns:w10="urn:schemas-microsoft-com:office:word" anchorx="page" anchory="page"/>
                  </v:line>
                </w:pict>
              </mc:Fallback>
            </mc:AlternateContent>
          </w:r>
          <w:r>
            <w:t xml:space="preserve">Contacto: Kathy Robertson, Relações </w:t>
          </w:r>
          <w:r>
            <w:rPr>
              <w:i/>
            </w:rPr>
            <w:t>media</w:t>
          </w:r>
          <w:r>
            <w:t xml:space="preserve"> </w:t>
          </w:r>
          <w:r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DE766B" w:rsidRDefault="0063677C" w:rsidP="003B00EE">
          <w:pPr>
            <w:pStyle w:val="newsCoordinates"/>
          </w:pPr>
          <w:r>
            <w:t xml:space="preserve">Praça Europa 1, Cais do Sodré, 1249-289 Lisboa, Portugal </w:t>
          </w:r>
        </w:p>
        <w:p w:rsidR="0063677C" w:rsidRDefault="0063677C" w:rsidP="003B00EE">
          <w:pPr>
            <w:pStyle w:val="newsCoordinates"/>
          </w:pPr>
          <w:r>
            <w:t xml:space="preserve">Tel.: (351) 211 21 02 00 </w:t>
          </w:r>
          <w:r>
            <w:rPr>
              <w:sz w:val="18"/>
            </w:rPr>
            <w:t xml:space="preserve">I </w:t>
          </w:r>
          <w:r>
            <w:t xml:space="preserve">press@emcdda.europa.eu </w:t>
          </w:r>
          <w:r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A5649D" w:rsidP="00377696">
          <w:pPr>
            <w:pStyle w:val="newsReference"/>
            <w:jc w:val="right"/>
          </w:pPr>
          <w:r>
            <w:t>PT — N.º 8</w:t>
          </w:r>
          <w:r w:rsidR="00377696">
            <w:t>/2015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D8" w:rsidRDefault="00C516D8" w:rsidP="009A28FB">
      <w:pPr>
        <w:spacing w:after="0" w:line="240" w:lineRule="auto"/>
      </w:pPr>
      <w:r>
        <w:separator/>
      </w:r>
    </w:p>
  </w:footnote>
  <w:footnote w:type="continuationSeparator" w:id="0">
    <w:p w:rsidR="00C516D8" w:rsidRDefault="00C516D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Pr="00CC2F88" w:rsidRDefault="00A5649D" w:rsidP="00CC2F88">
          <w:pPr>
            <w:pStyle w:val="newsEmbargo"/>
          </w:pPr>
          <w:r w:rsidRPr="00CC2F88">
            <w:t>Prémio de escrita científica 2015 do EMCDDA</w:t>
          </w:r>
        </w:p>
      </w:tc>
      <w:tc>
        <w:tcPr>
          <w:tcW w:w="3294" w:type="dxa"/>
          <w:vAlign w:val="bottom"/>
        </w:tcPr>
        <w:p w:rsidR="00BF1E3B" w:rsidRDefault="00A5649D" w:rsidP="00687022">
          <w:pPr>
            <w:pStyle w:val="newsReference"/>
            <w:jc w:val="right"/>
          </w:pPr>
          <w:r>
            <w:t>2</w:t>
          </w:r>
          <w:r w:rsidR="00687022">
            <w:t>2</w:t>
          </w:r>
          <w:r>
            <w:t>.9.2015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F20"/>
    <w:multiLevelType w:val="hybridMultilevel"/>
    <w:tmpl w:val="DFCAC7FA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010B"/>
    <w:multiLevelType w:val="multilevel"/>
    <w:tmpl w:val="4F7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633E7"/>
    <w:multiLevelType w:val="multilevel"/>
    <w:tmpl w:val="B280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5B66"/>
    <w:multiLevelType w:val="hybridMultilevel"/>
    <w:tmpl w:val="298081E0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338EF"/>
    <w:multiLevelType w:val="hybridMultilevel"/>
    <w:tmpl w:val="D008466C"/>
    <w:lvl w:ilvl="0" w:tplc="26504B8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D3862"/>
    <w:multiLevelType w:val="hybridMultilevel"/>
    <w:tmpl w:val="0100C2E6"/>
    <w:lvl w:ilvl="0" w:tplc="F6B42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B"/>
    <w:rsid w:val="0000114D"/>
    <w:rsid w:val="0001350E"/>
    <w:rsid w:val="00014E8E"/>
    <w:rsid w:val="00036DAA"/>
    <w:rsid w:val="00051DEB"/>
    <w:rsid w:val="000535B7"/>
    <w:rsid w:val="00055676"/>
    <w:rsid w:val="00067DD3"/>
    <w:rsid w:val="00074CE9"/>
    <w:rsid w:val="0009508C"/>
    <w:rsid w:val="00095453"/>
    <w:rsid w:val="000C6200"/>
    <w:rsid w:val="00105BFC"/>
    <w:rsid w:val="00107C96"/>
    <w:rsid w:val="001143C7"/>
    <w:rsid w:val="00153C56"/>
    <w:rsid w:val="00156588"/>
    <w:rsid w:val="0017713E"/>
    <w:rsid w:val="001800D0"/>
    <w:rsid w:val="001A3338"/>
    <w:rsid w:val="001C795A"/>
    <w:rsid w:val="001D5C26"/>
    <w:rsid w:val="001F70B4"/>
    <w:rsid w:val="002118DF"/>
    <w:rsid w:val="002136C8"/>
    <w:rsid w:val="00223753"/>
    <w:rsid w:val="002557B0"/>
    <w:rsid w:val="002646E4"/>
    <w:rsid w:val="0027252D"/>
    <w:rsid w:val="0028141E"/>
    <w:rsid w:val="002828CC"/>
    <w:rsid w:val="0029430B"/>
    <w:rsid w:val="002948E2"/>
    <w:rsid w:val="002A61F7"/>
    <w:rsid w:val="002A6B44"/>
    <w:rsid w:val="002B05CE"/>
    <w:rsid w:val="002B2F96"/>
    <w:rsid w:val="002B45AC"/>
    <w:rsid w:val="002F4635"/>
    <w:rsid w:val="00311152"/>
    <w:rsid w:val="00325470"/>
    <w:rsid w:val="0033158E"/>
    <w:rsid w:val="003342F1"/>
    <w:rsid w:val="003527E2"/>
    <w:rsid w:val="0036121D"/>
    <w:rsid w:val="00371207"/>
    <w:rsid w:val="00377696"/>
    <w:rsid w:val="00387D02"/>
    <w:rsid w:val="003B41B1"/>
    <w:rsid w:val="003C0395"/>
    <w:rsid w:val="003C2FF3"/>
    <w:rsid w:val="003D30AC"/>
    <w:rsid w:val="00403485"/>
    <w:rsid w:val="004137B0"/>
    <w:rsid w:val="0041407A"/>
    <w:rsid w:val="004152B8"/>
    <w:rsid w:val="004221D3"/>
    <w:rsid w:val="0044111C"/>
    <w:rsid w:val="00445080"/>
    <w:rsid w:val="0045468D"/>
    <w:rsid w:val="004847FB"/>
    <w:rsid w:val="004C3028"/>
    <w:rsid w:val="004D6E0C"/>
    <w:rsid w:val="004E2081"/>
    <w:rsid w:val="00520EF1"/>
    <w:rsid w:val="00542CEE"/>
    <w:rsid w:val="00547A88"/>
    <w:rsid w:val="005509F5"/>
    <w:rsid w:val="005630BE"/>
    <w:rsid w:val="005857AC"/>
    <w:rsid w:val="005A0DC8"/>
    <w:rsid w:val="005B05A0"/>
    <w:rsid w:val="005B0882"/>
    <w:rsid w:val="005B10FB"/>
    <w:rsid w:val="005B1B63"/>
    <w:rsid w:val="005C4033"/>
    <w:rsid w:val="005F0A3D"/>
    <w:rsid w:val="005F2055"/>
    <w:rsid w:val="006116D9"/>
    <w:rsid w:val="00623A55"/>
    <w:rsid w:val="006329B9"/>
    <w:rsid w:val="0063677C"/>
    <w:rsid w:val="006462C2"/>
    <w:rsid w:val="00666A63"/>
    <w:rsid w:val="006721EA"/>
    <w:rsid w:val="0067638D"/>
    <w:rsid w:val="00687022"/>
    <w:rsid w:val="006E6962"/>
    <w:rsid w:val="0070243C"/>
    <w:rsid w:val="00730132"/>
    <w:rsid w:val="007452C1"/>
    <w:rsid w:val="00773814"/>
    <w:rsid w:val="00775868"/>
    <w:rsid w:val="00791F09"/>
    <w:rsid w:val="00794B79"/>
    <w:rsid w:val="007A213C"/>
    <w:rsid w:val="007B0E03"/>
    <w:rsid w:val="007B17CC"/>
    <w:rsid w:val="007B1CCD"/>
    <w:rsid w:val="007C57DF"/>
    <w:rsid w:val="007F4AD5"/>
    <w:rsid w:val="00813FB5"/>
    <w:rsid w:val="008376B4"/>
    <w:rsid w:val="00841E86"/>
    <w:rsid w:val="00861C6E"/>
    <w:rsid w:val="00881730"/>
    <w:rsid w:val="008932B2"/>
    <w:rsid w:val="008A3B27"/>
    <w:rsid w:val="008C1172"/>
    <w:rsid w:val="008C5B19"/>
    <w:rsid w:val="008D54B3"/>
    <w:rsid w:val="008F177B"/>
    <w:rsid w:val="008F399E"/>
    <w:rsid w:val="00902300"/>
    <w:rsid w:val="00930F16"/>
    <w:rsid w:val="00936476"/>
    <w:rsid w:val="00955F0C"/>
    <w:rsid w:val="00974A27"/>
    <w:rsid w:val="00993135"/>
    <w:rsid w:val="009A28FB"/>
    <w:rsid w:val="009B430E"/>
    <w:rsid w:val="009C3C27"/>
    <w:rsid w:val="009D6255"/>
    <w:rsid w:val="009D688E"/>
    <w:rsid w:val="009F4FB0"/>
    <w:rsid w:val="00A0788A"/>
    <w:rsid w:val="00A16B77"/>
    <w:rsid w:val="00A16C6C"/>
    <w:rsid w:val="00A311EF"/>
    <w:rsid w:val="00A3254D"/>
    <w:rsid w:val="00A5649D"/>
    <w:rsid w:val="00A661E2"/>
    <w:rsid w:val="00A856B7"/>
    <w:rsid w:val="00A96386"/>
    <w:rsid w:val="00AD7BFC"/>
    <w:rsid w:val="00AE093C"/>
    <w:rsid w:val="00AE1738"/>
    <w:rsid w:val="00AF13B3"/>
    <w:rsid w:val="00AF259D"/>
    <w:rsid w:val="00B11B73"/>
    <w:rsid w:val="00B11F00"/>
    <w:rsid w:val="00B143CE"/>
    <w:rsid w:val="00B25554"/>
    <w:rsid w:val="00B272F1"/>
    <w:rsid w:val="00B51E08"/>
    <w:rsid w:val="00B547DB"/>
    <w:rsid w:val="00B57464"/>
    <w:rsid w:val="00B61036"/>
    <w:rsid w:val="00B6292C"/>
    <w:rsid w:val="00B72DD3"/>
    <w:rsid w:val="00B7335C"/>
    <w:rsid w:val="00B76113"/>
    <w:rsid w:val="00B97BC5"/>
    <w:rsid w:val="00BB60CF"/>
    <w:rsid w:val="00BF1E3B"/>
    <w:rsid w:val="00BF52BA"/>
    <w:rsid w:val="00C10A83"/>
    <w:rsid w:val="00C36BC1"/>
    <w:rsid w:val="00C516D8"/>
    <w:rsid w:val="00C51CB3"/>
    <w:rsid w:val="00C628C4"/>
    <w:rsid w:val="00C63254"/>
    <w:rsid w:val="00C874C0"/>
    <w:rsid w:val="00C94D4A"/>
    <w:rsid w:val="00C96EA8"/>
    <w:rsid w:val="00C97D95"/>
    <w:rsid w:val="00CA2FF5"/>
    <w:rsid w:val="00CB49DA"/>
    <w:rsid w:val="00CC1F19"/>
    <w:rsid w:val="00CC2F88"/>
    <w:rsid w:val="00CC314D"/>
    <w:rsid w:val="00CC4FDA"/>
    <w:rsid w:val="00CC6A8B"/>
    <w:rsid w:val="00CE6EF0"/>
    <w:rsid w:val="00D01335"/>
    <w:rsid w:val="00D03EC6"/>
    <w:rsid w:val="00D3312B"/>
    <w:rsid w:val="00D37865"/>
    <w:rsid w:val="00D4714F"/>
    <w:rsid w:val="00D5579D"/>
    <w:rsid w:val="00D57367"/>
    <w:rsid w:val="00D637A5"/>
    <w:rsid w:val="00D84AE3"/>
    <w:rsid w:val="00D92A34"/>
    <w:rsid w:val="00DC4794"/>
    <w:rsid w:val="00DD0972"/>
    <w:rsid w:val="00DE766B"/>
    <w:rsid w:val="00DF7D4C"/>
    <w:rsid w:val="00E321BA"/>
    <w:rsid w:val="00E378CC"/>
    <w:rsid w:val="00E41BF9"/>
    <w:rsid w:val="00E57C9D"/>
    <w:rsid w:val="00E66CCD"/>
    <w:rsid w:val="00E81F3D"/>
    <w:rsid w:val="00E83FC3"/>
    <w:rsid w:val="00EA3E2F"/>
    <w:rsid w:val="00EC03C0"/>
    <w:rsid w:val="00EE23CC"/>
    <w:rsid w:val="00EE3A56"/>
    <w:rsid w:val="00EF2E53"/>
    <w:rsid w:val="00F06CDE"/>
    <w:rsid w:val="00F21CA9"/>
    <w:rsid w:val="00F24096"/>
    <w:rsid w:val="00F414EF"/>
    <w:rsid w:val="00F47542"/>
    <w:rsid w:val="00F50BF5"/>
    <w:rsid w:val="00F7442A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A5649D"/>
    <w:pPr>
      <w:tabs>
        <w:tab w:val="left" w:pos="5205"/>
      </w:tabs>
      <w:spacing w:before="22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2A6B44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qFormat/>
    <w:rsid w:val="00377696"/>
    <w:pPr>
      <w:spacing w:after="260" w:line="260" w:lineRule="exact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CC2F88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77696"/>
    <w:rPr>
      <w:rFonts w:ascii="Arial" w:eastAsia="Times New Roman" w:hAnsi="Arial" w:cs="Arial"/>
      <w:color w:val="000000" w:themeColor="text1"/>
      <w:sz w:val="20"/>
      <w:szCs w:val="20"/>
      <w:lang w:eastAsia="pt-PT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eastAsia="Times New Roman" w:hAnsi="Arial" w:cs="Arial"/>
      <w:color w:val="000000" w:themeColor="text1"/>
      <w:sz w:val="17"/>
      <w:szCs w:val="20"/>
      <w:lang w:eastAsia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eastAsia="Times New Roman" w:hAnsi="Arial" w:cs="Arial"/>
      <w:color w:val="000000" w:themeColor="text1"/>
      <w:sz w:val="17"/>
      <w:szCs w:val="20"/>
      <w:vertAlign w:val="superscript"/>
      <w:lang w:eastAsia="pt-PT"/>
    </w:rPr>
  </w:style>
  <w:style w:type="paragraph" w:customStyle="1" w:styleId="Pa5">
    <w:name w:val="Pa5"/>
    <w:basedOn w:val="Normal"/>
    <w:next w:val="Normal"/>
    <w:uiPriority w:val="99"/>
    <w:rsid w:val="00CE6EF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3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7F4A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F4AD5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37769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E2F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E2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6C8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A5649D"/>
    <w:pPr>
      <w:tabs>
        <w:tab w:val="left" w:pos="5205"/>
      </w:tabs>
      <w:spacing w:before="22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2A6B44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qFormat/>
    <w:rsid w:val="00377696"/>
    <w:pPr>
      <w:spacing w:after="260" w:line="260" w:lineRule="exact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CC2F88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77696"/>
    <w:rPr>
      <w:rFonts w:ascii="Arial" w:eastAsia="Times New Roman" w:hAnsi="Arial" w:cs="Arial"/>
      <w:color w:val="000000" w:themeColor="text1"/>
      <w:sz w:val="20"/>
      <w:szCs w:val="20"/>
      <w:lang w:eastAsia="pt-PT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eastAsia="Times New Roman" w:hAnsi="Arial" w:cs="Arial"/>
      <w:color w:val="000000" w:themeColor="text1"/>
      <w:sz w:val="17"/>
      <w:szCs w:val="20"/>
      <w:lang w:eastAsia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eastAsia="Times New Roman" w:hAnsi="Arial" w:cs="Arial"/>
      <w:color w:val="000000" w:themeColor="text1"/>
      <w:sz w:val="17"/>
      <w:szCs w:val="20"/>
      <w:vertAlign w:val="superscript"/>
      <w:lang w:eastAsia="pt-PT"/>
    </w:rPr>
  </w:style>
  <w:style w:type="paragraph" w:customStyle="1" w:styleId="Pa5">
    <w:name w:val="Pa5"/>
    <w:basedOn w:val="Normal"/>
    <w:next w:val="Normal"/>
    <w:uiPriority w:val="99"/>
    <w:rsid w:val="00CE6EF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3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7F4A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F4AD5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37769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E2F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E2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6C8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sbonaddictions.e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activities/scientific-paper-awar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emcdda.europa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news/2015/nr7/20-years-of-monitoring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61B9-5E76-4C17-BB08-71D94381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Translation Centre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3</cp:revision>
  <cp:lastPrinted>2015-09-18T15:44:00Z</cp:lastPrinted>
  <dcterms:created xsi:type="dcterms:W3CDTF">2015-09-21T11:17:00Z</dcterms:created>
  <dcterms:modified xsi:type="dcterms:W3CDTF">2015-09-21T11:18:00Z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