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FF1582" w:rsidRDefault="00FF1582" w:rsidP="00FF1582">
      <w:pPr>
        <w:pStyle w:val="newsTitle"/>
        <w:rPr>
          <w:b/>
        </w:rPr>
      </w:pPr>
      <w:r w:rsidRPr="00FF1582">
        <w:t xml:space="preserve">understanding the dynamics, nature and scale of drug use in europe </w:t>
      </w:r>
    </w:p>
    <w:p w:rsidR="00A16B77" w:rsidRPr="0076167A" w:rsidRDefault="00FF1582" w:rsidP="0076167A">
      <w:pPr>
        <w:pStyle w:val="newsSubTitle"/>
      </w:pPr>
      <w:r w:rsidRPr="0076167A">
        <w:t xml:space="preserve">EMCDDA </w:t>
      </w:r>
      <w:r w:rsidR="0076167A" w:rsidRPr="0076167A">
        <w:t xml:space="preserve">conference: </w:t>
      </w:r>
      <w:r w:rsidRPr="0076167A">
        <w:t>20 years of monitoring</w:t>
      </w:r>
      <w:r w:rsidR="00EB07DA" w:rsidRPr="0076167A">
        <w:t xml:space="preserve"> and communicating evidence on drugs </w:t>
      </w:r>
      <w:r w:rsidRPr="0076167A">
        <w:t xml:space="preserve"> </w:t>
      </w:r>
    </w:p>
    <w:p w:rsidR="00FC07FC" w:rsidRDefault="00FC07FC" w:rsidP="00FC07FC">
      <w:pPr>
        <w:spacing w:after="260" w:line="260" w:lineRule="exact"/>
        <w:rPr>
          <w:rFonts w:ascii="Arial" w:hAnsi="Arial" w:cs="Arial"/>
          <w:color w:val="000000"/>
          <w:sz w:val="20"/>
          <w:szCs w:val="20"/>
        </w:rPr>
      </w:pPr>
      <w:r w:rsidRPr="00DC4707">
        <w:rPr>
          <w:rFonts w:ascii="Arial" w:hAnsi="Arial" w:cs="Arial"/>
          <w:color w:val="000000"/>
          <w:sz w:val="20"/>
          <w:szCs w:val="20"/>
        </w:rPr>
        <w:t>(18.</w:t>
      </w:r>
      <w:r w:rsidRPr="00796252">
        <w:rPr>
          <w:rFonts w:ascii="Arial" w:hAnsi="Arial" w:cs="Arial"/>
          <w:color w:val="000000"/>
          <w:sz w:val="20"/>
          <w:szCs w:val="20"/>
        </w:rPr>
        <w:t>9.2015,</w:t>
      </w:r>
      <w:r>
        <w:rPr>
          <w:rFonts w:ascii="Arial" w:hAnsi="Arial" w:cs="Arial"/>
          <w:color w:val="000000"/>
          <w:sz w:val="20"/>
          <w:szCs w:val="20"/>
        </w:rPr>
        <w:t xml:space="preserve"> LISBON) </w:t>
      </w:r>
      <w:r w:rsidRPr="00E311F1">
        <w:rPr>
          <w:rFonts w:ascii="Arial" w:hAnsi="Arial" w:cs="Arial"/>
          <w:color w:val="000000"/>
          <w:sz w:val="20"/>
          <w:szCs w:val="20"/>
        </w:rPr>
        <w:t>Understanding the dynamics, nature and scale of drug use in Europe,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including lessons learnt and challenges for the future, will be the thrust of an EMCDDA technical conference being held in Lisbon from 21–22 September (</w:t>
      </w:r>
      <w:r w:rsidRPr="00FC07FC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A6"/>
          <w:rFonts w:ascii="Arial" w:hAnsi="Arial" w:cs="Arial"/>
          <w:sz w:val="20"/>
          <w:szCs w:val="20"/>
        </w:rPr>
        <w:t>)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. The event, organised ahead of </w:t>
      </w:r>
      <w:r w:rsidRPr="00FC07FC">
        <w:rPr>
          <w:rFonts w:ascii="Arial" w:hAnsi="Arial" w:cs="Arial"/>
          <w:i/>
          <w:color w:val="000000"/>
          <w:sz w:val="20"/>
          <w:szCs w:val="20"/>
        </w:rPr>
        <w:t>Lisbon Addictions 2015</w:t>
      </w:r>
      <w:r w:rsidR="00287CB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87CB0" w:rsidRPr="00287CB0">
        <w:rPr>
          <w:rFonts w:ascii="Arial" w:hAnsi="Arial" w:cs="Arial"/>
          <w:color w:val="000000"/>
          <w:sz w:val="20"/>
          <w:szCs w:val="20"/>
        </w:rPr>
        <w:t>(</w:t>
      </w:r>
      <w:r w:rsidR="00287CB0" w:rsidRPr="00287CB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87CB0" w:rsidRPr="00287CB0">
        <w:rPr>
          <w:rFonts w:ascii="Arial" w:hAnsi="Arial" w:cs="Arial"/>
          <w:color w:val="000000"/>
          <w:sz w:val="20"/>
          <w:szCs w:val="20"/>
        </w:rPr>
        <w:t>)</w:t>
      </w:r>
      <w:r w:rsidRPr="00287CB0">
        <w:rPr>
          <w:rFonts w:ascii="Arial" w:hAnsi="Arial" w:cs="Arial"/>
          <w:color w:val="000000"/>
          <w:sz w:val="20"/>
          <w:szCs w:val="20"/>
        </w:rPr>
        <w:t>,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commemorates the </w:t>
      </w:r>
      <w:r w:rsidR="002E1C92">
        <w:rPr>
          <w:rFonts w:ascii="Arial" w:hAnsi="Arial" w:cs="Arial"/>
          <w:color w:val="000000"/>
          <w:sz w:val="20"/>
          <w:szCs w:val="20"/>
        </w:rPr>
        <w:t xml:space="preserve">EU </w:t>
      </w:r>
      <w:r w:rsidRPr="007333AC">
        <w:rPr>
          <w:rFonts w:ascii="Arial" w:hAnsi="Arial" w:cs="Arial"/>
          <w:color w:val="000000"/>
          <w:sz w:val="20"/>
          <w:szCs w:val="20"/>
        </w:rPr>
        <w:t>agency’s 20 years of monitorin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="0076167A">
        <w:rPr>
          <w:rFonts w:ascii="Arial" w:hAnsi="Arial" w:cs="Arial"/>
          <w:color w:val="000000"/>
          <w:sz w:val="20"/>
          <w:szCs w:val="20"/>
        </w:rPr>
        <w:t xml:space="preserve"> and communicating evidence on drugs </w:t>
      </w:r>
      <w:r w:rsidR="00287CB0">
        <w:rPr>
          <w:rFonts w:ascii="Arial" w:hAnsi="Arial" w:cs="Arial"/>
          <w:color w:val="000000"/>
          <w:sz w:val="20"/>
          <w:szCs w:val="20"/>
        </w:rPr>
        <w:t>(</w:t>
      </w:r>
      <w:r w:rsidR="00287CB0" w:rsidRPr="00287CB0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="00287CB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C07FC" w:rsidRDefault="00FC07FC" w:rsidP="00014640">
      <w:pPr>
        <w:spacing w:after="260" w:line="260" w:lineRule="exact"/>
        <w:rPr>
          <w:rFonts w:ascii="Arial" w:hAnsi="Arial" w:cs="Arial"/>
          <w:color w:val="000000"/>
          <w:sz w:val="20"/>
          <w:szCs w:val="20"/>
        </w:rPr>
      </w:pPr>
      <w:r w:rsidRPr="007333AC">
        <w:rPr>
          <w:rFonts w:ascii="Arial" w:hAnsi="Arial" w:cs="Arial"/>
          <w:color w:val="000000"/>
          <w:sz w:val="20"/>
          <w:szCs w:val="20"/>
        </w:rPr>
        <w:t xml:space="preserve">Building on </w:t>
      </w:r>
      <w:r w:rsidRPr="002E1C92">
        <w:rPr>
          <w:rFonts w:ascii="Arial" w:hAnsi="Arial" w:cs="Arial"/>
          <w:color w:val="000000"/>
          <w:sz w:val="20"/>
          <w:szCs w:val="20"/>
        </w:rPr>
        <w:t>national and</w:t>
      </w:r>
      <w:r w:rsidR="00A03C42">
        <w:rPr>
          <w:rFonts w:ascii="Arial" w:hAnsi="Arial" w:cs="Arial"/>
          <w:color w:val="000000"/>
          <w:sz w:val="20"/>
          <w:szCs w:val="20"/>
        </w:rPr>
        <w:t xml:space="preserve"> </w:t>
      </w:r>
      <w:r w:rsidR="00A03C42" w:rsidRPr="00A03C42">
        <w:rPr>
          <w:rFonts w:ascii="Arial" w:hAnsi="Arial" w:cs="Arial"/>
          <w:color w:val="000000"/>
          <w:sz w:val="20"/>
          <w:szCs w:val="20"/>
        </w:rPr>
        <w:t>early</w:t>
      </w:r>
      <w:r w:rsidRPr="00A03C42">
        <w:rPr>
          <w:rFonts w:ascii="Arial" w:hAnsi="Arial" w:cs="Arial"/>
          <w:color w:val="000000"/>
          <w:sz w:val="20"/>
          <w:szCs w:val="20"/>
        </w:rPr>
        <w:t xml:space="preserve"> European-level activities, the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EMCDDA has worked for the last two </w:t>
      </w:r>
      <w:r w:rsidRPr="00360889">
        <w:rPr>
          <w:rFonts w:ascii="Arial" w:hAnsi="Arial" w:cs="Arial"/>
          <w:color w:val="000000"/>
          <w:sz w:val="20"/>
          <w:szCs w:val="20"/>
        </w:rPr>
        <w:t xml:space="preserve">decades to </w:t>
      </w:r>
      <w:r w:rsidR="00DC4707" w:rsidRPr="00360889">
        <w:rPr>
          <w:rFonts w:ascii="Arial" w:hAnsi="Arial" w:cs="Arial"/>
          <w:color w:val="000000"/>
          <w:sz w:val="20"/>
          <w:szCs w:val="20"/>
        </w:rPr>
        <w:t>establish and develop</w:t>
      </w:r>
      <w:r w:rsidRPr="0036088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707" w:rsidRPr="00360889">
        <w:rPr>
          <w:rFonts w:ascii="Arial" w:hAnsi="Arial" w:cs="Arial"/>
          <w:color w:val="000000"/>
          <w:sz w:val="20"/>
          <w:szCs w:val="20"/>
        </w:rPr>
        <w:t xml:space="preserve">mechanisms to </w:t>
      </w:r>
      <w:r w:rsidRPr="00360889">
        <w:rPr>
          <w:rFonts w:ascii="Arial" w:hAnsi="Arial" w:cs="Arial"/>
          <w:color w:val="000000"/>
          <w:sz w:val="20"/>
          <w:szCs w:val="20"/>
        </w:rPr>
        <w:t xml:space="preserve">monitor Europe’s drug problems. </w:t>
      </w:r>
      <w:r w:rsidR="00014640" w:rsidRPr="00360889">
        <w:rPr>
          <w:rFonts w:ascii="Arial" w:hAnsi="Arial" w:cs="Arial"/>
          <w:sz w:val="20"/>
          <w:szCs w:val="20"/>
        </w:rPr>
        <w:t>At the heart of its</w:t>
      </w:r>
      <w:r w:rsidR="00014640" w:rsidRPr="00014640">
        <w:rPr>
          <w:rFonts w:ascii="Arial" w:hAnsi="Arial" w:cs="Arial"/>
          <w:sz w:val="20"/>
          <w:szCs w:val="20"/>
        </w:rPr>
        <w:t xml:space="preserve"> </w:t>
      </w:r>
      <w:r w:rsidR="004C7602">
        <w:rPr>
          <w:rFonts w:ascii="Arial" w:hAnsi="Arial" w:cs="Arial"/>
          <w:sz w:val="20"/>
          <w:szCs w:val="20"/>
        </w:rPr>
        <w:t>activity</w:t>
      </w:r>
      <w:r w:rsidR="00014640" w:rsidRPr="00014640">
        <w:rPr>
          <w:rFonts w:ascii="Arial" w:hAnsi="Arial" w:cs="Arial"/>
          <w:sz w:val="20"/>
          <w:szCs w:val="20"/>
        </w:rPr>
        <w:t xml:space="preserve"> ha</w:t>
      </w:r>
      <w:r w:rsidR="004C7602">
        <w:rPr>
          <w:rFonts w:ascii="Arial" w:hAnsi="Arial" w:cs="Arial"/>
          <w:sz w:val="20"/>
          <w:szCs w:val="20"/>
        </w:rPr>
        <w:t xml:space="preserve">ve been efforts to enhance </w:t>
      </w:r>
      <w:r w:rsidR="00014640" w:rsidRPr="00014640">
        <w:rPr>
          <w:rFonts w:ascii="Arial" w:hAnsi="Arial" w:cs="Arial"/>
          <w:sz w:val="20"/>
          <w:szCs w:val="20"/>
        </w:rPr>
        <w:t xml:space="preserve">the comparability of drug information across Europe and </w:t>
      </w:r>
      <w:r w:rsidR="004C7602">
        <w:rPr>
          <w:rFonts w:ascii="Arial" w:hAnsi="Arial" w:cs="Arial"/>
          <w:sz w:val="20"/>
          <w:szCs w:val="20"/>
        </w:rPr>
        <w:t xml:space="preserve">to </w:t>
      </w:r>
      <w:r w:rsidR="00014640" w:rsidRPr="00014640">
        <w:rPr>
          <w:rFonts w:ascii="Arial" w:hAnsi="Arial" w:cs="Arial"/>
          <w:sz w:val="20"/>
          <w:szCs w:val="20"/>
        </w:rPr>
        <w:t>devis</w:t>
      </w:r>
      <w:r w:rsidR="004C7602">
        <w:rPr>
          <w:rFonts w:ascii="Arial" w:hAnsi="Arial" w:cs="Arial"/>
          <w:sz w:val="20"/>
          <w:szCs w:val="20"/>
        </w:rPr>
        <w:t>e</w:t>
      </w:r>
      <w:r w:rsidR="00014640" w:rsidRPr="00014640">
        <w:rPr>
          <w:rFonts w:ascii="Arial" w:hAnsi="Arial" w:cs="Arial"/>
          <w:sz w:val="20"/>
          <w:szCs w:val="20"/>
        </w:rPr>
        <w:t xml:space="preserve"> the standards, methods and tools required to achieve this. </w:t>
      </w:r>
      <w:r w:rsidR="00763BCE">
        <w:rPr>
          <w:rFonts w:ascii="Arial" w:hAnsi="Arial" w:cs="Arial"/>
          <w:sz w:val="20"/>
          <w:szCs w:val="20"/>
        </w:rPr>
        <w:t xml:space="preserve">Among the agency’s core </w:t>
      </w:r>
      <w:r w:rsidR="00014640">
        <w:rPr>
          <w:rFonts w:ascii="Arial" w:hAnsi="Arial" w:cs="Arial"/>
          <w:color w:val="000000"/>
          <w:sz w:val="20"/>
          <w:szCs w:val="20"/>
        </w:rPr>
        <w:t>achievement</w:t>
      </w:r>
      <w:r w:rsidR="00763BCE">
        <w:rPr>
          <w:rFonts w:ascii="Arial" w:hAnsi="Arial" w:cs="Arial"/>
          <w:color w:val="000000"/>
          <w:sz w:val="20"/>
          <w:szCs w:val="20"/>
        </w:rPr>
        <w:t>s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</w:t>
      </w:r>
      <w:r w:rsidR="00923344">
        <w:rPr>
          <w:rFonts w:ascii="Arial" w:hAnsi="Arial" w:cs="Arial"/>
          <w:color w:val="000000"/>
          <w:sz w:val="20"/>
          <w:szCs w:val="20"/>
        </w:rPr>
        <w:t xml:space="preserve">are its five 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key epidemiological indicators (KI), supported by </w:t>
      </w:r>
      <w:r w:rsidR="0052598C">
        <w:rPr>
          <w:rFonts w:ascii="Arial" w:hAnsi="Arial" w:cs="Arial"/>
          <w:color w:val="000000"/>
          <w:sz w:val="20"/>
          <w:szCs w:val="20"/>
        </w:rPr>
        <w:t xml:space="preserve">EMCDDA </w:t>
      </w:r>
      <w:r w:rsidRPr="007333AC">
        <w:rPr>
          <w:rFonts w:ascii="Arial" w:hAnsi="Arial" w:cs="Arial"/>
          <w:color w:val="000000"/>
          <w:sz w:val="20"/>
          <w:szCs w:val="20"/>
        </w:rPr>
        <w:t>expert groups</w:t>
      </w:r>
      <w:r w:rsidR="00014640">
        <w:rPr>
          <w:rFonts w:ascii="Arial" w:hAnsi="Arial" w:cs="Arial"/>
          <w:color w:val="000000"/>
          <w:sz w:val="20"/>
          <w:szCs w:val="20"/>
        </w:rPr>
        <w:t>,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</w:t>
      </w:r>
      <w:r w:rsidR="00014640">
        <w:rPr>
          <w:rFonts w:ascii="Arial" w:hAnsi="Arial" w:cs="Arial"/>
          <w:color w:val="000000"/>
          <w:sz w:val="20"/>
          <w:szCs w:val="20"/>
        </w:rPr>
        <w:t xml:space="preserve">which </w:t>
      </w:r>
      <w:r w:rsidR="00014640" w:rsidRPr="00014640">
        <w:rPr>
          <w:rFonts w:ascii="Arial" w:hAnsi="Arial" w:cs="Arial"/>
          <w:sz w:val="20"/>
          <w:szCs w:val="20"/>
        </w:rPr>
        <w:t xml:space="preserve">allow countries to describe in a ‘common language’ the extent </w:t>
      </w:r>
      <w:r w:rsidR="00014640">
        <w:rPr>
          <w:rFonts w:ascii="Arial" w:hAnsi="Arial" w:cs="Arial"/>
          <w:sz w:val="20"/>
          <w:szCs w:val="20"/>
        </w:rPr>
        <w:t xml:space="preserve">and nature </w:t>
      </w:r>
      <w:r w:rsidR="00014640" w:rsidRPr="00014640">
        <w:rPr>
          <w:rFonts w:ascii="Arial" w:hAnsi="Arial" w:cs="Arial"/>
          <w:sz w:val="20"/>
          <w:szCs w:val="20"/>
        </w:rPr>
        <w:t>of drug use and its consequences</w:t>
      </w:r>
      <w:r w:rsidR="00014640" w:rsidRPr="007333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3AC">
        <w:rPr>
          <w:rFonts w:ascii="Arial" w:hAnsi="Arial" w:cs="Arial"/>
          <w:color w:val="000000"/>
          <w:sz w:val="20"/>
          <w:szCs w:val="20"/>
        </w:rPr>
        <w:t>(</w:t>
      </w:r>
      <w:r w:rsidR="00287CB0">
        <w:rPr>
          <w:rStyle w:val="A6"/>
          <w:rFonts w:ascii="Arial" w:hAnsi="Arial" w:cs="Arial"/>
          <w:sz w:val="20"/>
          <w:szCs w:val="20"/>
          <w:vertAlign w:val="superscript"/>
        </w:rPr>
        <w:t>4</w:t>
      </w:r>
      <w:r w:rsidR="00014640">
        <w:rPr>
          <w:rFonts w:ascii="Arial" w:hAnsi="Arial" w:cs="Arial"/>
          <w:color w:val="000000"/>
          <w:sz w:val="20"/>
          <w:szCs w:val="20"/>
        </w:rPr>
        <w:t>).</w:t>
      </w:r>
    </w:p>
    <w:p w:rsidR="00FC07FC" w:rsidRDefault="00FC07FC" w:rsidP="00FC07FC">
      <w:pPr>
        <w:pStyle w:val="Pa5"/>
        <w:spacing w:before="220" w:after="260" w:line="260" w:lineRule="exact"/>
        <w:rPr>
          <w:rFonts w:ascii="Arial" w:hAnsi="Arial" w:cs="Arial"/>
          <w:color w:val="000000"/>
          <w:sz w:val="20"/>
          <w:szCs w:val="20"/>
        </w:rPr>
      </w:pPr>
      <w:r w:rsidRPr="007333AC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796252">
        <w:rPr>
          <w:rFonts w:ascii="Arial" w:hAnsi="Arial" w:cs="Arial"/>
          <w:color w:val="000000"/>
          <w:sz w:val="20"/>
          <w:szCs w:val="20"/>
        </w:rPr>
        <w:t>event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will bring together over 180 experts from across the globe including representatives of</w:t>
      </w:r>
      <w:r w:rsidR="0052598C">
        <w:rPr>
          <w:rFonts w:ascii="Arial" w:hAnsi="Arial" w:cs="Arial"/>
          <w:color w:val="000000"/>
          <w:sz w:val="20"/>
          <w:szCs w:val="20"/>
        </w:rPr>
        <w:t>:</w:t>
      </w:r>
      <w:r w:rsidR="00FF1582">
        <w:rPr>
          <w:rFonts w:ascii="Arial" w:hAnsi="Arial" w:cs="Arial"/>
          <w:color w:val="000000"/>
          <w:sz w:val="20"/>
          <w:szCs w:val="20"/>
        </w:rPr>
        <w:t xml:space="preserve"> </w:t>
      </w:r>
      <w:r w:rsidR="00923344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52598C">
        <w:rPr>
          <w:rFonts w:ascii="Arial" w:hAnsi="Arial" w:cs="Arial"/>
          <w:color w:val="000000"/>
          <w:sz w:val="20"/>
          <w:szCs w:val="20"/>
        </w:rPr>
        <w:t xml:space="preserve">the EMCDDA 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KI expert networks; </w:t>
      </w:r>
      <w:r w:rsidR="0052598C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333AC">
        <w:rPr>
          <w:rFonts w:ascii="Arial" w:hAnsi="Arial" w:cs="Arial"/>
          <w:color w:val="000000"/>
          <w:sz w:val="20"/>
          <w:szCs w:val="20"/>
        </w:rPr>
        <w:t>Reitox focal points;</w:t>
      </w:r>
      <w:r w:rsidR="00FF1582">
        <w:rPr>
          <w:rFonts w:ascii="Arial" w:hAnsi="Arial" w:cs="Arial"/>
          <w:color w:val="000000"/>
          <w:sz w:val="20"/>
          <w:szCs w:val="20"/>
        </w:rPr>
        <w:t xml:space="preserve"> and o</w:t>
      </w:r>
      <w:r w:rsidRPr="007333AC">
        <w:rPr>
          <w:rFonts w:ascii="Arial" w:hAnsi="Arial" w:cs="Arial"/>
          <w:color w:val="000000"/>
          <w:sz w:val="20"/>
          <w:szCs w:val="20"/>
        </w:rPr>
        <w:t>ther technical domains covered by the agency. The event will further the agency’s ongoing efforts to inspire cross-discipline, multi-indicator analyses of the drugs problem and the sharing of perspectives from different technical domains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14640" w:rsidRDefault="00014640" w:rsidP="00014640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014640">
        <w:rPr>
          <w:rFonts w:ascii="Arial" w:hAnsi="Arial" w:cs="Arial"/>
          <w:b/>
          <w:sz w:val="20"/>
          <w:szCs w:val="20"/>
        </w:rPr>
        <w:t>EMCDDA Director Wolfgang Götz</w:t>
      </w:r>
      <w:r>
        <w:rPr>
          <w:rFonts w:ascii="Arial" w:hAnsi="Arial" w:cs="Arial"/>
          <w:sz w:val="20"/>
          <w:szCs w:val="20"/>
        </w:rPr>
        <w:t xml:space="preserve"> says: ‘</w:t>
      </w:r>
      <w:r w:rsidRPr="00014640">
        <w:rPr>
          <w:rFonts w:ascii="Arial" w:hAnsi="Arial" w:cs="Arial"/>
          <w:sz w:val="20"/>
          <w:szCs w:val="20"/>
        </w:rPr>
        <w:t>Over the years, the EMCDDA has supported the development of Europe-wide surveillance systems to carry out regular and sustained monitoring of developments in the drugs field, as well as early-warning mechanisms to ensure rapid responses to new substances. It is an imposing feat that the fledgling monitoring instruments established 20 years ago have now matured into a comprehensive European system recognised worldwide</w:t>
      </w:r>
      <w:r>
        <w:rPr>
          <w:rFonts w:ascii="Arial" w:hAnsi="Arial" w:cs="Arial"/>
          <w:sz w:val="20"/>
          <w:szCs w:val="20"/>
        </w:rPr>
        <w:t>’</w:t>
      </w:r>
      <w:r w:rsidRPr="00014640">
        <w:rPr>
          <w:rFonts w:ascii="Arial" w:hAnsi="Arial" w:cs="Arial"/>
          <w:sz w:val="20"/>
          <w:szCs w:val="20"/>
        </w:rPr>
        <w:t xml:space="preserve">. </w:t>
      </w:r>
    </w:p>
    <w:p w:rsidR="00BE27BD" w:rsidRDefault="00FC07FC" w:rsidP="00BE27BD">
      <w:pPr>
        <w:pStyle w:val="Pa5"/>
        <w:spacing w:before="220" w:after="260" w:line="260" w:lineRule="exact"/>
        <w:rPr>
          <w:rFonts w:ascii="Arial" w:hAnsi="Arial" w:cs="Arial"/>
          <w:color w:val="000000"/>
          <w:sz w:val="20"/>
          <w:szCs w:val="20"/>
        </w:rPr>
      </w:pPr>
      <w:r w:rsidRPr="007333AC">
        <w:rPr>
          <w:rFonts w:ascii="Arial" w:hAnsi="Arial" w:cs="Arial"/>
          <w:color w:val="000000"/>
          <w:sz w:val="20"/>
          <w:szCs w:val="20"/>
        </w:rPr>
        <w:t xml:space="preserve">A packed two-day agenda will feature over 70 interventions, eight sessions and 11 workshops. </w:t>
      </w:r>
      <w:r w:rsidR="00FF1582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7333AC">
        <w:rPr>
          <w:rFonts w:ascii="Arial" w:hAnsi="Arial" w:cs="Arial"/>
          <w:color w:val="000000"/>
          <w:sz w:val="20"/>
          <w:szCs w:val="20"/>
        </w:rPr>
        <w:t>Issues covered will include: maximising the value of information collected; incorporating new tools and topics; and ensuring that the European drug monitoring system remains fit for purpose in the face of new challenges. The final workshop will focus on ‘Making monitoring</w:t>
      </w:r>
      <w:r w:rsidR="00C622EA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7333AC">
        <w:rPr>
          <w:rFonts w:ascii="Arial" w:hAnsi="Arial" w:cs="Arial"/>
          <w:color w:val="000000"/>
          <w:sz w:val="20"/>
          <w:szCs w:val="20"/>
        </w:rPr>
        <w:t xml:space="preserve"> speak louder to policy and more clearly to inform best practice’. </w:t>
      </w:r>
    </w:p>
    <w:p w:rsidR="00763BCE" w:rsidRDefault="00FC07FC" w:rsidP="00BE27BD">
      <w:pPr>
        <w:pStyle w:val="Pa5"/>
        <w:spacing w:before="220" w:after="260" w:line="260" w:lineRule="exact"/>
      </w:pPr>
      <w:r w:rsidRPr="007333AC">
        <w:rPr>
          <w:rFonts w:ascii="Arial" w:hAnsi="Arial" w:cs="Arial"/>
          <w:color w:val="000000"/>
          <w:sz w:val="20"/>
          <w:szCs w:val="20"/>
        </w:rPr>
        <w:t xml:space="preserve">The conference aims to reflect on past successes but also to be forward-looking. Key issues to help the EMCDDA better achieve its aims include: increased data quality and comparability; improved timeliness; better identification of emerging trends; faster and more sensitive monitoring approaches; and the integration of traditional and new monitoring methods (e.g. wastewater analysis, internet surveys). </w:t>
      </w:r>
      <w:r w:rsidR="0079625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763BCE" w:rsidRPr="007333AC">
        <w:rPr>
          <w:rFonts w:ascii="Arial" w:hAnsi="Arial" w:cs="Arial"/>
          <w:color w:val="000000"/>
          <w:sz w:val="20"/>
          <w:szCs w:val="20"/>
        </w:rPr>
        <w:t>The ultimate aim of this milestone event will be to</w:t>
      </w:r>
      <w:r w:rsidR="00763BCE">
        <w:rPr>
          <w:rFonts w:ascii="Arial" w:hAnsi="Arial" w:cs="Arial"/>
          <w:color w:val="000000"/>
          <w:sz w:val="20"/>
          <w:szCs w:val="20"/>
        </w:rPr>
        <w:t xml:space="preserve"> contribute to </w:t>
      </w:r>
      <w:r w:rsidR="00763BCE" w:rsidRPr="007333AC">
        <w:rPr>
          <w:rFonts w:ascii="Arial" w:hAnsi="Arial" w:cs="Arial"/>
          <w:color w:val="000000"/>
          <w:sz w:val="20"/>
          <w:szCs w:val="20"/>
        </w:rPr>
        <w:t>reducing drug-related harms through better informed and faster evaluated policies</w:t>
      </w:r>
      <w:r w:rsidR="00763BCE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763BCE" w:rsidRPr="00B77259" w:rsidRDefault="00763BCE" w:rsidP="00741BE2">
      <w:pPr>
        <w:pStyle w:val="newsNotes"/>
        <w:spacing w:after="20"/>
        <w:rPr>
          <w:b/>
          <w:sz w:val="18"/>
          <w:szCs w:val="18"/>
        </w:rPr>
      </w:pPr>
      <w:r w:rsidRPr="00AD09C7">
        <w:rPr>
          <w:b/>
          <w:sz w:val="18"/>
          <w:szCs w:val="18"/>
        </w:rPr>
        <w:t>Notes</w:t>
      </w:r>
    </w:p>
    <w:p w:rsidR="00234A00" w:rsidRPr="00234A00" w:rsidRDefault="00763BCE" w:rsidP="00234A0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4A00">
        <w:rPr>
          <w:rFonts w:ascii="Arial" w:hAnsi="Arial" w:cs="Arial"/>
          <w:sz w:val="16"/>
          <w:szCs w:val="16"/>
        </w:rPr>
        <w:t>(</w:t>
      </w:r>
      <w:r w:rsidRPr="00234A00">
        <w:rPr>
          <w:rStyle w:val="newsNotesNumberChar"/>
          <w:rFonts w:cs="Arial"/>
          <w:sz w:val="16"/>
          <w:szCs w:val="16"/>
        </w:rPr>
        <w:t>1</w:t>
      </w:r>
      <w:r w:rsidRPr="00234A00">
        <w:rPr>
          <w:rFonts w:ascii="Arial" w:hAnsi="Arial" w:cs="Arial"/>
          <w:sz w:val="16"/>
          <w:szCs w:val="16"/>
        </w:rPr>
        <w:t>)</w:t>
      </w:r>
      <w:r w:rsidR="002356DF" w:rsidRPr="00234A00">
        <w:rPr>
          <w:rFonts w:ascii="Arial" w:hAnsi="Arial" w:cs="Arial"/>
          <w:sz w:val="16"/>
          <w:szCs w:val="16"/>
        </w:rPr>
        <w:t xml:space="preserve"> The full p</w:t>
      </w:r>
      <w:r w:rsidR="00DC4707" w:rsidRPr="00234A00">
        <w:rPr>
          <w:rFonts w:ascii="Arial" w:hAnsi="Arial" w:cs="Arial"/>
          <w:sz w:val="16"/>
          <w:szCs w:val="16"/>
        </w:rPr>
        <w:t xml:space="preserve">rogramme </w:t>
      </w:r>
      <w:r w:rsidR="002356DF" w:rsidRPr="00234A00">
        <w:rPr>
          <w:rFonts w:ascii="Arial" w:hAnsi="Arial" w:cs="Arial"/>
          <w:sz w:val="16"/>
          <w:szCs w:val="16"/>
        </w:rPr>
        <w:t xml:space="preserve">is </w:t>
      </w:r>
      <w:r w:rsidR="00DC4707" w:rsidRPr="00234A00">
        <w:rPr>
          <w:rFonts w:ascii="Arial" w:hAnsi="Arial" w:cs="Arial"/>
          <w:sz w:val="16"/>
          <w:szCs w:val="16"/>
        </w:rPr>
        <w:t xml:space="preserve">available at </w:t>
      </w:r>
      <w:hyperlink r:id="rId10" w:history="1">
        <w:r w:rsidR="00234A00" w:rsidRPr="00234A00">
          <w:rPr>
            <w:rStyle w:val="Hyperlink"/>
            <w:rFonts w:cs="Arial"/>
            <w:sz w:val="16"/>
            <w:szCs w:val="16"/>
          </w:rPr>
          <w:t>www.emcdda.europa.eu/events/2015/20-years</w:t>
        </w:r>
      </w:hyperlink>
    </w:p>
    <w:p w:rsidR="00B97AAD" w:rsidRPr="00234A00" w:rsidRDefault="002356DF" w:rsidP="00234A00">
      <w:pPr>
        <w:pStyle w:val="newsNotes"/>
        <w:spacing w:after="20"/>
        <w:rPr>
          <w:rFonts w:cs="Arial"/>
        </w:rPr>
      </w:pPr>
      <w:r w:rsidRPr="00234A00">
        <w:rPr>
          <w:rFonts w:cs="Arial"/>
        </w:rPr>
        <w:t>Th</w:t>
      </w:r>
      <w:r w:rsidR="008B1A36" w:rsidRPr="00234A00">
        <w:rPr>
          <w:rFonts w:cs="Arial"/>
        </w:rPr>
        <w:t xml:space="preserve">is technical expert </w:t>
      </w:r>
      <w:r w:rsidR="00E273D1" w:rsidRPr="00234A00">
        <w:rPr>
          <w:rFonts w:cs="Arial"/>
        </w:rPr>
        <w:t>meeting is a closed event</w:t>
      </w:r>
      <w:r w:rsidR="004C7602" w:rsidRPr="00234A00">
        <w:rPr>
          <w:rFonts w:cs="Arial"/>
        </w:rPr>
        <w:t xml:space="preserve">. </w:t>
      </w:r>
      <w:r w:rsidRPr="00234A00">
        <w:rPr>
          <w:rFonts w:cs="Arial"/>
        </w:rPr>
        <w:t>However,</w:t>
      </w:r>
      <w:r w:rsidR="005C05B9" w:rsidRPr="00234A00">
        <w:rPr>
          <w:rFonts w:cs="Arial"/>
        </w:rPr>
        <w:t xml:space="preserve"> media</w:t>
      </w:r>
      <w:r w:rsidR="008B1A36" w:rsidRPr="00234A00">
        <w:rPr>
          <w:rFonts w:cs="Arial"/>
        </w:rPr>
        <w:t xml:space="preserve"> </w:t>
      </w:r>
      <w:r w:rsidRPr="00234A00">
        <w:rPr>
          <w:rFonts w:cs="Arial"/>
        </w:rPr>
        <w:t>interviews</w:t>
      </w:r>
      <w:r w:rsidR="005C05B9" w:rsidRPr="00234A00">
        <w:rPr>
          <w:rFonts w:cs="Arial"/>
        </w:rPr>
        <w:t xml:space="preserve"> </w:t>
      </w:r>
      <w:r w:rsidRPr="00234A00">
        <w:rPr>
          <w:rFonts w:cs="Arial"/>
        </w:rPr>
        <w:t xml:space="preserve">may be scheduled via </w:t>
      </w:r>
      <w:hyperlink r:id="rId11" w:history="1">
        <w:r w:rsidRPr="00234A00">
          <w:rPr>
            <w:rStyle w:val="Hyperlink"/>
            <w:rFonts w:cs="Arial"/>
            <w:sz w:val="16"/>
          </w:rPr>
          <w:t>press@emcdda.europa.eu</w:t>
        </w:r>
      </w:hyperlink>
      <w:r w:rsidR="00D94458" w:rsidRPr="00234A00">
        <w:rPr>
          <w:rFonts w:cs="Arial"/>
        </w:rPr>
        <w:t xml:space="preserve">                                                                                                                              </w:t>
      </w:r>
      <w:r w:rsidR="00B97AAD" w:rsidRPr="00234A00">
        <w:rPr>
          <w:rFonts w:cs="Arial"/>
        </w:rPr>
        <w:t xml:space="preserve">                                     (</w:t>
      </w:r>
      <w:r w:rsidR="00B97AAD" w:rsidRPr="00234A00">
        <w:rPr>
          <w:rStyle w:val="newsNotesNumberChar"/>
          <w:rFonts w:cs="Arial"/>
          <w:sz w:val="16"/>
          <w:szCs w:val="16"/>
        </w:rPr>
        <w:t>2</w:t>
      </w:r>
      <w:r w:rsidR="00B97AAD" w:rsidRPr="00234A00">
        <w:rPr>
          <w:rFonts w:cs="Arial"/>
        </w:rPr>
        <w:t xml:space="preserve">) </w:t>
      </w:r>
      <w:hyperlink r:id="rId12" w:history="1">
        <w:r w:rsidR="00B97AAD" w:rsidRPr="00234A00">
          <w:rPr>
            <w:rStyle w:val="Hyperlink"/>
            <w:rFonts w:cs="Arial"/>
            <w:sz w:val="16"/>
          </w:rPr>
          <w:t>www.lisbonaddictions.eu/start</w:t>
        </w:r>
      </w:hyperlink>
      <w:r w:rsidR="00B97AAD" w:rsidRPr="00234A00">
        <w:rPr>
          <w:rFonts w:cs="Arial"/>
        </w:rPr>
        <w:t xml:space="preserve"> — </w:t>
      </w:r>
      <w:hyperlink r:id="rId13" w:anchor="pressRelease" w:history="1">
        <w:r w:rsidR="00B97AAD" w:rsidRPr="00234A00">
          <w:rPr>
            <w:rStyle w:val="Hyperlink"/>
            <w:rFonts w:cs="Arial"/>
            <w:sz w:val="16"/>
          </w:rPr>
          <w:t>www.lisbonaddictions.eu/start#pressRelease</w:t>
        </w:r>
      </w:hyperlink>
    </w:p>
    <w:p w:rsidR="00763BCE" w:rsidRPr="00360889" w:rsidRDefault="00763BCE" w:rsidP="00234A00">
      <w:pPr>
        <w:pStyle w:val="newsNotes"/>
        <w:rPr>
          <w:rFonts w:cs="Arial"/>
        </w:rPr>
      </w:pPr>
      <w:r w:rsidRPr="00360889">
        <w:rPr>
          <w:rFonts w:cs="Arial"/>
        </w:rPr>
        <w:t>(</w:t>
      </w:r>
      <w:r w:rsidRPr="00360889">
        <w:rPr>
          <w:rStyle w:val="newsNotesNumberChar"/>
          <w:rFonts w:cs="Arial"/>
          <w:sz w:val="16"/>
          <w:szCs w:val="16"/>
        </w:rPr>
        <w:t>3</w:t>
      </w:r>
      <w:r w:rsidRPr="00360889">
        <w:rPr>
          <w:rFonts w:cs="Arial"/>
        </w:rPr>
        <w:t xml:space="preserve">) </w:t>
      </w:r>
      <w:hyperlink r:id="rId14" w:history="1">
        <w:r w:rsidRPr="00360889">
          <w:rPr>
            <w:rStyle w:val="Hyperlink"/>
            <w:rFonts w:cs="Arial"/>
            <w:sz w:val="16"/>
          </w:rPr>
          <w:t>www.emcdda.europa.eu/news/2015/20-years-monitoring</w:t>
        </w:r>
      </w:hyperlink>
      <w:r w:rsidRPr="00360889">
        <w:rPr>
          <w:rFonts w:cs="Arial"/>
        </w:rPr>
        <w:t xml:space="preserve"> </w:t>
      </w:r>
      <w:r w:rsidR="00D94458" w:rsidRPr="00360889">
        <w:rPr>
          <w:rFonts w:cs="Arial"/>
        </w:rPr>
        <w:t xml:space="preserve"> </w:t>
      </w:r>
      <w:r w:rsidRPr="00360889">
        <w:rPr>
          <w:rFonts w:cs="Arial"/>
        </w:rPr>
        <w:t>(</w:t>
      </w:r>
      <w:r w:rsidRPr="00360889">
        <w:rPr>
          <w:rStyle w:val="newsNotesNumberChar"/>
          <w:rFonts w:cs="Arial"/>
          <w:sz w:val="16"/>
          <w:szCs w:val="16"/>
        </w:rPr>
        <w:t>4</w:t>
      </w:r>
      <w:r w:rsidRPr="00360889">
        <w:rPr>
          <w:rFonts w:cs="Arial"/>
        </w:rPr>
        <w:t xml:space="preserve">) </w:t>
      </w:r>
      <w:hyperlink r:id="rId15" w:history="1">
        <w:r w:rsidRPr="00360889">
          <w:rPr>
            <w:rStyle w:val="Hyperlink"/>
            <w:rFonts w:cs="Arial"/>
            <w:sz w:val="16"/>
          </w:rPr>
          <w:t>www.emcdda.europa.eu/activities/key-indicators</w:t>
        </w:r>
      </w:hyperlink>
      <w:r w:rsidRPr="00360889">
        <w:rPr>
          <w:rFonts w:cs="Arial"/>
        </w:rPr>
        <w:t xml:space="preserve"> </w:t>
      </w:r>
    </w:p>
    <w:sectPr w:rsidR="00763BCE" w:rsidRPr="00360889" w:rsidSect="00E81F3D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FC" w:rsidRDefault="00FC07FC" w:rsidP="009A28FB">
      <w:pPr>
        <w:spacing w:after="0" w:line="240" w:lineRule="auto"/>
      </w:pPr>
      <w:r>
        <w:separator/>
      </w:r>
    </w:p>
  </w:endnote>
  <w:endnote w:type="continuationSeparator" w:id="0">
    <w:p w:rsidR="00FC07FC" w:rsidRDefault="00FC07FC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EA044E6" wp14:editId="357FE85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4A0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D503D14" wp14:editId="2A43E0D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</w:t>
          </w:r>
        </w:p>
        <w:p w:rsidR="0063677C" w:rsidRPr="00FC07FC" w:rsidRDefault="0063677C" w:rsidP="003B00EE">
          <w:pPr>
            <w:pStyle w:val="newsCoordinates"/>
            <w:rPr>
              <w:lang w:val="pt-PT"/>
            </w:rPr>
          </w:pPr>
          <w:r w:rsidRPr="00FC07FC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4C4C78" w:rsidP="004C4C78">
          <w:pPr>
            <w:pStyle w:val="newsReference"/>
            <w:jc w:val="right"/>
          </w:pPr>
          <w:r>
            <w:t>EN — No 7</w:t>
          </w:r>
          <w:r w:rsidR="0063677C" w:rsidRPr="00FC0187">
            <w:t>/</w:t>
          </w:r>
          <w:r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FC" w:rsidRDefault="00FC07FC" w:rsidP="009A28FB">
      <w:pPr>
        <w:spacing w:after="0" w:line="240" w:lineRule="auto"/>
      </w:pPr>
      <w:r>
        <w:separator/>
      </w:r>
    </w:p>
  </w:footnote>
  <w:footnote w:type="continuationSeparator" w:id="0">
    <w:p w:rsidR="00FC07FC" w:rsidRDefault="00FC07FC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763BCE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9007201" wp14:editId="3122721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763BCE">
            <w:rPr>
              <w:noProof/>
              <w:lang w:eastAsia="en-GB"/>
            </w:rPr>
            <w:t>EMCDDA: 20 years of monitoring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</w:p>
      </w:tc>
      <w:tc>
        <w:tcPr>
          <w:tcW w:w="3294" w:type="dxa"/>
          <w:vAlign w:val="bottom"/>
        </w:tcPr>
        <w:p w:rsidR="00BF1E3B" w:rsidRDefault="00763BCE" w:rsidP="00763BCE">
          <w:pPr>
            <w:pStyle w:val="newsReference"/>
            <w:jc w:val="right"/>
          </w:pPr>
          <w:r>
            <w:t>18</w:t>
          </w:r>
          <w:r w:rsidR="00BF1E3B" w:rsidRPr="00CC4FDA">
            <w:t>.9.201</w:t>
          </w:r>
          <w:r>
            <w:t>5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C"/>
    <w:rsid w:val="0000794D"/>
    <w:rsid w:val="00014640"/>
    <w:rsid w:val="00014E8E"/>
    <w:rsid w:val="00036DAA"/>
    <w:rsid w:val="000535B7"/>
    <w:rsid w:val="00067DD3"/>
    <w:rsid w:val="000C6200"/>
    <w:rsid w:val="00105BFC"/>
    <w:rsid w:val="00107C96"/>
    <w:rsid w:val="00150DCC"/>
    <w:rsid w:val="001522AB"/>
    <w:rsid w:val="0017713E"/>
    <w:rsid w:val="001800D0"/>
    <w:rsid w:val="001A3338"/>
    <w:rsid w:val="001C795A"/>
    <w:rsid w:val="001D5C26"/>
    <w:rsid w:val="001F70B4"/>
    <w:rsid w:val="00223753"/>
    <w:rsid w:val="00234A00"/>
    <w:rsid w:val="002356DF"/>
    <w:rsid w:val="002557B0"/>
    <w:rsid w:val="002646E4"/>
    <w:rsid w:val="0027252D"/>
    <w:rsid w:val="0028141E"/>
    <w:rsid w:val="00287CB0"/>
    <w:rsid w:val="002948E2"/>
    <w:rsid w:val="002A61F7"/>
    <w:rsid w:val="002B05CE"/>
    <w:rsid w:val="002B45AC"/>
    <w:rsid w:val="002E1C92"/>
    <w:rsid w:val="002F4635"/>
    <w:rsid w:val="0033158E"/>
    <w:rsid w:val="00360889"/>
    <w:rsid w:val="0036121D"/>
    <w:rsid w:val="00377EC7"/>
    <w:rsid w:val="00387D02"/>
    <w:rsid w:val="003B41B1"/>
    <w:rsid w:val="003C0395"/>
    <w:rsid w:val="004137B0"/>
    <w:rsid w:val="004221D3"/>
    <w:rsid w:val="0044111C"/>
    <w:rsid w:val="00445080"/>
    <w:rsid w:val="0045468D"/>
    <w:rsid w:val="004847FB"/>
    <w:rsid w:val="004A457C"/>
    <w:rsid w:val="004C3028"/>
    <w:rsid w:val="004C4C78"/>
    <w:rsid w:val="004C7602"/>
    <w:rsid w:val="004D6E0C"/>
    <w:rsid w:val="005026BD"/>
    <w:rsid w:val="00520EF1"/>
    <w:rsid w:val="0052598C"/>
    <w:rsid w:val="00542CEE"/>
    <w:rsid w:val="005A0DC8"/>
    <w:rsid w:val="005B05A0"/>
    <w:rsid w:val="005B0882"/>
    <w:rsid w:val="005B1B63"/>
    <w:rsid w:val="005C05B9"/>
    <w:rsid w:val="005C4033"/>
    <w:rsid w:val="006116D9"/>
    <w:rsid w:val="00623A55"/>
    <w:rsid w:val="0063677C"/>
    <w:rsid w:val="00666A63"/>
    <w:rsid w:val="00706458"/>
    <w:rsid w:val="00730132"/>
    <w:rsid w:val="00741BE2"/>
    <w:rsid w:val="0076167A"/>
    <w:rsid w:val="00763BCE"/>
    <w:rsid w:val="00773814"/>
    <w:rsid w:val="00791F09"/>
    <w:rsid w:val="00796252"/>
    <w:rsid w:val="007B0E03"/>
    <w:rsid w:val="007B1CCD"/>
    <w:rsid w:val="00813FB5"/>
    <w:rsid w:val="00841E86"/>
    <w:rsid w:val="00881730"/>
    <w:rsid w:val="008B1A36"/>
    <w:rsid w:val="008C1172"/>
    <w:rsid w:val="008D54B3"/>
    <w:rsid w:val="008F177B"/>
    <w:rsid w:val="008F399E"/>
    <w:rsid w:val="00902300"/>
    <w:rsid w:val="00923344"/>
    <w:rsid w:val="00955F0C"/>
    <w:rsid w:val="00974A27"/>
    <w:rsid w:val="009A28FB"/>
    <w:rsid w:val="009D6255"/>
    <w:rsid w:val="009F4FB0"/>
    <w:rsid w:val="00A03C42"/>
    <w:rsid w:val="00A0788A"/>
    <w:rsid w:val="00A16B77"/>
    <w:rsid w:val="00A311EF"/>
    <w:rsid w:val="00A3254D"/>
    <w:rsid w:val="00A661E2"/>
    <w:rsid w:val="00A856B7"/>
    <w:rsid w:val="00AC5989"/>
    <w:rsid w:val="00AD09C7"/>
    <w:rsid w:val="00AD7BFC"/>
    <w:rsid w:val="00AE093C"/>
    <w:rsid w:val="00AE1738"/>
    <w:rsid w:val="00AF13B3"/>
    <w:rsid w:val="00AF259D"/>
    <w:rsid w:val="00B11B73"/>
    <w:rsid w:val="00B220FE"/>
    <w:rsid w:val="00B25554"/>
    <w:rsid w:val="00B272F1"/>
    <w:rsid w:val="00B51E08"/>
    <w:rsid w:val="00B57464"/>
    <w:rsid w:val="00B61036"/>
    <w:rsid w:val="00B72DD3"/>
    <w:rsid w:val="00B7335C"/>
    <w:rsid w:val="00B77259"/>
    <w:rsid w:val="00B97AAD"/>
    <w:rsid w:val="00B97BC5"/>
    <w:rsid w:val="00BB60CF"/>
    <w:rsid w:val="00BB6565"/>
    <w:rsid w:val="00BE27BD"/>
    <w:rsid w:val="00BF1E3B"/>
    <w:rsid w:val="00C36BC1"/>
    <w:rsid w:val="00C622EA"/>
    <w:rsid w:val="00C628C4"/>
    <w:rsid w:val="00C63254"/>
    <w:rsid w:val="00C874C0"/>
    <w:rsid w:val="00CA2FF5"/>
    <w:rsid w:val="00CB49DA"/>
    <w:rsid w:val="00CC1F19"/>
    <w:rsid w:val="00CC4FDA"/>
    <w:rsid w:val="00CC6A8B"/>
    <w:rsid w:val="00D01335"/>
    <w:rsid w:val="00D03EC6"/>
    <w:rsid w:val="00D3312B"/>
    <w:rsid w:val="00D37865"/>
    <w:rsid w:val="00D4706C"/>
    <w:rsid w:val="00D57367"/>
    <w:rsid w:val="00D84AE3"/>
    <w:rsid w:val="00D92A34"/>
    <w:rsid w:val="00D94458"/>
    <w:rsid w:val="00DC4707"/>
    <w:rsid w:val="00E273D1"/>
    <w:rsid w:val="00E311F1"/>
    <w:rsid w:val="00E321BA"/>
    <w:rsid w:val="00E33893"/>
    <w:rsid w:val="00E57C9D"/>
    <w:rsid w:val="00E66CCD"/>
    <w:rsid w:val="00E81F3D"/>
    <w:rsid w:val="00E83FC3"/>
    <w:rsid w:val="00EB07DA"/>
    <w:rsid w:val="00ED3EAC"/>
    <w:rsid w:val="00EE23CC"/>
    <w:rsid w:val="00F06CDE"/>
    <w:rsid w:val="00F21CA9"/>
    <w:rsid w:val="00F24096"/>
    <w:rsid w:val="00F414EF"/>
    <w:rsid w:val="00F47542"/>
    <w:rsid w:val="00FB351B"/>
    <w:rsid w:val="00FC0187"/>
    <w:rsid w:val="00FC07FC"/>
    <w:rsid w:val="00FE3721"/>
    <w:rsid w:val="00FE478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F1582"/>
    <w:pPr>
      <w:tabs>
        <w:tab w:val="left" w:pos="5205"/>
      </w:tabs>
      <w:spacing w:before="24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6167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356DF"/>
    <w:pPr>
      <w:spacing w:after="0" w:line="240" w:lineRule="auto"/>
    </w:pPr>
    <w:rPr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356DF"/>
    <w:rPr>
      <w:rFonts w:ascii="Arial" w:hAnsi="Arial"/>
      <w:color w:val="000000" w:themeColor="text1"/>
      <w:sz w:val="16"/>
      <w:szCs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character" w:customStyle="1" w:styleId="A6">
    <w:name w:val="A6"/>
    <w:uiPriority w:val="99"/>
    <w:rsid w:val="00FC07FC"/>
    <w:rPr>
      <w:rFonts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FC07FC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BodyTextIndent">
    <w:name w:val="Body Text Indent"/>
    <w:basedOn w:val="Normal"/>
    <w:link w:val="BodyTextIndentChar"/>
    <w:rsid w:val="00014640"/>
    <w:pPr>
      <w:spacing w:after="12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014640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F1582"/>
    <w:pPr>
      <w:tabs>
        <w:tab w:val="left" w:pos="5205"/>
      </w:tabs>
      <w:spacing w:before="24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6167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356DF"/>
    <w:pPr>
      <w:spacing w:after="0" w:line="240" w:lineRule="auto"/>
    </w:pPr>
    <w:rPr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356DF"/>
    <w:rPr>
      <w:rFonts w:ascii="Arial" w:hAnsi="Arial"/>
      <w:color w:val="000000" w:themeColor="text1"/>
      <w:sz w:val="16"/>
      <w:szCs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character" w:customStyle="1" w:styleId="A6">
    <w:name w:val="A6"/>
    <w:uiPriority w:val="99"/>
    <w:rsid w:val="00FC07FC"/>
    <w:rPr>
      <w:rFonts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FC07FC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BodyTextIndent">
    <w:name w:val="Body Text Indent"/>
    <w:basedOn w:val="Normal"/>
    <w:link w:val="BodyTextIndentChar"/>
    <w:rsid w:val="00014640"/>
    <w:pPr>
      <w:spacing w:after="12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014640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sbonaddictions.eu/star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sbonaddictions.eu/star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emcdda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activities/key-indicators" TargetMode="External"/><Relationship Id="rId10" Type="http://schemas.openxmlformats.org/officeDocument/2006/relationships/hyperlink" Target="http://www.emcdda.europa.eu/events/2015/20-yea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5/20-years-monito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6385-4B29-4FD8-8FCD-1A0AC8F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news-release-EN</Template>
  <TotalTime>161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34</cp:revision>
  <cp:lastPrinted>2015-09-17T14:33:00Z</cp:lastPrinted>
  <dcterms:created xsi:type="dcterms:W3CDTF">2015-09-14T09:51:00Z</dcterms:created>
  <dcterms:modified xsi:type="dcterms:W3CDTF">2015-09-17T15:31:00Z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