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D66" w:rsidRPr="00EB6BCB" w:rsidRDefault="00426D66" w:rsidP="000A35ED">
      <w:pPr>
        <w:pStyle w:val="Header"/>
        <w:rPr>
          <w:caps/>
          <w:color w:val="000080"/>
          <w:sz w:val="21"/>
          <w:szCs w:val="21"/>
          <w:lang w:val="fr-FR"/>
        </w:rPr>
      </w:pPr>
      <w:r>
        <w:rPr>
          <w:noProof/>
          <w:lang w:val="en-US" w:eastAsia="zh-CN"/>
        </w:rPr>
        <w:pict>
          <v:line id="_x0000_s1030" style="position:absolute;z-index:251657728;mso-position-horizontal-relative:page;mso-position-vertical-relative:page" from="51.05pt,164.45pt" to="541.45pt,164.45pt" o:allowincell="f" strokecolor="#969696" strokeweight="1pt">
            <w10:wrap anchorx="page" anchory="page"/>
          </v:line>
        </w:pict>
      </w:r>
      <w:r>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alt="logo(FR-SPOT)" style="position:absolute;margin-left:51.05pt;margin-top:56.7pt;width:203.8pt;height:49.15pt;z-index:251656704;visibility:visible;mso-position-horizontal-relative:page;mso-position-vertical-relative:page">
            <v:imagedata r:id="rId6" o:title=""/>
            <w10:wrap anchorx="page" anchory="page"/>
          </v:shape>
        </w:pict>
      </w:r>
      <w:r>
        <w:rPr>
          <w:noProof/>
          <w:lang w:val="en-US" w:eastAsia="zh-CN"/>
        </w:rPr>
        <w:pict>
          <v:shape id="Picture 4" o:spid="_x0000_s1032" type="#_x0000_t75" alt="fr_news title2" style="position:absolute;margin-left:51.05pt;margin-top:137.05pt;width:489pt;height:20pt;z-index:251658752;visibility:visible;mso-position-horizontal-relative:page;mso-position-vertical-relative:page">
            <v:imagedata r:id="rId7" o:title=""/>
            <w10:wrap anchorx="page" anchory="page"/>
          </v:shape>
        </w:pict>
      </w:r>
      <w:r w:rsidRPr="00EB6BCB">
        <w:rPr>
          <w:caps/>
          <w:color w:val="000080"/>
          <w:sz w:val="21"/>
          <w:szCs w:val="21"/>
          <w:lang w:val="fr-FR"/>
        </w:rPr>
        <w:t>Le rapport annuel OEDT</w:t>
      </w:r>
      <w:r>
        <w:rPr>
          <w:caps/>
          <w:color w:val="000080"/>
          <w:sz w:val="21"/>
          <w:szCs w:val="21"/>
          <w:lang w:val="fr-FR"/>
        </w:rPr>
        <w:t>–</w:t>
      </w:r>
      <w:r w:rsidRPr="00EB6BCB">
        <w:rPr>
          <w:caps/>
          <w:color w:val="000080"/>
          <w:sz w:val="21"/>
          <w:szCs w:val="21"/>
          <w:lang w:val="fr-FR"/>
        </w:rPr>
        <w:t xml:space="preserve">Europol fait le point sur les nouvelles drogues </w:t>
      </w:r>
    </w:p>
    <w:p w:rsidR="00426D66" w:rsidRPr="005F427F" w:rsidRDefault="00426D66" w:rsidP="00EB7AE9">
      <w:pPr>
        <w:pStyle w:val="Heading2"/>
        <w:spacing w:after="320"/>
        <w:rPr>
          <w:lang w:val="fr-FR"/>
        </w:rPr>
      </w:pPr>
      <w:r w:rsidRPr="005F427F">
        <w:rPr>
          <w:lang w:val="fr-FR"/>
        </w:rPr>
        <w:t xml:space="preserve">Environ une nouvelle drogue </w:t>
      </w:r>
      <w:r>
        <w:rPr>
          <w:lang w:val="fr-FR"/>
        </w:rPr>
        <w:t xml:space="preserve">détectée </w:t>
      </w:r>
      <w:r w:rsidRPr="005F427F">
        <w:rPr>
          <w:lang w:val="fr-FR"/>
        </w:rPr>
        <w:t xml:space="preserve">chaque semaine sur le marché </w:t>
      </w:r>
      <w:r>
        <w:rPr>
          <w:lang w:val="fr-FR"/>
        </w:rPr>
        <w:t xml:space="preserve">européen </w:t>
      </w:r>
    </w:p>
    <w:p w:rsidR="00426D66" w:rsidRPr="005F427F" w:rsidRDefault="00426D66" w:rsidP="00EB7AE9">
      <w:pPr>
        <w:rPr>
          <w:rFonts w:cs="Arial"/>
          <w:lang w:val="fr-FR"/>
        </w:rPr>
      </w:pPr>
      <w:r w:rsidRPr="005F427F">
        <w:rPr>
          <w:rFonts w:cs="Arial"/>
          <w:bCs/>
          <w:kern w:val="36"/>
          <w:lang w:val="fr-FR"/>
        </w:rPr>
        <w:t xml:space="preserve">(26.4.2012, LISBONNE) De nouvelles drogues </w:t>
      </w:r>
      <w:r>
        <w:rPr>
          <w:rFonts w:cs="Arial"/>
          <w:bCs/>
          <w:kern w:val="36"/>
          <w:lang w:val="fr-FR"/>
        </w:rPr>
        <w:t>ont été détectées</w:t>
      </w:r>
      <w:r w:rsidRPr="005F427F">
        <w:rPr>
          <w:rFonts w:cs="Arial"/>
          <w:bCs/>
          <w:kern w:val="36"/>
          <w:lang w:val="fr-FR"/>
        </w:rPr>
        <w:t xml:space="preserve"> dans l’</w:t>
      </w:r>
      <w:r w:rsidRPr="005F427F">
        <w:rPr>
          <w:rFonts w:cs="Arial"/>
          <w:b/>
          <w:bCs/>
          <w:kern w:val="36"/>
          <w:lang w:val="fr-FR"/>
        </w:rPr>
        <w:t>Union européenne</w:t>
      </w:r>
      <w:r w:rsidRPr="005F427F">
        <w:rPr>
          <w:rFonts w:cs="Arial"/>
          <w:bCs/>
          <w:kern w:val="36"/>
          <w:lang w:val="fr-FR"/>
        </w:rPr>
        <w:t xml:space="preserve"> l’année dernière, à raison d’une par semaine environ, selon le </w:t>
      </w:r>
      <w:r w:rsidRPr="005F427F">
        <w:rPr>
          <w:rFonts w:cs="Arial"/>
          <w:b/>
          <w:bCs/>
          <w:kern w:val="36"/>
          <w:lang w:val="fr-FR"/>
        </w:rPr>
        <w:t xml:space="preserve">rapport annuel </w:t>
      </w:r>
      <w:r>
        <w:rPr>
          <w:rFonts w:cs="Arial"/>
          <w:b/>
          <w:bCs/>
          <w:kern w:val="36"/>
          <w:lang w:val="fr-FR"/>
        </w:rPr>
        <w:t>conjoint de l’</w:t>
      </w:r>
      <w:r w:rsidRPr="005F427F">
        <w:rPr>
          <w:rFonts w:cs="Arial"/>
          <w:b/>
          <w:bCs/>
          <w:kern w:val="36"/>
          <w:lang w:val="fr-FR"/>
        </w:rPr>
        <w:t>OEDT</w:t>
      </w:r>
      <w:r>
        <w:rPr>
          <w:rFonts w:cs="Arial"/>
          <w:b/>
          <w:bCs/>
          <w:kern w:val="36"/>
          <w:lang w:val="fr-FR"/>
        </w:rPr>
        <w:t xml:space="preserve"> et d’</w:t>
      </w:r>
      <w:r w:rsidRPr="005F427F">
        <w:rPr>
          <w:rFonts w:cs="Arial"/>
          <w:b/>
          <w:bCs/>
          <w:kern w:val="36"/>
          <w:lang w:val="fr-FR"/>
        </w:rPr>
        <w:t xml:space="preserve">Europol </w:t>
      </w:r>
      <w:r>
        <w:rPr>
          <w:rFonts w:cs="Arial"/>
          <w:b/>
          <w:bCs/>
          <w:kern w:val="36"/>
          <w:lang w:val="fr-FR"/>
        </w:rPr>
        <w:t>(</w:t>
      </w:r>
      <w:r w:rsidRPr="005F427F">
        <w:rPr>
          <w:rFonts w:cs="Arial"/>
          <w:b/>
          <w:bCs/>
          <w:kern w:val="36"/>
          <w:lang w:val="fr-FR"/>
        </w:rPr>
        <w:t>2011</w:t>
      </w:r>
      <w:r>
        <w:rPr>
          <w:rFonts w:cs="Arial"/>
          <w:b/>
          <w:bCs/>
          <w:kern w:val="36"/>
          <w:lang w:val="fr-FR"/>
        </w:rPr>
        <w:t>)</w:t>
      </w:r>
      <w:r w:rsidRPr="005F427F">
        <w:rPr>
          <w:rFonts w:cs="Arial"/>
          <w:b/>
          <w:bCs/>
          <w:kern w:val="36"/>
          <w:lang w:val="fr-FR"/>
        </w:rPr>
        <w:t xml:space="preserve"> </w:t>
      </w:r>
      <w:r w:rsidRPr="005F427F">
        <w:rPr>
          <w:rFonts w:cs="Arial"/>
          <w:bCs/>
          <w:kern w:val="36"/>
          <w:lang w:val="fr-FR"/>
        </w:rPr>
        <w:t>sur les</w:t>
      </w:r>
      <w:r w:rsidRPr="005F427F">
        <w:rPr>
          <w:rFonts w:cs="Arial"/>
          <w:lang w:val="fr-FR"/>
        </w:rPr>
        <w:t xml:space="preserve"> nouvelles substances psychoactives publié aujourd’hui (</w:t>
      </w:r>
      <w:r w:rsidRPr="005F427F">
        <w:rPr>
          <w:rFonts w:cs="Arial"/>
          <w:vertAlign w:val="superscript"/>
          <w:lang w:val="fr-FR"/>
        </w:rPr>
        <w:t>1</w:t>
      </w:r>
      <w:r w:rsidRPr="005F427F">
        <w:rPr>
          <w:rFonts w:cs="Arial"/>
          <w:lang w:val="fr-FR"/>
        </w:rPr>
        <w:t xml:space="preserve">). Au total, </w:t>
      </w:r>
      <w:r w:rsidRPr="005F427F">
        <w:rPr>
          <w:rFonts w:cs="Arial"/>
          <w:b/>
          <w:lang w:val="fr-FR"/>
        </w:rPr>
        <w:t xml:space="preserve">49 </w:t>
      </w:r>
      <w:r w:rsidRPr="005F427F">
        <w:rPr>
          <w:rFonts w:cs="Arial"/>
          <w:lang w:val="fr-FR"/>
        </w:rPr>
        <w:t xml:space="preserve">nouvelles substances psychoactives ont été officiellement notifiées pour la première fois en 2011 par l’intermédiaire du </w:t>
      </w:r>
      <w:r w:rsidRPr="005F427F">
        <w:rPr>
          <w:rFonts w:cs="Arial"/>
          <w:b/>
          <w:lang w:val="fr-FR"/>
        </w:rPr>
        <w:t>système d’alerte rapide de l’Union européenne</w:t>
      </w:r>
      <w:r w:rsidRPr="005F427F">
        <w:rPr>
          <w:rFonts w:cs="Arial"/>
          <w:lang w:val="fr-FR"/>
        </w:rPr>
        <w:t> (</w:t>
      </w:r>
      <w:r w:rsidRPr="005F427F">
        <w:rPr>
          <w:rFonts w:cs="Arial"/>
          <w:vertAlign w:val="superscript"/>
          <w:lang w:val="fr-FR"/>
        </w:rPr>
        <w:t>2</w:t>
      </w:r>
      <w:r w:rsidRPr="005F427F">
        <w:rPr>
          <w:rFonts w:cs="Arial"/>
          <w:lang w:val="fr-FR"/>
        </w:rPr>
        <w:t>). Ceci représente le nombre de substances le plus élevé jamais signalé en une seule année, en augmentation par rapport à 2010 (41 substances) et 2009 (24 substances).</w:t>
      </w:r>
    </w:p>
    <w:p w:rsidR="00426D66" w:rsidRPr="005F427F" w:rsidRDefault="00426D66" w:rsidP="00EB7AE9">
      <w:pPr>
        <w:rPr>
          <w:rFonts w:cs="Arial"/>
          <w:lang w:val="fr-FR"/>
        </w:rPr>
      </w:pPr>
      <w:r w:rsidRPr="005F427F">
        <w:rPr>
          <w:rFonts w:cs="Arial"/>
          <w:lang w:val="fr-FR"/>
        </w:rPr>
        <w:t xml:space="preserve">En 2011, la liste des substances </w:t>
      </w:r>
      <w:r>
        <w:rPr>
          <w:rFonts w:cs="Arial"/>
          <w:lang w:val="fr-FR"/>
        </w:rPr>
        <w:t xml:space="preserve">enregistrées </w:t>
      </w:r>
      <w:r w:rsidRPr="005F427F">
        <w:rPr>
          <w:rFonts w:cs="Arial"/>
          <w:lang w:val="fr-FR"/>
        </w:rPr>
        <w:t xml:space="preserve">était dominée par deux groupes: </w:t>
      </w:r>
      <w:r w:rsidRPr="005F427F">
        <w:rPr>
          <w:rFonts w:cs="Arial"/>
          <w:b/>
          <w:lang w:val="fr-FR"/>
        </w:rPr>
        <w:t>cannabinoïdes de synthèse</w:t>
      </w:r>
      <w:r w:rsidRPr="005F427F">
        <w:rPr>
          <w:rFonts w:cs="Arial"/>
          <w:lang w:val="fr-FR"/>
        </w:rPr>
        <w:t xml:space="preserve"> (23 substances) et </w:t>
      </w:r>
      <w:r w:rsidRPr="005F427F">
        <w:rPr>
          <w:rFonts w:cs="Arial"/>
          <w:b/>
          <w:lang w:val="fr-FR"/>
        </w:rPr>
        <w:t>cathinones de synthèse</w:t>
      </w:r>
      <w:r w:rsidRPr="005F427F">
        <w:rPr>
          <w:rFonts w:cs="Arial"/>
          <w:lang w:val="fr-FR"/>
        </w:rPr>
        <w:t xml:space="preserve"> (8 substances) (graphique 1) (</w:t>
      </w:r>
      <w:r w:rsidRPr="005F427F">
        <w:rPr>
          <w:rFonts w:cs="Arial"/>
          <w:vertAlign w:val="superscript"/>
          <w:lang w:val="fr-FR"/>
        </w:rPr>
        <w:t>3</w:t>
      </w:r>
      <w:r w:rsidRPr="005F427F">
        <w:rPr>
          <w:rFonts w:cs="Arial"/>
          <w:lang w:val="fr-FR"/>
        </w:rPr>
        <w:t xml:space="preserve">). Ils forment actuellement les deux plus importants groupes de drogues surveillés par le système d’alerte rapide et représentent les deux tiers environ des nouvelles drogues notifiées l’année dernière. Tous les nouveaux composés signalés en 2011 étaient d’origine synthétique. </w:t>
      </w:r>
    </w:p>
    <w:p w:rsidR="00426D66" w:rsidRPr="005F427F" w:rsidRDefault="00426D66" w:rsidP="00EB7AE9">
      <w:pPr>
        <w:rPr>
          <w:rFonts w:cs="Arial"/>
          <w:lang w:val="fr-FR"/>
        </w:rPr>
      </w:pPr>
      <w:r w:rsidRPr="005F427F">
        <w:rPr>
          <w:rFonts w:cs="Arial"/>
          <w:lang w:val="fr-FR"/>
        </w:rPr>
        <w:t xml:space="preserve">«Les nouvelles drogues sont devenues un phénomène mondial qui se développe à un rythme sans précédent», selon les agences. Les capacités améliorées des systèmes nationaux d’alerte rapide peuvent également avoir contribué à l’augmentation du nombre de nouvelles drogues </w:t>
      </w:r>
      <w:r w:rsidRPr="00EB6BCB">
        <w:rPr>
          <w:rFonts w:cs="Arial"/>
          <w:lang w:val="fr-FR"/>
        </w:rPr>
        <w:t>enregistrées.</w:t>
      </w:r>
      <w:r w:rsidRPr="00EB6BCB" w:rsidDel="0045355F">
        <w:rPr>
          <w:rFonts w:cs="Arial"/>
          <w:lang w:val="fr-FR"/>
        </w:rPr>
        <w:t xml:space="preserve"> </w:t>
      </w:r>
      <w:r w:rsidRPr="00EB6BCB">
        <w:rPr>
          <w:rFonts w:cs="Arial"/>
          <w:lang w:val="fr-FR"/>
        </w:rPr>
        <w:t>Certaines</w:t>
      </w:r>
      <w:r w:rsidRPr="005F427F">
        <w:rPr>
          <w:rFonts w:cs="Arial"/>
          <w:lang w:val="fr-FR"/>
        </w:rPr>
        <w:t xml:space="preserve"> substances nouvellement identifiées ont fait l’objet de recherches actives grâce à l’achat fictif d’euphorisants légaux sur Internet ou auprès de boutiques spécialisées (voir le graphique 2).</w:t>
      </w:r>
    </w:p>
    <w:p w:rsidR="00426D66" w:rsidRPr="005F427F" w:rsidRDefault="00426D66" w:rsidP="00EB7AE9">
      <w:pPr>
        <w:rPr>
          <w:rFonts w:cs="Arial"/>
          <w:lang w:val="fr-FR"/>
        </w:rPr>
      </w:pPr>
      <w:r w:rsidRPr="005F427F">
        <w:rPr>
          <w:rFonts w:cs="Arial"/>
          <w:lang w:val="fr-FR"/>
        </w:rPr>
        <w:t xml:space="preserve">«La rapidité de l’apparition des nouvelles drogues sur le marché défie les procédures établies pour surveiller la consommation de nouvelles substances psychoactives, trouver des réponses et assurer un contrôle», affirme le rapport. Cela a suscité un intérêt accru envers ce phénomène, comme l’ont illustré les initiatives nationales de sensibilisation plus nombreuses, les nouvelles dispositions </w:t>
      </w:r>
      <w:r w:rsidRPr="00501254">
        <w:rPr>
          <w:rFonts w:cs="Arial"/>
          <w:lang w:val="fr-FR"/>
        </w:rPr>
        <w:t>législatives et les études</w:t>
      </w:r>
      <w:r w:rsidRPr="005F427F">
        <w:rPr>
          <w:rFonts w:cs="Arial"/>
          <w:lang w:val="fr-FR"/>
        </w:rPr>
        <w:t xml:space="preserve"> et enquêtes sur la prévalence de la consommation. </w:t>
      </w:r>
    </w:p>
    <w:p w:rsidR="00426D66" w:rsidRPr="005F427F" w:rsidRDefault="00426D66" w:rsidP="00EB7AE9">
      <w:pPr>
        <w:rPr>
          <w:rFonts w:cs="Arial"/>
          <w:lang w:val="fr-FR"/>
        </w:rPr>
      </w:pPr>
      <w:r w:rsidRPr="005F427F">
        <w:rPr>
          <w:rFonts w:cs="Arial"/>
          <w:lang w:val="fr-FR"/>
        </w:rPr>
        <w:t xml:space="preserve">L’année 2011 a été marquée par </w:t>
      </w:r>
      <w:r>
        <w:rPr>
          <w:rFonts w:cs="Arial"/>
          <w:lang w:val="fr-FR"/>
        </w:rPr>
        <w:t xml:space="preserve">le nombre et </w:t>
      </w:r>
      <w:r w:rsidRPr="005F427F">
        <w:rPr>
          <w:rFonts w:cs="Arial"/>
          <w:lang w:val="fr-FR"/>
        </w:rPr>
        <w:t>la diversité croissant</w:t>
      </w:r>
      <w:r>
        <w:rPr>
          <w:rFonts w:cs="Arial"/>
          <w:lang w:val="fr-FR"/>
        </w:rPr>
        <w:t>s</w:t>
      </w:r>
      <w:r w:rsidRPr="005F427F">
        <w:rPr>
          <w:rFonts w:cs="Arial"/>
          <w:lang w:val="fr-FR"/>
        </w:rPr>
        <w:t xml:space="preserve"> des cannabinoïdes de synthèse (présents dans les produits de type «Spice» par exemple), parmi lesquels cinq nouvelles familles chimiques ont été détectées. </w:t>
      </w:r>
      <w:r>
        <w:rPr>
          <w:rFonts w:cs="Arial"/>
          <w:lang w:val="fr-FR"/>
        </w:rPr>
        <w:t xml:space="preserve">(Ceci mène à 45 le nombre de cannabinoïdes de synthèse rapportées depuis 2008 et donc le groupe de drogues le plus important suivi par le système d’alerte). </w:t>
      </w:r>
      <w:r w:rsidRPr="005F427F">
        <w:rPr>
          <w:rFonts w:cs="Arial"/>
          <w:lang w:val="fr-FR"/>
        </w:rPr>
        <w:t xml:space="preserve">Afin de répondre aux préoccupations relatives à la santé, certains pays ont adopté des </w:t>
      </w:r>
      <w:r>
        <w:rPr>
          <w:rFonts w:cs="Arial"/>
          <w:lang w:val="fr-FR"/>
        </w:rPr>
        <w:t xml:space="preserve">«contrôles génériques» </w:t>
      </w:r>
      <w:r w:rsidRPr="005F427F">
        <w:rPr>
          <w:rFonts w:cs="Arial"/>
          <w:lang w:val="fr-FR"/>
        </w:rPr>
        <w:t xml:space="preserve">pour </w:t>
      </w:r>
      <w:r>
        <w:rPr>
          <w:rFonts w:cs="Arial"/>
          <w:lang w:val="fr-FR"/>
        </w:rPr>
        <w:t>des familles chimiques, ainsi que des contrôles pour les substances individuelles</w:t>
      </w:r>
      <w:r w:rsidRPr="005F427F">
        <w:rPr>
          <w:rFonts w:cs="Arial"/>
          <w:lang w:val="fr-FR"/>
        </w:rPr>
        <w:t xml:space="preserve"> (</w:t>
      </w:r>
      <w:r w:rsidRPr="005F427F">
        <w:rPr>
          <w:rFonts w:cs="Arial"/>
          <w:vertAlign w:val="superscript"/>
          <w:lang w:val="fr-FR"/>
        </w:rPr>
        <w:t>4</w:t>
      </w:r>
      <w:r w:rsidRPr="005F427F">
        <w:rPr>
          <w:rFonts w:cs="Arial"/>
          <w:lang w:val="fr-FR"/>
        </w:rPr>
        <w:t xml:space="preserve">). </w:t>
      </w:r>
    </w:p>
    <w:p w:rsidR="00426D66" w:rsidRDefault="00426D66" w:rsidP="00EB7AE9">
      <w:pPr>
        <w:rPr>
          <w:rFonts w:cs="Arial"/>
          <w:lang w:val="fr-FR"/>
        </w:rPr>
      </w:pPr>
      <w:r w:rsidRPr="005F427F">
        <w:rPr>
          <w:rFonts w:cs="Arial"/>
          <w:b/>
          <w:lang w:val="fr-FR"/>
        </w:rPr>
        <w:t>M. Wolfgang Götz, directeur de l’OEDT</w:t>
      </w:r>
      <w:r w:rsidRPr="005F427F">
        <w:rPr>
          <w:rFonts w:cs="Arial"/>
          <w:lang w:val="fr-FR"/>
        </w:rPr>
        <w:t>, remarque: «</w:t>
      </w:r>
      <w:r>
        <w:rPr>
          <w:rFonts w:cs="Arial"/>
          <w:lang w:val="fr-FR"/>
        </w:rPr>
        <w:t xml:space="preserve">Actuellement on trouve des drogues vendues dans des emballages attrayants sur la toile, dans les boîtes de nuit ou sur le coin d’une rue. Quelle que soit la source, il faut savoir que les personnes qui consomment cette gamme croissante de poudres, pilules et mixtures jouent un jeu dangereux, sans savoir les substances que ces produits contiennent ni les dangers qu’ils peuvent représenter pour la santé». </w:t>
      </w:r>
    </w:p>
    <w:p w:rsidR="00426D66" w:rsidRPr="005F427F" w:rsidRDefault="00426D66" w:rsidP="00EB7AE9">
      <w:pPr>
        <w:rPr>
          <w:lang w:val="fr-FR"/>
        </w:rPr>
      </w:pPr>
      <w:r>
        <w:rPr>
          <w:rFonts w:cs="Arial"/>
          <w:lang w:val="fr-FR"/>
        </w:rPr>
        <w:t xml:space="preserve">En parlant du système d’alerte rapide, il ajoute: «Nous devons continuer à </w:t>
      </w:r>
      <w:r w:rsidRPr="005F427F">
        <w:rPr>
          <w:lang w:val="fr-FR"/>
        </w:rPr>
        <w:t>améliorer nos capacités</w:t>
      </w:r>
      <w:r>
        <w:rPr>
          <w:lang w:val="fr-FR"/>
        </w:rPr>
        <w:t xml:space="preserve"> en Europe pour détecter et répondre rapidement et d’une manière adaptée à ces changements, ce qui exige un bon réseau et le partage de l’information ainsi qu’un investissement dans l’analyse médico-légale et la recherche</w:t>
      </w:r>
      <w:r w:rsidRPr="005F427F">
        <w:rPr>
          <w:lang w:val="fr-FR"/>
        </w:rPr>
        <w:t xml:space="preserve">» </w:t>
      </w:r>
    </w:p>
    <w:p w:rsidR="00426D66" w:rsidRPr="005F427F" w:rsidRDefault="00426D66" w:rsidP="00EB7AE9">
      <w:pPr>
        <w:rPr>
          <w:rFonts w:cs="Arial"/>
          <w:lang w:val="fr-FR"/>
        </w:rPr>
      </w:pPr>
      <w:r w:rsidRPr="005F427F">
        <w:rPr>
          <w:rFonts w:cs="Arial"/>
          <w:lang w:val="fr-FR"/>
        </w:rPr>
        <w:t xml:space="preserve">Dans une section complémentaire sur la méphédrone, dérivé des cathinones de synthèse, le rapport montre que </w:t>
      </w:r>
      <w:r w:rsidRPr="005F427F">
        <w:rPr>
          <w:rFonts w:cs="Arial"/>
          <w:b/>
          <w:lang w:val="fr-FR"/>
        </w:rPr>
        <w:t>26 États membres de l’UE, la</w:t>
      </w:r>
      <w:r w:rsidRPr="005F427F">
        <w:rPr>
          <w:rFonts w:cs="Arial"/>
          <w:lang w:val="fr-FR"/>
        </w:rPr>
        <w:t xml:space="preserve"> </w:t>
      </w:r>
      <w:r w:rsidRPr="005F427F">
        <w:rPr>
          <w:rFonts w:cs="Arial"/>
          <w:b/>
          <w:lang w:val="fr-FR"/>
        </w:rPr>
        <w:t>Norvège</w:t>
      </w:r>
      <w:r w:rsidRPr="005F427F">
        <w:rPr>
          <w:rFonts w:cs="Arial"/>
          <w:lang w:val="fr-FR"/>
        </w:rPr>
        <w:t xml:space="preserve"> et </w:t>
      </w:r>
      <w:r w:rsidRPr="005F427F">
        <w:rPr>
          <w:rFonts w:cs="Arial"/>
          <w:b/>
          <w:lang w:val="fr-FR"/>
        </w:rPr>
        <w:t>la</w:t>
      </w:r>
      <w:r w:rsidRPr="005F427F">
        <w:rPr>
          <w:rFonts w:cs="Arial"/>
          <w:lang w:val="fr-FR"/>
        </w:rPr>
        <w:t xml:space="preserve"> </w:t>
      </w:r>
      <w:r w:rsidRPr="005F427F">
        <w:rPr>
          <w:rFonts w:cs="Arial"/>
          <w:b/>
          <w:lang w:val="fr-FR"/>
        </w:rPr>
        <w:t xml:space="preserve">Croatie </w:t>
      </w:r>
      <w:r w:rsidRPr="005F427F">
        <w:rPr>
          <w:rFonts w:cs="Arial"/>
          <w:lang w:val="fr-FR"/>
        </w:rPr>
        <w:t xml:space="preserve">soumettent désormais cette substance à des mesures de contrôle dans le cadre de leur législation sur la drogue (les </w:t>
      </w:r>
      <w:r w:rsidRPr="005F427F">
        <w:rPr>
          <w:rFonts w:cs="Arial"/>
          <w:b/>
          <w:lang w:val="fr-FR"/>
        </w:rPr>
        <w:t>Pays-Bas</w:t>
      </w:r>
      <w:r w:rsidRPr="005F427F">
        <w:rPr>
          <w:rFonts w:cs="Arial"/>
          <w:lang w:val="fr-FR"/>
        </w:rPr>
        <w:t xml:space="preserve"> devraient adopter cette mesure </w:t>
      </w:r>
      <w:r>
        <w:rPr>
          <w:rFonts w:cs="Arial"/>
          <w:lang w:val="fr-FR"/>
        </w:rPr>
        <w:t>d’ici peu)</w:t>
      </w:r>
      <w:r w:rsidRPr="005F427F">
        <w:rPr>
          <w:rFonts w:cs="Arial"/>
          <w:lang w:val="fr-FR"/>
        </w:rPr>
        <w:t xml:space="preserve"> (</w:t>
      </w:r>
      <w:r w:rsidRPr="005F427F">
        <w:rPr>
          <w:rFonts w:cs="Arial"/>
          <w:vertAlign w:val="superscript"/>
          <w:lang w:val="fr-FR"/>
        </w:rPr>
        <w:t>5</w:t>
      </w:r>
      <w:r w:rsidRPr="005F427F">
        <w:rPr>
          <w:rFonts w:cs="Arial"/>
          <w:lang w:val="fr-FR"/>
        </w:rPr>
        <w:t>). Le rapport décrit aussi la surveillance du marché en ligne des euphorisants légaux par l’</w:t>
      </w:r>
      <w:r w:rsidRPr="005F427F">
        <w:rPr>
          <w:rFonts w:cs="Arial"/>
          <w:b/>
          <w:lang w:val="fr-FR"/>
        </w:rPr>
        <w:t>OEDT</w:t>
      </w:r>
      <w:r w:rsidRPr="005F427F">
        <w:rPr>
          <w:rFonts w:cs="Arial"/>
          <w:lang w:val="fr-FR"/>
        </w:rPr>
        <w:t xml:space="preserve">. Le nombre de boutiques en ligne proposant au moins une substance ou un produit psychoactif est passé de 314 en janvier 2011 à 690 en janvier 2012. </w:t>
      </w:r>
    </w:p>
    <w:p w:rsidR="00426D66" w:rsidRPr="005F427F" w:rsidRDefault="00426D66" w:rsidP="00EB7AE9">
      <w:pPr>
        <w:rPr>
          <w:rFonts w:cs="Arial"/>
          <w:lang w:val="fr-FR"/>
        </w:rPr>
      </w:pPr>
      <w:r w:rsidRPr="005F427F">
        <w:rPr>
          <w:rFonts w:cs="Arial"/>
          <w:b/>
          <w:lang w:val="fr-FR"/>
        </w:rPr>
        <w:t>Rob Wainwright, directeur d’Europol</w:t>
      </w:r>
      <w:r w:rsidRPr="005F427F">
        <w:rPr>
          <w:rFonts w:cs="Arial"/>
          <w:lang w:val="fr-FR"/>
        </w:rPr>
        <w:t xml:space="preserve">, affirme: «La vente de drogues illégales et de nouvelles substances psychoactives est une autre facette de la criminalité organisée sur Internet. </w:t>
      </w:r>
      <w:r>
        <w:rPr>
          <w:rFonts w:cs="Arial"/>
          <w:lang w:val="fr-FR"/>
        </w:rPr>
        <w:t xml:space="preserve">Nous devons garantir que les </w:t>
      </w:r>
      <w:r w:rsidRPr="005F427F">
        <w:rPr>
          <w:rFonts w:cs="Arial"/>
          <w:lang w:val="fr-FR"/>
        </w:rPr>
        <w:t xml:space="preserve">forces de l’ordre </w:t>
      </w:r>
      <w:r>
        <w:rPr>
          <w:rFonts w:cs="Arial"/>
          <w:lang w:val="fr-FR"/>
        </w:rPr>
        <w:t xml:space="preserve">aient </w:t>
      </w:r>
      <w:r w:rsidRPr="005F427F">
        <w:rPr>
          <w:rFonts w:cs="Arial"/>
          <w:lang w:val="fr-FR"/>
        </w:rPr>
        <w:t>les moyens</w:t>
      </w:r>
      <w:r>
        <w:rPr>
          <w:rFonts w:cs="Arial"/>
          <w:lang w:val="fr-FR"/>
        </w:rPr>
        <w:t xml:space="preserve"> de fonctionner et d’engager des poursuites judiciaires les plus pointus à leur disposition</w:t>
      </w:r>
      <w:r w:rsidRPr="005F427F">
        <w:rPr>
          <w:rFonts w:cs="Arial"/>
          <w:lang w:val="fr-FR"/>
        </w:rPr>
        <w:t xml:space="preserve"> </w:t>
      </w:r>
      <w:r>
        <w:rPr>
          <w:rFonts w:cs="Arial"/>
          <w:lang w:val="fr-FR"/>
        </w:rPr>
        <w:t>pour être le plus efficace possible</w:t>
      </w:r>
      <w:r w:rsidRPr="005F427F">
        <w:rPr>
          <w:rFonts w:cs="Arial"/>
          <w:lang w:val="fr-FR"/>
        </w:rPr>
        <w:t xml:space="preserve">.» </w:t>
      </w:r>
    </w:p>
    <w:p w:rsidR="00426D66" w:rsidRPr="005F427F" w:rsidRDefault="00426D66" w:rsidP="00EB7AE9">
      <w:pPr>
        <w:rPr>
          <w:rFonts w:cs="Arial"/>
          <w:lang w:val="fr-FR"/>
        </w:rPr>
      </w:pPr>
      <w:r w:rsidRPr="005F427F">
        <w:rPr>
          <w:rFonts w:cs="Arial"/>
          <w:lang w:val="fr-FR"/>
        </w:rPr>
        <w:t xml:space="preserve">Comme elle l’a annoncé dans sa communication </w:t>
      </w:r>
      <w:r w:rsidRPr="00D273F0">
        <w:rPr>
          <w:rFonts w:cs="Arial"/>
          <w:b/>
          <w:lang w:val="fr-FR"/>
        </w:rPr>
        <w:t>«</w:t>
      </w:r>
      <w:r w:rsidRPr="005F427F">
        <w:rPr>
          <w:rFonts w:cs="Arial"/>
          <w:b/>
          <w:lang w:val="fr-FR"/>
        </w:rPr>
        <w:t>Vers une approche plus ferme de l'UE en matière de lutte contre la drogue»</w:t>
      </w:r>
      <w:r w:rsidRPr="005F427F">
        <w:rPr>
          <w:rFonts w:cs="Arial"/>
          <w:lang w:val="fr-FR"/>
        </w:rPr>
        <w:t xml:space="preserve">, la </w:t>
      </w:r>
      <w:r w:rsidRPr="005F427F">
        <w:rPr>
          <w:rFonts w:cs="Arial"/>
          <w:b/>
          <w:lang w:val="fr-FR"/>
        </w:rPr>
        <w:t>Commission européenne</w:t>
      </w:r>
      <w:r w:rsidRPr="005F427F">
        <w:rPr>
          <w:rFonts w:cs="Arial"/>
          <w:lang w:val="fr-FR"/>
        </w:rPr>
        <w:t xml:space="preserve"> proposera une législation européenne plus stricte concernant les nouvelles substances psychoactives, en tenant compte de l’évolution rapide qui caractérise ce domaine et des preuves scientifiques attestant les risques que présentent ces substances (</w:t>
      </w:r>
      <w:r w:rsidRPr="005F427F">
        <w:rPr>
          <w:rFonts w:cs="Arial"/>
          <w:vertAlign w:val="superscript"/>
          <w:lang w:val="fr-FR"/>
        </w:rPr>
        <w:t>6</w:t>
      </w:r>
      <w:r w:rsidRPr="005F427F">
        <w:rPr>
          <w:rFonts w:cs="Arial"/>
          <w:lang w:val="fr-FR"/>
        </w:rPr>
        <w:t xml:space="preserve">). </w:t>
      </w:r>
    </w:p>
    <w:p w:rsidR="00426D66" w:rsidRPr="00501254" w:rsidRDefault="00426D66" w:rsidP="00EB7AE9">
      <w:pPr>
        <w:rPr>
          <w:lang w:val="fr-FR"/>
        </w:rPr>
      </w:pPr>
      <w:r w:rsidRPr="005F427F">
        <w:rPr>
          <w:rFonts w:cs="Arial"/>
          <w:lang w:val="fr-FR"/>
        </w:rPr>
        <w:t xml:space="preserve">Dans le cadre d’une enquête </w:t>
      </w:r>
      <w:r w:rsidRPr="005F427F">
        <w:rPr>
          <w:rFonts w:cs="Arial"/>
          <w:b/>
          <w:lang w:val="fr-FR"/>
        </w:rPr>
        <w:t>Eurobaromètre</w:t>
      </w:r>
      <w:r w:rsidRPr="005F427F">
        <w:rPr>
          <w:rFonts w:cs="Arial"/>
          <w:lang w:val="fr-FR"/>
        </w:rPr>
        <w:t xml:space="preserve"> réalisée en 2011 auprès de jeunes de 15 à 24 ans, 5 % des jeunes sondés en moyenne ont affirmé avoir consommé des euphorisants légaux. Ils se sont généralement procuré ces </w:t>
      </w:r>
      <w:r w:rsidRPr="005F427F">
        <w:rPr>
          <w:lang w:val="fr-FR"/>
        </w:rPr>
        <w:t xml:space="preserve">substances par l’intermédiaire d’amis (54 %), lors de fêtes ou dans des boîtes de nuit (37 %), dans </w:t>
      </w:r>
      <w:r w:rsidRPr="00501254">
        <w:rPr>
          <w:lang w:val="fr-FR"/>
        </w:rPr>
        <w:t xml:space="preserve">des boutiques spécialisées (33 %) ou sur Internet (7 %). </w:t>
      </w:r>
    </w:p>
    <w:p w:rsidR="00426D66" w:rsidRPr="005F427F" w:rsidRDefault="00426D66" w:rsidP="00EB7AE9">
      <w:pPr>
        <w:rPr>
          <w:rFonts w:cs="Arial"/>
          <w:lang w:val="fr-FR"/>
        </w:rPr>
      </w:pPr>
      <w:r w:rsidRPr="00501254">
        <w:rPr>
          <w:rFonts w:cs="Arial"/>
          <w:lang w:val="fr-FR"/>
        </w:rPr>
        <w:t>Les États membres de l’Union ont signalé plus de 200 substances (dont une partie vendue comme euphorisants légaux) par l’intermédiaire du système d’alerte rapide depuis sa création en 1997.</w:t>
      </w:r>
      <w:r w:rsidRPr="005F427F">
        <w:rPr>
          <w:rFonts w:cs="Arial"/>
          <w:lang w:val="fr-FR"/>
        </w:rPr>
        <w:t xml:space="preserve"> </w:t>
      </w:r>
    </w:p>
    <w:p w:rsidR="00426D66" w:rsidRPr="000B1977" w:rsidRDefault="00426D66" w:rsidP="00EB6BCB">
      <w:pPr>
        <w:spacing w:after="0"/>
        <w:rPr>
          <w:rFonts w:cs="Arial"/>
          <w:b/>
          <w:color w:val="000080"/>
          <w:sz w:val="18"/>
          <w:szCs w:val="18"/>
          <w:lang w:val="fr-FR"/>
        </w:rPr>
      </w:pPr>
      <w:r w:rsidRPr="000B1977">
        <w:rPr>
          <w:rFonts w:cs="Arial"/>
          <w:b/>
          <w:color w:val="000080"/>
          <w:sz w:val="18"/>
          <w:szCs w:val="18"/>
          <w:lang w:val="fr-FR"/>
        </w:rPr>
        <w:t>Notes</w:t>
      </w:r>
    </w:p>
    <w:p w:rsidR="00426D66" w:rsidRPr="00EB6BCB" w:rsidRDefault="00426D66" w:rsidP="00EB7AE9">
      <w:pPr>
        <w:autoSpaceDE w:val="0"/>
        <w:autoSpaceDN w:val="0"/>
        <w:adjustRightInd w:val="0"/>
        <w:spacing w:after="0" w:line="240" w:lineRule="exact"/>
        <w:rPr>
          <w:rFonts w:cs="Arial"/>
          <w:sz w:val="18"/>
          <w:szCs w:val="18"/>
          <w:lang w:val="fr-FR"/>
        </w:rPr>
      </w:pPr>
      <w:r w:rsidRPr="00EB6BCB">
        <w:rPr>
          <w:rFonts w:cs="Arial"/>
          <w:sz w:val="18"/>
          <w:szCs w:val="18"/>
          <w:lang w:val="fr-FR"/>
        </w:rPr>
        <w:t>(</w:t>
      </w:r>
      <w:r w:rsidRPr="00EB6BCB">
        <w:rPr>
          <w:rFonts w:cs="Arial"/>
          <w:sz w:val="18"/>
          <w:szCs w:val="18"/>
          <w:vertAlign w:val="superscript"/>
          <w:lang w:val="fr-FR"/>
        </w:rPr>
        <w:t>1</w:t>
      </w:r>
      <w:r w:rsidRPr="00EB6BCB">
        <w:rPr>
          <w:rFonts w:cs="Arial"/>
          <w:sz w:val="18"/>
          <w:szCs w:val="18"/>
          <w:lang w:val="fr-FR"/>
        </w:rPr>
        <w:t xml:space="preserve">) </w:t>
      </w:r>
      <w:r w:rsidRPr="00EB6BCB">
        <w:rPr>
          <w:sz w:val="18"/>
          <w:szCs w:val="18"/>
          <w:lang w:val="fr-FR"/>
        </w:rPr>
        <w:t xml:space="preserve">Rapport annuel 2011 conjoint de l’OEDT et d’Europol sur l’application de la décision 2005/387/JAI du Conseil, conformément à </w:t>
      </w:r>
      <w:r w:rsidRPr="00C43E94">
        <w:rPr>
          <w:sz w:val="18"/>
          <w:szCs w:val="18"/>
          <w:lang w:val="fr-FR"/>
        </w:rPr>
        <w:t>l’article 10</w:t>
      </w:r>
      <w:r w:rsidRPr="00EB6BCB">
        <w:rPr>
          <w:sz w:val="18"/>
          <w:szCs w:val="18"/>
          <w:lang w:val="fr-FR"/>
        </w:rPr>
        <w:t xml:space="preserve"> de la décision 2005/387/JAI </w:t>
      </w:r>
      <w:r w:rsidRPr="00EB6BCB">
        <w:rPr>
          <w:rFonts w:cs="Arial"/>
          <w:bCs/>
          <w:color w:val="000000"/>
          <w:sz w:val="18"/>
          <w:szCs w:val="18"/>
          <w:lang w:val="fr-FR"/>
        </w:rPr>
        <w:t>du Conseil relative à l’échange d’informations, à l’évaluation des risques et au contrôle des nouvelles substances psychoactives</w:t>
      </w:r>
      <w:r w:rsidRPr="00EB6BCB">
        <w:rPr>
          <w:sz w:val="18"/>
          <w:szCs w:val="18"/>
          <w:lang w:val="fr-FR"/>
        </w:rPr>
        <w:t>. Le rapport de 2011 (7</w:t>
      </w:r>
      <w:r w:rsidRPr="00EB6BCB">
        <w:rPr>
          <w:sz w:val="18"/>
          <w:szCs w:val="18"/>
          <w:vertAlign w:val="superscript"/>
          <w:lang w:val="fr-FR"/>
        </w:rPr>
        <w:t>e</w:t>
      </w:r>
      <w:r w:rsidRPr="00EB6BCB">
        <w:rPr>
          <w:sz w:val="18"/>
          <w:szCs w:val="18"/>
          <w:lang w:val="fr-FR"/>
        </w:rPr>
        <w:t xml:space="preserve"> rapport de mise en œuvre) est disponible en anglais à l’adresse suivante: </w:t>
      </w:r>
      <w:hyperlink r:id="rId8" w:history="1">
        <w:r w:rsidRPr="00EB6BCB">
          <w:rPr>
            <w:rStyle w:val="Hyperlink"/>
            <w:rFonts w:cs="Arial"/>
            <w:sz w:val="18"/>
            <w:szCs w:val="18"/>
            <w:u w:val="none"/>
            <w:lang w:val="fr-FR"/>
          </w:rPr>
          <w:t>www.emcdda.europa.eu/publications/implementation-reports</w:t>
        </w:r>
      </w:hyperlink>
      <w:r w:rsidRPr="00EB6BCB">
        <w:rPr>
          <w:color w:val="000000"/>
          <w:sz w:val="18"/>
          <w:szCs w:val="18"/>
          <w:lang w:val="fr-FR"/>
        </w:rPr>
        <w:t>. L’annexe 1 dresse la liste des substances</w:t>
      </w:r>
      <w:r w:rsidRPr="00EB6BCB">
        <w:rPr>
          <w:sz w:val="18"/>
          <w:szCs w:val="18"/>
          <w:lang w:val="fr-FR"/>
        </w:rPr>
        <w:t xml:space="preserve">. Pour en savoir davantage sur la décision du Conseil et sur ces rapports, consultez la page: </w:t>
      </w:r>
      <w:hyperlink r:id="rId9" w:history="1">
        <w:r w:rsidRPr="00EB6BCB">
          <w:rPr>
            <w:rStyle w:val="Hyperlink"/>
            <w:rFonts w:cs="Arial"/>
            <w:sz w:val="18"/>
            <w:szCs w:val="18"/>
            <w:u w:val="none"/>
            <w:lang w:val="fr-FR"/>
          </w:rPr>
          <w:t>www.emcdda.europa.eu/drug-situation/new-drugs</w:t>
        </w:r>
      </w:hyperlink>
    </w:p>
    <w:p w:rsidR="00426D66" w:rsidRPr="00EB6BCB" w:rsidRDefault="00426D66" w:rsidP="00E40FA3">
      <w:pPr>
        <w:spacing w:after="0"/>
        <w:rPr>
          <w:rFonts w:cs="Arial"/>
          <w:sz w:val="18"/>
          <w:szCs w:val="18"/>
          <w:lang w:val="fr-FR"/>
        </w:rPr>
      </w:pPr>
      <w:r w:rsidRPr="00EB6BCB">
        <w:rPr>
          <w:rFonts w:cs="Arial"/>
          <w:sz w:val="18"/>
          <w:szCs w:val="18"/>
          <w:lang w:val="fr-FR"/>
        </w:rPr>
        <w:t>(</w:t>
      </w:r>
      <w:r w:rsidRPr="00EB6BCB">
        <w:rPr>
          <w:rFonts w:cs="Arial"/>
          <w:sz w:val="18"/>
          <w:szCs w:val="18"/>
          <w:vertAlign w:val="superscript"/>
          <w:lang w:val="fr-FR"/>
        </w:rPr>
        <w:t>2</w:t>
      </w:r>
      <w:r w:rsidRPr="00EB6BCB">
        <w:rPr>
          <w:rFonts w:cs="Arial"/>
          <w:sz w:val="18"/>
          <w:szCs w:val="18"/>
          <w:lang w:val="fr-FR"/>
        </w:rPr>
        <w:t xml:space="preserve">) Le système d’alerte rapide fournit aux États membres de l’UE un mécanisme d’échange d’informations permettant de rendre compte de l’émergence de nouvelles substances psychoactives. C’est un élément clé du système européen accéléré d’évaluation et de réaction aux nouvelles drogues. Le système d’alerte rapide offre des capacités de notification importantes qui facilitent l’échange rapide et la triangulation des informations provenant de sources existantes. </w:t>
      </w:r>
    </w:p>
    <w:p w:rsidR="00426D66" w:rsidRPr="00EB6BCB" w:rsidRDefault="00426D66" w:rsidP="00EB6BCB">
      <w:pPr>
        <w:spacing w:after="0"/>
        <w:rPr>
          <w:rFonts w:cs="Arial"/>
          <w:b/>
          <w:sz w:val="18"/>
          <w:szCs w:val="18"/>
          <w:lang w:val="fr-FR"/>
        </w:rPr>
      </w:pPr>
      <w:r w:rsidRPr="00EB6BCB">
        <w:rPr>
          <w:rFonts w:cs="Arial"/>
          <w:sz w:val="18"/>
          <w:szCs w:val="18"/>
          <w:lang w:val="fr-FR"/>
        </w:rPr>
        <w:t xml:space="preserve">Pour plus d’informations, consultez la page </w:t>
      </w:r>
      <w:hyperlink r:id="rId10" w:history="1">
        <w:r w:rsidRPr="00EB6BCB">
          <w:rPr>
            <w:rStyle w:val="Hyperlink"/>
            <w:rFonts w:cs="Arial"/>
            <w:sz w:val="18"/>
            <w:szCs w:val="18"/>
            <w:u w:val="none"/>
            <w:lang w:val="fr-FR"/>
          </w:rPr>
          <w:t>www.emcdda.europa.eu/themes/new-drugs/early-warning</w:t>
        </w:r>
      </w:hyperlink>
      <w:r w:rsidRPr="00EB6BCB">
        <w:rPr>
          <w:rFonts w:cs="Arial"/>
          <w:sz w:val="18"/>
          <w:szCs w:val="18"/>
          <w:lang w:val="fr-FR"/>
        </w:rPr>
        <w:t xml:space="preserve"> et la brochure disponible à l’adresse suivante: </w:t>
      </w:r>
      <w:hyperlink r:id="rId11" w:history="1">
        <w:r w:rsidRPr="00EB6BCB">
          <w:rPr>
            <w:rStyle w:val="Hyperlink"/>
            <w:rFonts w:cs="Arial"/>
            <w:sz w:val="18"/>
            <w:szCs w:val="18"/>
            <w:u w:val="none"/>
            <w:lang w:val="fr-FR"/>
          </w:rPr>
          <w:t>www.emcdda.europa.eu/html.cfm/index40105EN.html</w:t>
        </w:r>
      </w:hyperlink>
      <w:r w:rsidRPr="00EB6BCB">
        <w:rPr>
          <w:rFonts w:cs="Arial"/>
          <w:sz w:val="18"/>
          <w:szCs w:val="18"/>
          <w:lang w:val="fr-FR"/>
        </w:rPr>
        <w:t xml:space="preserve">. </w:t>
      </w:r>
      <w:r>
        <w:rPr>
          <w:rFonts w:cs="Arial"/>
          <w:sz w:val="18"/>
          <w:szCs w:val="18"/>
          <w:lang w:val="fr-FR"/>
        </w:rPr>
        <w:t xml:space="preserve">                                                            </w:t>
      </w:r>
      <w:r w:rsidRPr="00EB6BCB">
        <w:rPr>
          <w:rFonts w:cs="Arial"/>
          <w:sz w:val="18"/>
          <w:szCs w:val="18"/>
          <w:lang w:val="fr-FR"/>
        </w:rPr>
        <w:t>(</w:t>
      </w:r>
      <w:r w:rsidRPr="00EB6BCB">
        <w:rPr>
          <w:rFonts w:cs="Arial"/>
          <w:sz w:val="18"/>
          <w:szCs w:val="18"/>
          <w:vertAlign w:val="superscript"/>
          <w:lang w:val="fr-FR"/>
        </w:rPr>
        <w:t>3</w:t>
      </w:r>
      <w:r w:rsidRPr="00EB6BCB">
        <w:rPr>
          <w:rFonts w:cs="Arial"/>
          <w:sz w:val="18"/>
          <w:szCs w:val="18"/>
          <w:lang w:val="fr-FR"/>
        </w:rPr>
        <w:t>) Vous trouverez des informations supplémentaires sur ces substances dans les «profils des drogues» en ligne:</w:t>
      </w:r>
    </w:p>
    <w:p w:rsidR="00426D66" w:rsidRPr="00EB6BCB" w:rsidRDefault="00426D66" w:rsidP="00EB7AE9">
      <w:pPr>
        <w:spacing w:after="0"/>
        <w:rPr>
          <w:rFonts w:cs="Arial"/>
          <w:sz w:val="18"/>
          <w:szCs w:val="18"/>
          <w:lang w:val="fr-FR"/>
        </w:rPr>
      </w:pPr>
      <w:hyperlink r:id="rId12" w:history="1">
        <w:r w:rsidRPr="00EB6BCB">
          <w:rPr>
            <w:rStyle w:val="Hyperlink"/>
            <w:rFonts w:cs="Arial"/>
            <w:sz w:val="18"/>
            <w:szCs w:val="18"/>
            <w:u w:val="none"/>
            <w:lang w:val="fr-FR"/>
          </w:rPr>
          <w:t>www.emcdda.europa.eu/publications/drug-profiles/synthetic-cannabinoids</w:t>
        </w:r>
      </w:hyperlink>
      <w:r w:rsidRPr="00EB6BCB">
        <w:rPr>
          <w:sz w:val="18"/>
          <w:szCs w:val="18"/>
          <w:lang w:val="fr-FR"/>
        </w:rPr>
        <w:t xml:space="preserve"> </w:t>
      </w:r>
      <w:r w:rsidRPr="00EB6BCB">
        <w:rPr>
          <w:rFonts w:cs="Arial"/>
          <w:sz w:val="18"/>
          <w:szCs w:val="18"/>
          <w:lang w:val="fr-FR"/>
        </w:rPr>
        <w:t>et</w:t>
      </w:r>
    </w:p>
    <w:p w:rsidR="00426D66" w:rsidRPr="00EB6BCB" w:rsidRDefault="00426D66" w:rsidP="00EB7AE9">
      <w:pPr>
        <w:spacing w:after="0"/>
        <w:rPr>
          <w:rFonts w:cs="Arial"/>
          <w:sz w:val="18"/>
          <w:szCs w:val="18"/>
          <w:lang w:val="fr-FR"/>
        </w:rPr>
      </w:pPr>
      <w:hyperlink r:id="rId13" w:history="1">
        <w:r w:rsidRPr="00EB6BCB">
          <w:rPr>
            <w:rStyle w:val="Hyperlink"/>
            <w:rFonts w:cs="Arial"/>
            <w:sz w:val="18"/>
            <w:szCs w:val="18"/>
            <w:u w:val="none"/>
            <w:lang w:val="fr-FR"/>
          </w:rPr>
          <w:t>www.emcdda.europa.eu/publications/drug-profiles/synthetic-cathinones</w:t>
        </w:r>
      </w:hyperlink>
    </w:p>
    <w:p w:rsidR="00426D66" w:rsidRPr="00EB6BCB" w:rsidRDefault="00426D66" w:rsidP="00EB7AE9">
      <w:pPr>
        <w:spacing w:after="0"/>
        <w:rPr>
          <w:rFonts w:cs="Arial"/>
          <w:sz w:val="18"/>
          <w:szCs w:val="18"/>
          <w:lang w:val="fr-FR"/>
        </w:rPr>
      </w:pPr>
      <w:r w:rsidRPr="00EB6BCB">
        <w:rPr>
          <w:rFonts w:cs="Arial"/>
          <w:sz w:val="18"/>
          <w:szCs w:val="18"/>
          <w:lang w:val="fr-FR"/>
        </w:rPr>
        <w:t>(</w:t>
      </w:r>
      <w:r w:rsidRPr="00EB6BCB">
        <w:rPr>
          <w:rFonts w:cs="Arial"/>
          <w:sz w:val="18"/>
          <w:szCs w:val="18"/>
          <w:vertAlign w:val="superscript"/>
          <w:lang w:val="fr-FR"/>
        </w:rPr>
        <w:t>4</w:t>
      </w:r>
      <w:r w:rsidRPr="00EB6BCB">
        <w:rPr>
          <w:rFonts w:cs="Arial"/>
          <w:sz w:val="18"/>
          <w:szCs w:val="18"/>
          <w:lang w:val="fr-FR"/>
        </w:rPr>
        <w:t xml:space="preserve">) Par exemple, l’Irlande, l’Italie, la Chypre, la Lituanie, le Luxembourg, l’Hongrie, l’Autriche et le Royaume-Uni ont introduit des « contrôles génériques » sur les </w:t>
      </w:r>
      <w:r w:rsidRPr="00501254">
        <w:rPr>
          <w:rFonts w:cs="Arial"/>
          <w:sz w:val="18"/>
          <w:szCs w:val="18"/>
          <w:lang w:val="fr-FR"/>
        </w:rPr>
        <w:t>familles des cannabinoïdes synthétiques.</w:t>
      </w:r>
      <w:r w:rsidRPr="00EB6BCB">
        <w:rPr>
          <w:rFonts w:cs="Arial"/>
          <w:sz w:val="18"/>
          <w:szCs w:val="18"/>
          <w:lang w:val="fr-FR"/>
        </w:rPr>
        <w:t xml:space="preserve">  Voir aussi </w:t>
      </w:r>
      <w:r w:rsidRPr="00EB6BCB">
        <w:rPr>
          <w:rFonts w:cs="Arial"/>
          <w:i/>
          <w:sz w:val="18"/>
          <w:szCs w:val="18"/>
          <w:lang w:val="fr-FR"/>
        </w:rPr>
        <w:t xml:space="preserve">Objectif drogues </w:t>
      </w:r>
      <w:r w:rsidRPr="00EB6BCB">
        <w:rPr>
          <w:rFonts w:cs="Arial"/>
          <w:sz w:val="18"/>
          <w:szCs w:val="18"/>
          <w:lang w:val="fr-FR"/>
        </w:rPr>
        <w:t>n° 22:</w:t>
      </w:r>
      <w:r w:rsidRPr="00EB6BCB">
        <w:rPr>
          <w:sz w:val="18"/>
          <w:szCs w:val="18"/>
          <w:lang w:val="fr-FR"/>
        </w:rPr>
        <w:t xml:space="preserve"> </w:t>
      </w:r>
      <w:hyperlink r:id="rId14" w:history="1">
        <w:r w:rsidRPr="00EB6BCB">
          <w:rPr>
            <w:rStyle w:val="Hyperlink"/>
            <w:rFonts w:cs="Arial"/>
            <w:sz w:val="18"/>
            <w:szCs w:val="18"/>
            <w:u w:val="none"/>
            <w:lang w:val="fr-FR"/>
          </w:rPr>
          <w:t>www.emcdda.europa.eu/publications/drugs-in-focus/responding-to-new-psychoactive-substances</w:t>
        </w:r>
      </w:hyperlink>
    </w:p>
    <w:p w:rsidR="00426D66" w:rsidRPr="00EB6BCB" w:rsidRDefault="00426D66" w:rsidP="00EB7AE9">
      <w:pPr>
        <w:spacing w:after="0"/>
        <w:rPr>
          <w:rFonts w:cs="Arial"/>
          <w:sz w:val="18"/>
          <w:szCs w:val="18"/>
          <w:lang w:val="fr-FR"/>
        </w:rPr>
      </w:pPr>
      <w:r w:rsidRPr="00EB6BCB">
        <w:rPr>
          <w:rFonts w:cs="Arial"/>
          <w:sz w:val="18"/>
          <w:szCs w:val="18"/>
          <w:lang w:val="fr-FR"/>
        </w:rPr>
        <w:t>(</w:t>
      </w:r>
      <w:r w:rsidRPr="00EB6BCB">
        <w:rPr>
          <w:rFonts w:cs="Arial"/>
          <w:sz w:val="18"/>
          <w:szCs w:val="18"/>
          <w:vertAlign w:val="superscript"/>
          <w:lang w:val="fr-FR"/>
        </w:rPr>
        <w:t>5</w:t>
      </w:r>
      <w:r w:rsidRPr="00EB6BCB">
        <w:rPr>
          <w:rFonts w:cs="Arial"/>
          <w:sz w:val="18"/>
          <w:szCs w:val="18"/>
          <w:lang w:val="fr-FR"/>
        </w:rPr>
        <w:t xml:space="preserve">) Mesures consécutives à la décision du Conseil du 2 décembre 2010 de soumettre la méphédrone à des mesures de contrôle: </w:t>
      </w:r>
      <w:hyperlink r:id="rId15" w:history="1">
        <w:r w:rsidRPr="00EB6BCB">
          <w:rPr>
            <w:rStyle w:val="Hyperlink"/>
            <w:rFonts w:cs="Arial"/>
            <w:sz w:val="18"/>
            <w:szCs w:val="18"/>
            <w:u w:val="none"/>
            <w:lang w:val="fr-FR"/>
          </w:rPr>
          <w:t>www.emcdda.europa.eu/publications/drugnet/online/2011/73/article2</w:t>
        </w:r>
      </w:hyperlink>
    </w:p>
    <w:p w:rsidR="00426D66" w:rsidRPr="00EB6BCB" w:rsidRDefault="00426D66" w:rsidP="00EB7AE9">
      <w:pPr>
        <w:spacing w:after="0"/>
        <w:rPr>
          <w:rFonts w:cs="Arial"/>
          <w:sz w:val="18"/>
          <w:szCs w:val="18"/>
          <w:lang w:val="fr-FR"/>
        </w:rPr>
      </w:pPr>
      <w:r w:rsidRPr="00EB6BCB">
        <w:rPr>
          <w:rFonts w:cs="Arial"/>
          <w:sz w:val="18"/>
          <w:szCs w:val="18"/>
          <w:lang w:val="fr-FR"/>
        </w:rPr>
        <w:t>(</w:t>
      </w:r>
      <w:r w:rsidRPr="00EB6BCB">
        <w:rPr>
          <w:rFonts w:cs="Arial"/>
          <w:sz w:val="18"/>
          <w:szCs w:val="18"/>
          <w:vertAlign w:val="superscript"/>
          <w:lang w:val="fr-FR"/>
        </w:rPr>
        <w:t>6</w:t>
      </w:r>
      <w:r w:rsidRPr="00EB6BCB">
        <w:rPr>
          <w:rFonts w:cs="Arial"/>
          <w:sz w:val="18"/>
          <w:szCs w:val="18"/>
          <w:lang w:val="fr-FR"/>
        </w:rPr>
        <w:t xml:space="preserve">) </w:t>
      </w:r>
      <w:hyperlink r:id="rId16" w:history="1">
        <w:r w:rsidRPr="00EB6BCB">
          <w:rPr>
            <w:rStyle w:val="Hyperlink"/>
            <w:rFonts w:cs="Arial"/>
            <w:sz w:val="18"/>
            <w:szCs w:val="18"/>
            <w:u w:val="none"/>
            <w:lang w:val="fr-FR"/>
          </w:rPr>
          <w:t>http://ec.europa.eu/justice/newsroom/anti-drugs/news/20111025_en.htm</w:t>
        </w:r>
      </w:hyperlink>
    </w:p>
    <w:p w:rsidR="00426D66" w:rsidRPr="005F427F" w:rsidRDefault="00426D66" w:rsidP="00EB7AE9">
      <w:pPr>
        <w:spacing w:after="0"/>
        <w:rPr>
          <w:rFonts w:cs="Arial"/>
          <w:sz w:val="18"/>
          <w:szCs w:val="18"/>
          <w:lang w:val="fr-FR"/>
        </w:rPr>
      </w:pPr>
    </w:p>
    <w:p w:rsidR="00426D66" w:rsidRPr="00E40FA3" w:rsidRDefault="00426D66" w:rsidP="00EB6BCB">
      <w:pPr>
        <w:shd w:val="clear" w:color="auto" w:fill="CCFFFF"/>
        <w:spacing w:after="0"/>
        <w:rPr>
          <w:rFonts w:cs="Arial"/>
          <w:sz w:val="16"/>
          <w:szCs w:val="16"/>
          <w:lang w:val="fr-FR"/>
        </w:rPr>
      </w:pPr>
      <w:r w:rsidRPr="00E40FA3">
        <w:rPr>
          <w:rFonts w:cs="Arial"/>
          <w:b/>
          <w:color w:val="000080"/>
          <w:sz w:val="18"/>
          <w:szCs w:val="18"/>
          <w:lang w:val="fr-FR"/>
        </w:rPr>
        <w:t xml:space="preserve">À venir: </w:t>
      </w:r>
      <w:r w:rsidRPr="00E40FA3">
        <w:rPr>
          <w:b/>
          <w:color w:val="000080"/>
          <w:sz w:val="18"/>
          <w:szCs w:val="18"/>
          <w:lang w:val="fr-FR"/>
        </w:rPr>
        <w:t>deuxième forum international sur les nouvelles drogues</w:t>
      </w:r>
      <w:r w:rsidRPr="00E40FA3">
        <w:rPr>
          <w:rFonts w:cs="Arial"/>
          <w:sz w:val="16"/>
          <w:szCs w:val="16"/>
          <w:lang w:val="fr-FR"/>
        </w:rPr>
        <w:t xml:space="preserve"> </w:t>
      </w:r>
    </w:p>
    <w:p w:rsidR="00426D66" w:rsidRPr="005F427F" w:rsidRDefault="00426D66" w:rsidP="00EB7AE9">
      <w:pPr>
        <w:shd w:val="clear" w:color="auto" w:fill="CCFFFF"/>
        <w:autoSpaceDE w:val="0"/>
        <w:autoSpaceDN w:val="0"/>
        <w:adjustRightInd w:val="0"/>
        <w:spacing w:after="0" w:line="240" w:lineRule="exact"/>
        <w:rPr>
          <w:rFonts w:cs="Arial"/>
          <w:sz w:val="18"/>
          <w:szCs w:val="18"/>
          <w:lang w:val="fr-FR"/>
        </w:rPr>
      </w:pPr>
      <w:r w:rsidRPr="00EB6BCB">
        <w:rPr>
          <w:rFonts w:cs="Arial"/>
          <w:sz w:val="16"/>
          <w:szCs w:val="16"/>
          <w:lang w:val="fr-FR"/>
        </w:rPr>
        <w:t xml:space="preserve">L’OEDT et l’Institut national des États-Unis sur l’abus de drogues (NIDA) unissent leurs forces pour organiser le deuxième forum international sur les nouvelles drogues et les substances psychoactives émergentes, qui se tiendra du 8 au 11 juin à Palm Springs (Californie). Voir l’article suivant: </w:t>
      </w:r>
      <w:hyperlink r:id="rId17" w:history="1">
        <w:r w:rsidRPr="00C27207">
          <w:rPr>
            <w:rStyle w:val="Hyperlink"/>
            <w:rFonts w:cs="Arial"/>
            <w:sz w:val="16"/>
            <w:szCs w:val="16"/>
            <w:u w:val="none"/>
            <w:lang w:val="fr-FR"/>
          </w:rPr>
          <w:t>www.emcdda.europa.eu/publications/drugnet/online/2012/77/article4</w:t>
        </w:r>
      </w:hyperlink>
    </w:p>
    <w:p w:rsidR="00426D66" w:rsidRPr="005F427F" w:rsidRDefault="00426D66" w:rsidP="00C53AD2">
      <w:pPr>
        <w:spacing w:after="200" w:line="276" w:lineRule="auto"/>
        <w:rPr>
          <w:lang w:val="fr-FR"/>
        </w:rPr>
      </w:pPr>
    </w:p>
    <w:sectPr w:rsidR="00426D66" w:rsidRPr="005F427F" w:rsidSect="00CF306C">
      <w:headerReference w:type="default" r:id="rId18"/>
      <w:footerReference w:type="even" r:id="rId19"/>
      <w:footerReference w:type="default" r:id="rId20"/>
      <w:headerReference w:type="first" r:id="rId21"/>
      <w:footerReference w:type="first" r:id="rId22"/>
      <w:pgSz w:w="11906" w:h="16838" w:code="9"/>
      <w:pgMar w:top="1389" w:right="1021" w:bottom="1276" w:left="1021" w:header="567" w:footer="42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D66" w:rsidRDefault="00426D66" w:rsidP="004B347B">
      <w:pPr>
        <w:spacing w:after="0" w:line="240" w:lineRule="auto"/>
      </w:pPr>
      <w:r>
        <w:separator/>
      </w:r>
    </w:p>
  </w:endnote>
  <w:endnote w:type="continuationSeparator" w:id="0">
    <w:p w:rsidR="00426D66" w:rsidRDefault="00426D66" w:rsidP="004B34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Futura Std Medium">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D66" w:rsidRDefault="00426D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6D66" w:rsidRDefault="00426D6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D66" w:rsidRDefault="00426D66">
    <w:pPr>
      <w:pStyle w:val="Footer"/>
      <w:framePr w:wrap="around" w:vAnchor="page" w:hAnchor="page" w:x="10802" w:y="1553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26D66" w:rsidRPr="005F427F" w:rsidRDefault="00426D66" w:rsidP="00D1256E">
    <w:pPr>
      <w:pStyle w:val="Pa5"/>
      <w:rPr>
        <w:rFonts w:ascii="Arial" w:hAnsi="Arial" w:cs="Arial"/>
        <w:color w:val="000000"/>
        <w:sz w:val="18"/>
        <w:szCs w:val="18"/>
        <w:lang w:val="fr-FR"/>
      </w:rPr>
    </w:pPr>
    <w:r w:rsidRPr="005F427F">
      <w:rPr>
        <w:rFonts w:ascii="Arial" w:hAnsi="Arial" w:cs="Arial"/>
        <w:color w:val="000000"/>
        <w:sz w:val="18"/>
        <w:szCs w:val="18"/>
        <w:lang w:val="fr-FR"/>
      </w:rPr>
      <w:t>Rapport annuel 2011 OEDT</w:t>
    </w:r>
    <w:r>
      <w:rPr>
        <w:rFonts w:ascii="Arial" w:hAnsi="Arial" w:cs="Arial"/>
        <w:color w:val="000000"/>
        <w:sz w:val="18"/>
        <w:szCs w:val="18"/>
        <w:lang w:val="fr-FR"/>
      </w:rPr>
      <w:t>–</w:t>
    </w:r>
    <w:r w:rsidRPr="005F427F">
      <w:rPr>
        <w:rFonts w:ascii="Arial" w:hAnsi="Arial" w:cs="Arial"/>
        <w:color w:val="000000"/>
        <w:sz w:val="18"/>
        <w:szCs w:val="18"/>
        <w:lang w:val="fr-FR"/>
      </w:rPr>
      <w:t>Europol sur l’application de la dé</w:t>
    </w:r>
    <w:r>
      <w:rPr>
        <w:rFonts w:ascii="Arial" w:hAnsi="Arial" w:cs="Arial"/>
        <w:color w:val="000000"/>
        <w:sz w:val="18"/>
        <w:szCs w:val="18"/>
        <w:lang w:val="fr-FR"/>
      </w:rPr>
      <w:t>cision 2005/387/J</w:t>
    </w:r>
    <w:r w:rsidRPr="005F427F">
      <w:rPr>
        <w:rFonts w:ascii="Arial" w:hAnsi="Arial" w:cs="Arial"/>
        <w:color w:val="000000"/>
        <w:sz w:val="18"/>
        <w:szCs w:val="18"/>
        <w:lang w:val="fr-FR"/>
      </w:rPr>
      <w:t>A</w:t>
    </w:r>
    <w:r>
      <w:rPr>
        <w:rFonts w:ascii="Arial" w:hAnsi="Arial" w:cs="Arial"/>
        <w:color w:val="000000"/>
        <w:sz w:val="18"/>
        <w:szCs w:val="18"/>
        <w:lang w:val="fr-FR"/>
      </w:rPr>
      <w:t>I du Conseil</w:t>
    </w:r>
    <w:r w:rsidRPr="005F427F">
      <w:rPr>
        <w:rFonts w:ascii="Arial" w:hAnsi="Arial" w:cs="Arial"/>
        <w:color w:val="000000"/>
        <w:sz w:val="18"/>
        <w:szCs w:val="18"/>
        <w:lang w:val="fr-FR"/>
      </w:rPr>
      <w:t xml:space="preserve"> </w:t>
    </w:r>
  </w:p>
  <w:p w:rsidR="00426D66" w:rsidRPr="005F427F" w:rsidRDefault="00426D66" w:rsidP="00D1256E">
    <w:pPr>
      <w:rPr>
        <w:sz w:val="16"/>
        <w:szCs w:val="16"/>
        <w:lang w:val="fr-FR"/>
      </w:rPr>
    </w:pPr>
  </w:p>
  <w:p w:rsidR="00426D66" w:rsidRPr="005F427F" w:rsidRDefault="00426D66">
    <w:pPr>
      <w:pStyle w:val="Footer"/>
      <w:rPr>
        <w:lang w:val="fr-FR"/>
      </w:rPr>
    </w:pPr>
  </w:p>
  <w:p w:rsidR="00426D66" w:rsidRPr="005F427F" w:rsidRDefault="00426D66">
    <w:pPr>
      <w:pStyle w:val="Footer"/>
      <w:rPr>
        <w:lang w:val="fr-FR"/>
      </w:rPr>
    </w:pPr>
  </w:p>
  <w:p w:rsidR="00426D66" w:rsidRPr="005F427F" w:rsidRDefault="00426D66">
    <w:pPr>
      <w:pStyle w:val="Footer"/>
      <w:rPr>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 w:type="dxa"/>
      <w:tblLayout w:type="fixed"/>
      <w:tblCellMar>
        <w:left w:w="0" w:type="dxa"/>
        <w:right w:w="0" w:type="dxa"/>
      </w:tblCellMar>
      <w:tblLook w:val="0000"/>
    </w:tblPr>
    <w:tblGrid>
      <w:gridCol w:w="7379"/>
      <w:gridCol w:w="2506"/>
    </w:tblGrid>
    <w:tr w:rsidR="00426D66">
      <w:tc>
        <w:tcPr>
          <w:tcW w:w="7371" w:type="dxa"/>
        </w:tcPr>
        <w:p w:rsidR="00426D66" w:rsidRPr="00501254" w:rsidRDefault="00426D66" w:rsidP="00D7757A">
          <w:pPr>
            <w:pStyle w:val="Footer"/>
            <w:rPr>
              <w:rFonts w:cs="Arial"/>
              <w:lang w:val="fr-FR"/>
            </w:rPr>
          </w:pPr>
          <w:r>
            <w:rPr>
              <w:noProof/>
              <w:lang w:val="en-US" w:eastAsia="zh-CN"/>
            </w:rPr>
            <w:pict>
              <v:line id="_x0000_s2052" style="position:absolute;z-index:251656192;mso-position-horizontal-relative:page;mso-position-vertical-relative:page" from="-2.4pt,-46.45pt" to="492.6pt,-46.45pt" strokecolor="#969696" strokeweight="1pt">
                <w10:wrap anchorx="page" anchory="page"/>
              </v:line>
            </w:pict>
          </w:r>
          <w:r w:rsidRPr="00501254">
            <w:rPr>
              <w:rFonts w:cs="Arial"/>
              <w:lang w:val="fr-FR"/>
            </w:rPr>
            <w:t xml:space="preserve">Contact: Kathy Robertson, Relations avec les médias </w:t>
          </w:r>
          <w:r w:rsidRPr="00501254">
            <w:rPr>
              <w:rStyle w:val="Bullettoseparatelanguage1"/>
              <w:rFonts w:cs="Arial"/>
              <w:lang w:val="fr-FR"/>
            </w:rPr>
            <w:t>•</w:t>
          </w:r>
          <w:r w:rsidRPr="00501254">
            <w:rPr>
              <w:rFonts w:cs="Arial"/>
              <w:lang w:val="fr-FR"/>
            </w:rPr>
            <w:t xml:space="preserve"> </w:t>
          </w:r>
          <w:hyperlink r:id="rId1" w:history="1">
            <w:r w:rsidRPr="00501254">
              <w:rPr>
                <w:rStyle w:val="Hyperlink"/>
                <w:rFonts w:cs="Arial"/>
                <w:u w:val="none"/>
                <w:lang w:val="fr-FR"/>
              </w:rPr>
              <w:t>Kathryn.Robertson@emcdda.europa.eu</w:t>
            </w:r>
          </w:hyperlink>
        </w:p>
        <w:p w:rsidR="00426D66" w:rsidRPr="00EB7AE9" w:rsidRDefault="00426D66" w:rsidP="003E5800">
          <w:pPr>
            <w:pStyle w:val="Footer"/>
            <w:rPr>
              <w:rFonts w:cs="Arial"/>
              <w:lang w:val="fr-FR"/>
            </w:rPr>
          </w:pPr>
          <w:r w:rsidRPr="00501254">
            <w:rPr>
              <w:rFonts w:cs="Arial"/>
              <w:lang w:val="pt-PT"/>
            </w:rPr>
            <w:t xml:space="preserve">Cais do Sodré, 1249-289 Lisbonne, Portugal </w:t>
          </w:r>
          <w:r w:rsidRPr="00501254">
            <w:rPr>
              <w:rStyle w:val="Bullettoseparatelanguage1"/>
              <w:rFonts w:cs="Arial"/>
              <w:lang w:val="pt-PT"/>
            </w:rPr>
            <w:t>•</w:t>
          </w:r>
          <w:r w:rsidRPr="00501254">
            <w:rPr>
              <w:rFonts w:cs="Arial"/>
              <w:lang w:val="pt-PT"/>
            </w:rPr>
            <w:t xml:space="preserve"> Tél.</w:t>
          </w:r>
          <w:r w:rsidRPr="00501254">
            <w:rPr>
              <w:rFonts w:cs="Arial"/>
              <w:szCs w:val="16"/>
              <w:lang w:val="pt-PT"/>
            </w:rPr>
            <w:t xml:space="preserve"> </w:t>
          </w:r>
          <w:r w:rsidRPr="00501254">
            <w:rPr>
              <w:rFonts w:cs="Arial"/>
              <w:szCs w:val="16"/>
              <w:lang w:val="fr-FR"/>
            </w:rPr>
            <w:t>(351) 211 21 02 00</w:t>
          </w:r>
          <w:r w:rsidRPr="00501254">
            <w:rPr>
              <w:rFonts w:cs="Arial"/>
              <w:lang w:val="fr-FR"/>
            </w:rPr>
            <w:t xml:space="preserve"> </w:t>
          </w:r>
          <w:r w:rsidRPr="00501254">
            <w:rPr>
              <w:rStyle w:val="Bullettoseparatelanguage1"/>
              <w:rFonts w:cs="Arial"/>
              <w:lang w:val="fr-FR"/>
            </w:rPr>
            <w:t>•</w:t>
          </w:r>
          <w:r w:rsidRPr="00501254">
            <w:rPr>
              <w:rFonts w:cs="Arial"/>
              <w:lang w:val="fr-FR"/>
            </w:rPr>
            <w:t xml:space="preserve"> </w:t>
          </w:r>
          <w:r w:rsidRPr="00501254">
            <w:rPr>
              <w:rFonts w:cs="Arial"/>
              <w:szCs w:val="16"/>
              <w:lang w:val="fr-FR"/>
            </w:rPr>
            <w:t xml:space="preserve"> Fax (351) 218 13 17 11</w:t>
          </w:r>
          <w:r w:rsidRPr="00501254">
            <w:rPr>
              <w:rFonts w:cs="Arial"/>
              <w:szCs w:val="16"/>
              <w:lang w:val="fr-FR"/>
            </w:rPr>
            <w:br/>
          </w:r>
          <w:hyperlink r:id="rId2" w:history="1">
            <w:r w:rsidRPr="00501254">
              <w:rPr>
                <w:rStyle w:val="Hyperlink"/>
                <w:rFonts w:cs="Arial"/>
                <w:u w:val="none"/>
                <w:lang w:val="fr-FR"/>
              </w:rPr>
              <w:t>press@emcdda.europa.eu</w:t>
            </w:r>
          </w:hyperlink>
          <w:r w:rsidRPr="00501254">
            <w:rPr>
              <w:rFonts w:cs="Arial"/>
              <w:lang w:val="fr-FR"/>
            </w:rPr>
            <w:t xml:space="preserve"> </w:t>
          </w:r>
          <w:r w:rsidRPr="00501254">
            <w:rPr>
              <w:rStyle w:val="Bullettoseparatelanguage1"/>
              <w:rFonts w:cs="Arial"/>
              <w:lang w:val="fr-FR"/>
            </w:rPr>
            <w:t>•</w:t>
          </w:r>
          <w:r w:rsidRPr="00501254">
            <w:rPr>
              <w:rFonts w:cs="Arial"/>
              <w:lang w:val="fr-FR"/>
            </w:rPr>
            <w:t xml:space="preserve"> </w:t>
          </w:r>
          <w:hyperlink r:id="rId3" w:history="1">
            <w:r w:rsidRPr="00501254">
              <w:rPr>
                <w:rStyle w:val="Hyperlink"/>
                <w:rFonts w:cs="Arial"/>
                <w:u w:val="none"/>
                <w:lang w:val="fr-FR"/>
              </w:rPr>
              <w:t>www.emcdda.europa.eu</w:t>
            </w:r>
          </w:hyperlink>
        </w:p>
      </w:tc>
      <w:tc>
        <w:tcPr>
          <w:tcW w:w="2506" w:type="dxa"/>
        </w:tcPr>
        <w:p w:rsidR="00426D66" w:rsidRDefault="00426D66" w:rsidP="003E5800">
          <w:pPr>
            <w:pStyle w:val="Footer"/>
            <w:jc w:val="right"/>
            <w:rPr>
              <w:rFonts w:cs="Arial"/>
            </w:rPr>
          </w:pPr>
          <w:r>
            <w:rPr>
              <w:rFonts w:cs="Arial"/>
            </w:rPr>
            <w:t>FR — N° 2/2012</w:t>
          </w:r>
        </w:p>
      </w:tc>
    </w:tr>
  </w:tbl>
  <w:p w:rsidR="00426D66" w:rsidRDefault="00426D66">
    <w:pPr>
      <w:pStyle w:val="Footer"/>
      <w:rPr>
        <w:rFonts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D66" w:rsidRDefault="00426D66" w:rsidP="004B347B">
      <w:pPr>
        <w:spacing w:after="0" w:line="240" w:lineRule="auto"/>
      </w:pPr>
      <w:r>
        <w:separator/>
      </w:r>
    </w:p>
  </w:footnote>
  <w:footnote w:type="continuationSeparator" w:id="0">
    <w:p w:rsidR="00426D66" w:rsidRDefault="00426D66" w:rsidP="004B34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D66" w:rsidRPr="00D1256E" w:rsidRDefault="00426D66" w:rsidP="00D1256E">
    <w:pPr>
      <w:rPr>
        <w:sz w:val="18"/>
        <w:szCs w:val="18"/>
      </w:rPr>
    </w:pPr>
    <w:hyperlink r:id="rId1" w:history="1">
      <w:r w:rsidRPr="00EB6BCB">
        <w:rPr>
          <w:rStyle w:val="Hyperlink"/>
          <w:rFonts w:cs="Futura Std Medium"/>
          <w:sz w:val="18"/>
          <w:szCs w:val="18"/>
          <w:u w:val="none"/>
        </w:rPr>
        <w:t>www.emcdda.europa.eu/publications/implementation-reports</w:t>
      </w:r>
    </w:hyperlink>
    <w:r w:rsidRPr="00EB6BCB">
      <w:rPr>
        <w:sz w:val="18"/>
        <w:szCs w:val="18"/>
      </w:rPr>
      <w:t xml:space="preserve">  </w:t>
    </w:r>
    <w:r w:rsidRPr="00EB6BCB">
      <w:rPr>
        <w:sz w:val="18"/>
        <w:szCs w:val="18"/>
      </w:rPr>
      <w:tab/>
      <w:t xml:space="preserve">                                                                                </w:t>
    </w:r>
    <w:r>
      <w:rPr>
        <w:sz w:val="18"/>
        <w:szCs w:val="18"/>
      </w:rPr>
      <w:t>26.4</w:t>
    </w:r>
    <w:r w:rsidRPr="00D1256E">
      <w:rPr>
        <w:sz w:val="18"/>
        <w:szCs w:val="18"/>
      </w:rPr>
      <w:t>.201</w:t>
    </w:r>
    <w:r>
      <w:rPr>
        <w:sz w:val="18"/>
        <w:szCs w:val="18"/>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D66" w:rsidRDefault="00426D66">
    <w:pPr>
      <w:pStyle w:val="Header"/>
    </w:pPr>
    <w:r>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1.05pt;margin-top:138.9pt;width:405.45pt;height:17.5pt;z-index:251658240;mso-position-horizontal-relative:page;mso-position-vertical-relative:page" o:allowincell="f">
          <v:imagedata r:id="rId1" o:title=""/>
          <w10:wrap anchorx="page" anchory="page"/>
        </v:shape>
      </w:pict>
    </w:r>
    <w:r>
      <w:rPr>
        <w:noProof/>
        <w:lang w:val="en-US" w:eastAsia="zh-CN"/>
      </w:rPr>
      <w:pict>
        <v:line id="_x0000_s2050" style="position:absolute;z-index:251657216;mso-position-horizontal-relative:page;mso-position-vertical-relative:page" from="51.05pt,164.45pt" to="541.45pt,164.45pt" o:allowincell="f" strokecolor="#969696" strokeweight="1pt">
          <w10:wrap anchorx="page" anchory="page"/>
        </v:line>
      </w:pict>
    </w:r>
  </w:p>
  <w:p w:rsidR="00426D66" w:rsidRDefault="00426D66">
    <w:pPr>
      <w:pStyle w:val="Header"/>
    </w:pPr>
  </w:p>
  <w:p w:rsidR="00426D66" w:rsidRDefault="00426D66">
    <w:pPr>
      <w:pStyle w:val="Header"/>
    </w:pPr>
    <w:r>
      <w:rPr>
        <w:noProof/>
        <w:lang w:val="en-US" w:eastAsia="zh-CN"/>
      </w:rPr>
      <w:pict>
        <v:shape id="_x0000_s2051" type="#_x0000_t75" style="position:absolute;margin-left:304pt;margin-top:8.85pt;width:186.75pt;height:20.3pt;z-index:251659264">
          <v:imagedata r:id="rId2" o:title=""/>
        </v:shape>
      </w:pict>
    </w:r>
  </w:p>
  <w:p w:rsidR="00426D66" w:rsidRDefault="00426D66">
    <w:pPr>
      <w:pStyle w:val="Header"/>
    </w:pPr>
  </w:p>
  <w:p w:rsidR="00426D66" w:rsidRDefault="00426D66">
    <w:pPr>
      <w:pStyle w:val="Header"/>
    </w:pPr>
  </w:p>
  <w:p w:rsidR="00426D66" w:rsidRDefault="00426D66">
    <w:pPr>
      <w:pStyle w:val="Header"/>
    </w:pPr>
  </w:p>
  <w:p w:rsidR="00426D66" w:rsidRDefault="00426D66">
    <w:pPr>
      <w:pStyle w:val="Header"/>
    </w:pPr>
  </w:p>
  <w:p w:rsidR="00426D66" w:rsidRDefault="00426D66">
    <w:pPr>
      <w:pStyle w:val="Header"/>
    </w:pPr>
  </w:p>
  <w:p w:rsidR="00426D66" w:rsidRDefault="00426D66">
    <w:pPr>
      <w:pStyle w:val="Header"/>
    </w:pPr>
  </w:p>
  <w:p w:rsidR="00426D66" w:rsidRDefault="00426D66">
    <w:pPr>
      <w:pStyle w:val="Header"/>
    </w:pPr>
  </w:p>
  <w:p w:rsidR="00426D66" w:rsidRDefault="00426D66">
    <w:pPr>
      <w:pStyle w:val="Header"/>
      <w:spacing w:line="36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7AE9"/>
    <w:rsid w:val="00013F54"/>
    <w:rsid w:val="00041854"/>
    <w:rsid w:val="00050EAF"/>
    <w:rsid w:val="00053C8F"/>
    <w:rsid w:val="00081BB4"/>
    <w:rsid w:val="000909A1"/>
    <w:rsid w:val="000A35ED"/>
    <w:rsid w:val="000A3A91"/>
    <w:rsid w:val="000A70BB"/>
    <w:rsid w:val="000B1977"/>
    <w:rsid w:val="000E6978"/>
    <w:rsid w:val="00110E8A"/>
    <w:rsid w:val="001269C1"/>
    <w:rsid w:val="00146699"/>
    <w:rsid w:val="0015565F"/>
    <w:rsid w:val="001622C6"/>
    <w:rsid w:val="00166983"/>
    <w:rsid w:val="001916F7"/>
    <w:rsid w:val="00195290"/>
    <w:rsid w:val="001A0E39"/>
    <w:rsid w:val="001B6128"/>
    <w:rsid w:val="001C06C1"/>
    <w:rsid w:val="001E05A6"/>
    <w:rsid w:val="00230248"/>
    <w:rsid w:val="00247F81"/>
    <w:rsid w:val="002643EC"/>
    <w:rsid w:val="00273132"/>
    <w:rsid w:val="00273DB6"/>
    <w:rsid w:val="0027477E"/>
    <w:rsid w:val="00285D05"/>
    <w:rsid w:val="00287AC2"/>
    <w:rsid w:val="00292EEE"/>
    <w:rsid w:val="002A3A42"/>
    <w:rsid w:val="002C6390"/>
    <w:rsid w:val="002D0EE2"/>
    <w:rsid w:val="003052C8"/>
    <w:rsid w:val="00317C7A"/>
    <w:rsid w:val="00337C2B"/>
    <w:rsid w:val="00364DC3"/>
    <w:rsid w:val="003749D8"/>
    <w:rsid w:val="00376769"/>
    <w:rsid w:val="003A000E"/>
    <w:rsid w:val="003A1C85"/>
    <w:rsid w:val="003B0C99"/>
    <w:rsid w:val="003B7E56"/>
    <w:rsid w:val="003C2A1E"/>
    <w:rsid w:val="003C2B67"/>
    <w:rsid w:val="003D6332"/>
    <w:rsid w:val="003E521D"/>
    <w:rsid w:val="003E5800"/>
    <w:rsid w:val="0042418F"/>
    <w:rsid w:val="00426D66"/>
    <w:rsid w:val="00443489"/>
    <w:rsid w:val="00451E05"/>
    <w:rsid w:val="0045355F"/>
    <w:rsid w:val="004B347B"/>
    <w:rsid w:val="004D1C75"/>
    <w:rsid w:val="004D42E0"/>
    <w:rsid w:val="004E45EC"/>
    <w:rsid w:val="004F1D9F"/>
    <w:rsid w:val="004F5CAE"/>
    <w:rsid w:val="00501254"/>
    <w:rsid w:val="005014DB"/>
    <w:rsid w:val="005523B1"/>
    <w:rsid w:val="00572FF7"/>
    <w:rsid w:val="00596205"/>
    <w:rsid w:val="005C0D3B"/>
    <w:rsid w:val="005F427F"/>
    <w:rsid w:val="00603F81"/>
    <w:rsid w:val="0062277F"/>
    <w:rsid w:val="00633D2D"/>
    <w:rsid w:val="00652F97"/>
    <w:rsid w:val="006B0D75"/>
    <w:rsid w:val="006C5830"/>
    <w:rsid w:val="006E1EBB"/>
    <w:rsid w:val="007008B6"/>
    <w:rsid w:val="00707479"/>
    <w:rsid w:val="00732182"/>
    <w:rsid w:val="00750E23"/>
    <w:rsid w:val="00751447"/>
    <w:rsid w:val="00783F66"/>
    <w:rsid w:val="007941AA"/>
    <w:rsid w:val="00814654"/>
    <w:rsid w:val="008330AE"/>
    <w:rsid w:val="008456BA"/>
    <w:rsid w:val="00851C37"/>
    <w:rsid w:val="0086187C"/>
    <w:rsid w:val="008A5B15"/>
    <w:rsid w:val="008C0939"/>
    <w:rsid w:val="008E2FB5"/>
    <w:rsid w:val="008F34F5"/>
    <w:rsid w:val="0093283A"/>
    <w:rsid w:val="009402A6"/>
    <w:rsid w:val="009823F9"/>
    <w:rsid w:val="009861F3"/>
    <w:rsid w:val="00986AC3"/>
    <w:rsid w:val="009966F1"/>
    <w:rsid w:val="009B4197"/>
    <w:rsid w:val="009D269E"/>
    <w:rsid w:val="009F20A4"/>
    <w:rsid w:val="00A64D71"/>
    <w:rsid w:val="00A65954"/>
    <w:rsid w:val="00AD0129"/>
    <w:rsid w:val="00AE4669"/>
    <w:rsid w:val="00AE6866"/>
    <w:rsid w:val="00AF4CB1"/>
    <w:rsid w:val="00B032D9"/>
    <w:rsid w:val="00B145AE"/>
    <w:rsid w:val="00B161DE"/>
    <w:rsid w:val="00B278FC"/>
    <w:rsid w:val="00B54387"/>
    <w:rsid w:val="00B62E9A"/>
    <w:rsid w:val="00B63964"/>
    <w:rsid w:val="00B7696C"/>
    <w:rsid w:val="00B8555D"/>
    <w:rsid w:val="00B96EF6"/>
    <w:rsid w:val="00B97909"/>
    <w:rsid w:val="00BA1256"/>
    <w:rsid w:val="00BA59A1"/>
    <w:rsid w:val="00BB4E00"/>
    <w:rsid w:val="00BD7666"/>
    <w:rsid w:val="00BE7F83"/>
    <w:rsid w:val="00BF4210"/>
    <w:rsid w:val="00C03BCE"/>
    <w:rsid w:val="00C10984"/>
    <w:rsid w:val="00C27207"/>
    <w:rsid w:val="00C43E94"/>
    <w:rsid w:val="00C53AD2"/>
    <w:rsid w:val="00CA627B"/>
    <w:rsid w:val="00CC2DFE"/>
    <w:rsid w:val="00CD39CF"/>
    <w:rsid w:val="00CF0D6C"/>
    <w:rsid w:val="00CF17C4"/>
    <w:rsid w:val="00CF306C"/>
    <w:rsid w:val="00CF52A1"/>
    <w:rsid w:val="00D1256E"/>
    <w:rsid w:val="00D273F0"/>
    <w:rsid w:val="00D7757A"/>
    <w:rsid w:val="00D957AE"/>
    <w:rsid w:val="00D95D32"/>
    <w:rsid w:val="00DA7D59"/>
    <w:rsid w:val="00DC2BC8"/>
    <w:rsid w:val="00DC493A"/>
    <w:rsid w:val="00DE4408"/>
    <w:rsid w:val="00E00076"/>
    <w:rsid w:val="00E05F5C"/>
    <w:rsid w:val="00E1244B"/>
    <w:rsid w:val="00E40FA3"/>
    <w:rsid w:val="00E429D5"/>
    <w:rsid w:val="00E50766"/>
    <w:rsid w:val="00E95F68"/>
    <w:rsid w:val="00EA0023"/>
    <w:rsid w:val="00EA7932"/>
    <w:rsid w:val="00EB6BCB"/>
    <w:rsid w:val="00EB7AE9"/>
    <w:rsid w:val="00ED143B"/>
    <w:rsid w:val="00ED7ADE"/>
    <w:rsid w:val="00EE2D7B"/>
    <w:rsid w:val="00F82750"/>
    <w:rsid w:val="00FA05C3"/>
    <w:rsid w:val="00FA7BB8"/>
    <w:rsid w:val="00FC37BF"/>
    <w:rsid w:val="00FC6D2E"/>
    <w:rsid w:val="00FE1576"/>
    <w:rsid w:val="00FF74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AE9"/>
    <w:pPr>
      <w:spacing w:after="227" w:line="260" w:lineRule="exact"/>
    </w:pPr>
    <w:rPr>
      <w:rFonts w:ascii="Arial" w:eastAsia="Times New Roman" w:hAnsi="Arial"/>
      <w:sz w:val="20"/>
      <w:szCs w:val="20"/>
      <w:lang w:val="en-GB" w:eastAsia="en-US"/>
    </w:rPr>
  </w:style>
  <w:style w:type="paragraph" w:styleId="Heading1">
    <w:name w:val="heading 1"/>
    <w:basedOn w:val="Normal"/>
    <w:next w:val="Normal"/>
    <w:link w:val="Heading1Char"/>
    <w:uiPriority w:val="99"/>
    <w:qFormat/>
    <w:rsid w:val="00EB7AE9"/>
    <w:pPr>
      <w:keepNext/>
      <w:spacing w:after="0" w:line="400" w:lineRule="exact"/>
      <w:outlineLvl w:val="0"/>
    </w:pPr>
    <w:rPr>
      <w:caps/>
      <w:color w:val="000080"/>
      <w:kern w:val="28"/>
      <w:sz w:val="24"/>
    </w:rPr>
  </w:style>
  <w:style w:type="paragraph" w:styleId="Heading2">
    <w:name w:val="heading 2"/>
    <w:basedOn w:val="Normal"/>
    <w:next w:val="Normal"/>
    <w:link w:val="Heading2Char"/>
    <w:uiPriority w:val="99"/>
    <w:qFormat/>
    <w:rsid w:val="00EB7AE9"/>
    <w:pPr>
      <w:keepNext/>
      <w:spacing w:after="400" w:line="400" w:lineRule="exact"/>
      <w:outlineLvl w:val="1"/>
    </w:pPr>
    <w:rPr>
      <w:b/>
      <w:color w:val="000080"/>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7AE9"/>
    <w:rPr>
      <w:rFonts w:ascii="Arial" w:hAnsi="Arial" w:cs="Times New Roman"/>
      <w:caps/>
      <w:color w:val="000080"/>
      <w:kern w:val="28"/>
      <w:sz w:val="20"/>
      <w:szCs w:val="20"/>
      <w:lang w:val="en-GB"/>
    </w:rPr>
  </w:style>
  <w:style w:type="character" w:customStyle="1" w:styleId="Heading2Char">
    <w:name w:val="Heading 2 Char"/>
    <w:basedOn w:val="DefaultParagraphFont"/>
    <w:link w:val="Heading2"/>
    <w:uiPriority w:val="99"/>
    <w:locked/>
    <w:rsid w:val="00EB7AE9"/>
    <w:rPr>
      <w:rFonts w:ascii="Arial" w:hAnsi="Arial" w:cs="Times New Roman"/>
      <w:b/>
      <w:color w:val="000080"/>
      <w:sz w:val="20"/>
      <w:szCs w:val="20"/>
      <w:lang w:val="en-GB"/>
    </w:rPr>
  </w:style>
  <w:style w:type="paragraph" w:styleId="Header">
    <w:name w:val="header"/>
    <w:basedOn w:val="Normal"/>
    <w:link w:val="HeaderChar"/>
    <w:uiPriority w:val="99"/>
    <w:rsid w:val="00EB7AE9"/>
    <w:pPr>
      <w:tabs>
        <w:tab w:val="center" w:pos="4153"/>
        <w:tab w:val="right" w:pos="8306"/>
      </w:tabs>
      <w:spacing w:after="0"/>
    </w:pPr>
  </w:style>
  <w:style w:type="character" w:customStyle="1" w:styleId="HeaderChar">
    <w:name w:val="Header Char"/>
    <w:basedOn w:val="DefaultParagraphFont"/>
    <w:link w:val="Header"/>
    <w:uiPriority w:val="99"/>
    <w:locked/>
    <w:rsid w:val="00EB7AE9"/>
    <w:rPr>
      <w:rFonts w:ascii="Arial" w:hAnsi="Arial" w:cs="Times New Roman"/>
      <w:sz w:val="20"/>
      <w:szCs w:val="20"/>
      <w:lang w:val="en-GB"/>
    </w:rPr>
  </w:style>
  <w:style w:type="paragraph" w:styleId="Footer">
    <w:name w:val="footer"/>
    <w:basedOn w:val="Normal"/>
    <w:link w:val="FooterChar"/>
    <w:uiPriority w:val="99"/>
    <w:rsid w:val="00EB7AE9"/>
    <w:pPr>
      <w:tabs>
        <w:tab w:val="center" w:pos="4153"/>
        <w:tab w:val="right" w:pos="8306"/>
      </w:tabs>
      <w:spacing w:after="0" w:line="220" w:lineRule="exact"/>
    </w:pPr>
    <w:rPr>
      <w:sz w:val="16"/>
    </w:rPr>
  </w:style>
  <w:style w:type="character" w:customStyle="1" w:styleId="FooterChar">
    <w:name w:val="Footer Char"/>
    <w:basedOn w:val="DefaultParagraphFont"/>
    <w:link w:val="Footer"/>
    <w:uiPriority w:val="99"/>
    <w:locked/>
    <w:rsid w:val="00EB7AE9"/>
    <w:rPr>
      <w:rFonts w:ascii="Arial" w:hAnsi="Arial" w:cs="Times New Roman"/>
      <w:sz w:val="20"/>
      <w:szCs w:val="20"/>
      <w:lang w:val="en-GB"/>
    </w:rPr>
  </w:style>
  <w:style w:type="character" w:styleId="Hyperlink">
    <w:name w:val="Hyperlink"/>
    <w:basedOn w:val="DefaultParagraphFont"/>
    <w:uiPriority w:val="99"/>
    <w:rsid w:val="00EB7AE9"/>
    <w:rPr>
      <w:rFonts w:cs="Times New Roman"/>
      <w:color w:val="0000FF"/>
      <w:u w:val="single"/>
    </w:rPr>
  </w:style>
  <w:style w:type="character" w:styleId="PageNumber">
    <w:name w:val="page number"/>
    <w:basedOn w:val="DefaultParagraphFont"/>
    <w:uiPriority w:val="99"/>
    <w:rsid w:val="00EB7AE9"/>
    <w:rPr>
      <w:rFonts w:cs="Times New Roman"/>
    </w:rPr>
  </w:style>
  <w:style w:type="character" w:customStyle="1" w:styleId="Bullettoseparatelanguage1">
    <w:name w:val="Bullet to separate language 1"/>
    <w:uiPriority w:val="99"/>
    <w:rsid w:val="00EB7AE9"/>
    <w:rPr>
      <w:rFonts w:ascii="Arial" w:hAnsi="Arial"/>
      <w:sz w:val="14"/>
    </w:rPr>
  </w:style>
  <w:style w:type="paragraph" w:customStyle="1" w:styleId="Pa5">
    <w:name w:val="Pa5"/>
    <w:basedOn w:val="Normal"/>
    <w:next w:val="Normal"/>
    <w:uiPriority w:val="99"/>
    <w:rsid w:val="00EB7AE9"/>
    <w:pPr>
      <w:autoSpaceDE w:val="0"/>
      <w:autoSpaceDN w:val="0"/>
      <w:adjustRightInd w:val="0"/>
      <w:spacing w:after="0" w:line="171" w:lineRule="atLeast"/>
    </w:pPr>
    <w:rPr>
      <w:rFonts w:ascii="Futura Std Medium" w:hAnsi="Futura Std Medium"/>
      <w:sz w:val="24"/>
      <w:szCs w:val="24"/>
      <w:lang w:val="en-US"/>
    </w:rPr>
  </w:style>
  <w:style w:type="character" w:styleId="FollowedHyperlink">
    <w:name w:val="FollowedHyperlink"/>
    <w:basedOn w:val="DefaultParagraphFont"/>
    <w:uiPriority w:val="99"/>
    <w:semiHidden/>
    <w:rsid w:val="00B278FC"/>
    <w:rPr>
      <w:rFonts w:cs="Times New Roman"/>
      <w:color w:val="800080"/>
      <w:u w:val="single"/>
    </w:rPr>
  </w:style>
  <w:style w:type="paragraph" w:styleId="NormalWeb">
    <w:name w:val="Normal (Web)"/>
    <w:basedOn w:val="Normal"/>
    <w:uiPriority w:val="99"/>
    <w:rsid w:val="00B96EF6"/>
    <w:pPr>
      <w:spacing w:before="100" w:beforeAutospacing="1" w:after="100" w:afterAutospacing="1" w:line="240" w:lineRule="auto"/>
    </w:pPr>
    <w:rPr>
      <w:rFonts w:ascii="Times New Roman" w:hAnsi="Times New Roman"/>
      <w:sz w:val="24"/>
      <w:szCs w:val="24"/>
      <w:lang w:val="fr-FR" w:eastAsia="fr-FR"/>
    </w:rPr>
  </w:style>
  <w:style w:type="paragraph" w:styleId="ListParagraph">
    <w:name w:val="List Paragraph"/>
    <w:basedOn w:val="Normal"/>
    <w:uiPriority w:val="99"/>
    <w:qFormat/>
    <w:rsid w:val="00BA59A1"/>
    <w:pPr>
      <w:ind w:left="720"/>
      <w:contextualSpacing/>
    </w:pPr>
  </w:style>
  <w:style w:type="paragraph" w:styleId="BalloonText">
    <w:name w:val="Balloon Text"/>
    <w:basedOn w:val="Normal"/>
    <w:link w:val="BalloonTextChar"/>
    <w:uiPriority w:val="99"/>
    <w:semiHidden/>
    <w:rsid w:val="008E2F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627B"/>
    <w:rPr>
      <w:rFonts w:ascii="Times New Roman" w:hAnsi="Times New Roman" w:cs="Times New Roman"/>
      <w:sz w:val="2"/>
      <w:lang w:val="en-GB"/>
    </w:rPr>
  </w:style>
</w:styles>
</file>

<file path=word/webSettings.xml><?xml version="1.0" encoding="utf-8"?>
<w:webSettings xmlns:r="http://schemas.openxmlformats.org/officeDocument/2006/relationships" xmlns:w="http://schemas.openxmlformats.org/wordprocessingml/2006/main">
  <w:divs>
    <w:div w:id="5729349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cdda.europa.eu/publications/implementation-reports" TargetMode="External"/><Relationship Id="rId13" Type="http://schemas.openxmlformats.org/officeDocument/2006/relationships/hyperlink" Target="www.emcdda.europa.eu/publications/drug-profiles/synthetic-cathinones"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image" Target="media/image2.png"/><Relationship Id="rId12" Type="http://schemas.openxmlformats.org/officeDocument/2006/relationships/hyperlink" Target="www.emcdda.europa.eu/publications/drug-profiles/synthetic-cannabinoids" TargetMode="External"/><Relationship Id="rId17" Type="http://schemas.openxmlformats.org/officeDocument/2006/relationships/hyperlink" Target="www.emcdda.europa.eu/publications/drugnet/online/2012/77/article4" TargetMode="External"/><Relationship Id="rId2" Type="http://schemas.openxmlformats.org/officeDocument/2006/relationships/settings" Target="settings.xml"/><Relationship Id="rId16" Type="http://schemas.openxmlformats.org/officeDocument/2006/relationships/hyperlink" Target="http://ec.europa.eu/justice/newsroom/anti-drugs/news/20111025_en.htm"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emcdda.europa.eu/html.cfm/index40105EN.html"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www.emcdda.europa.eu/publications/drugnet/online/2011/73/article2" TargetMode="External"/><Relationship Id="rId23" Type="http://schemas.openxmlformats.org/officeDocument/2006/relationships/fontTable" Target="fontTable.xml"/><Relationship Id="rId10" Type="http://schemas.openxmlformats.org/officeDocument/2006/relationships/hyperlink" Target="http://www.emcdda.europa.eu/themes/new-drugs/early-warning"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emcdda.europa.eu/drug-situation/new-drugs" TargetMode="External"/><Relationship Id="rId14" Type="http://schemas.openxmlformats.org/officeDocument/2006/relationships/hyperlink" Target="www.emcdda.europa.eu/publications/drugs-in-focus/responding-to-new-psychoactive-substances"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http://www.emcdda.europa.eu" TargetMode="External"/><Relationship Id="rId2" Type="http://schemas.openxmlformats.org/officeDocument/2006/relationships/hyperlink" Target="mailto:press@emcdda.europa.eu" TargetMode="External"/><Relationship Id="rId1" Type="http://schemas.openxmlformats.org/officeDocument/2006/relationships/hyperlink" Target="mailto:Kathryn.Robertson@emcdda.europa.e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emcdda.europa.eu/publications/implementation-report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2</Pages>
  <Words>1329</Words>
  <Characters>7579</Characters>
  <Application>Microsoft Office Outlook</Application>
  <DocSecurity>0</DocSecurity>
  <Lines>0</Lines>
  <Paragraphs>0</Paragraphs>
  <ScaleCrop>false</ScaleCrop>
  <Company>Translation Centre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RAPPORT ANNUEL OEDT-EUROPOL FAIT LE POINT SUR LES NOUVELLES DROGUES APPARUES SUR LE MARCHE</dc:title>
  <dc:subject/>
  <dc:creator>Translation Centre</dc:creator>
  <cp:keywords/>
  <dc:description/>
  <cp:lastModifiedBy>EMCDDA</cp:lastModifiedBy>
  <cp:revision>20</cp:revision>
  <cp:lastPrinted>2012-04-24T16:09:00Z</cp:lastPrinted>
  <dcterms:created xsi:type="dcterms:W3CDTF">2012-04-24T13:48:00Z</dcterms:created>
  <dcterms:modified xsi:type="dcterms:W3CDTF">2012-04-24T16:09:00Z</dcterms:modified>
</cp:coreProperties>
</file>