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4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1F5733" w:rsidP="00EE23CC">
            <w:r w:rsidRPr="008916F4">
              <w:rPr>
                <w:noProof/>
                <w:lang w:val="en-GB" w:eastAsia="en-GB" w:bidi="ar-SA"/>
              </w:rPr>
              <w:drawing>
                <wp:inline distT="0" distB="0" distL="0" distR="0" wp14:anchorId="4ED3F17D" wp14:editId="33E41690">
                  <wp:extent cx="2810161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16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5733" w:rsidP="001F70B4">
            <w:r w:rsidRPr="008916F4">
              <w:rPr>
                <w:noProof/>
                <w:lang w:val="en-GB" w:eastAsia="en-GB" w:bidi="ar-SA"/>
              </w:rPr>
              <w:drawing>
                <wp:inline distT="0" distB="0" distL="0" distR="0" wp14:anchorId="5D0E4636" wp14:editId="07A873C4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074" w:rsidRDefault="00B15FA6" w:rsidP="00B57DDE">
      <w:pPr>
        <w:pStyle w:val="newsTitle"/>
      </w:pPr>
      <w:r>
        <w:t>európska správa o drogách za r</w:t>
      </w:r>
      <w:r w:rsidR="001C2D3C">
        <w:t xml:space="preserve">OK </w:t>
      </w:r>
      <w:r>
        <w:t>2015 – 20 rokov monitorovania</w:t>
      </w:r>
    </w:p>
    <w:p w:rsidR="000C1074" w:rsidRDefault="0045053C" w:rsidP="004D2188">
      <w:pPr>
        <w:pStyle w:val="newsSubTitle"/>
      </w:pPr>
      <w:r>
        <w:t>EMCDDA skúma novú dynamiku a rozmery európskeho drogového problému</w:t>
      </w:r>
    </w:p>
    <w:p w:rsidR="000C1074" w:rsidRDefault="0008340F" w:rsidP="004E7B44">
      <w:pPr>
        <w:pStyle w:val="newsContent"/>
        <w:rPr>
          <w:rFonts w:eastAsia="Times New Roman"/>
        </w:rPr>
      </w:pPr>
      <w:r>
        <w:t xml:space="preserve">(4.6.2015 </w:t>
      </w:r>
      <w:r>
        <w:rPr>
          <w:caps/>
        </w:rPr>
        <w:t xml:space="preserve">Lisabon </w:t>
      </w:r>
      <w:r>
        <w:rPr>
          <w:b/>
          <w:color w:val="FF0000"/>
        </w:rPr>
        <w:t>EMBARGO 10.00 h ZEČ/lisabonského času</w:t>
      </w:r>
      <w:r>
        <w:t xml:space="preserve">) Zmena dynamiky trhu s heroínom, najnovšie </w:t>
      </w:r>
      <w:r w:rsidR="00DF107C">
        <w:t xml:space="preserve">dôsledky </w:t>
      </w:r>
      <w:r>
        <w:t xml:space="preserve">užívania kanabisu a nové prvky a aspekty </w:t>
      </w:r>
      <w:r w:rsidR="00DF107C">
        <w:t xml:space="preserve">v oblasti </w:t>
      </w:r>
      <w:r>
        <w:t xml:space="preserve">stimulantov a tzv. nových drog sú niektoré z problémov, ktoré </w:t>
      </w:r>
      <w:r w:rsidR="00DF107C">
        <w:t xml:space="preserve">kladie do popredia </w:t>
      </w:r>
      <w:r>
        <w:rPr>
          <w:b/>
        </w:rPr>
        <w:t>agentúra EÚ pre drogy (EMCDDA)</w:t>
      </w:r>
      <w:r>
        <w:t xml:space="preserve"> v dnešnom vydaní svojej </w:t>
      </w:r>
      <w:r>
        <w:rPr>
          <w:b/>
          <w:i/>
        </w:rPr>
        <w:t>Európskej správy o drogách za rok 2015: Trendy a vývojové zmeny</w:t>
      </w:r>
      <w:r>
        <w:t xml:space="preserve"> v Lisabone (</w:t>
      </w:r>
      <w:r>
        <w:rPr>
          <w:vertAlign w:val="superscript"/>
        </w:rPr>
        <w:t>1</w:t>
      </w:r>
      <w:r>
        <w:t xml:space="preserve">). </w:t>
      </w:r>
      <w:r w:rsidR="008C0F57">
        <w:t xml:space="preserve">                        </w:t>
      </w:r>
      <w:r>
        <w:t>Vo výročnom prehľade agentúra opisuje 20 rokov monitorovania a skúma celosvetové vplyvy a lokálne následky neustále sa meniaceho európskeho drogového problému.</w:t>
      </w:r>
    </w:p>
    <w:p w:rsidR="000C1074" w:rsidRDefault="00362CD8" w:rsidP="00362CD8">
      <w:pPr>
        <w:spacing w:after="260" w:line="260" w:lineRule="exact"/>
        <w:rPr>
          <w:rFonts w:eastAsia="Times New Roman" w:cs="Arial"/>
          <w:szCs w:val="20"/>
        </w:rPr>
      </w:pPr>
      <w:r>
        <w:rPr>
          <w:b/>
        </w:rPr>
        <w:t>Dimitris Avramopoulos, európsky komisár pre migráciu, vnútorné záležitosti a občianstvo</w:t>
      </w:r>
      <w:r>
        <w:t>, hovorí: „Správa ukazuje, že sme konfrontovaní s rýchlo sa meniacim globalizovaným</w:t>
      </w:r>
      <w:r>
        <w:rPr>
          <w:b/>
        </w:rPr>
        <w:t xml:space="preserve"> </w:t>
      </w:r>
      <w:r>
        <w:t>drogovým trhom, a preto musí byť naša reakcia na drogovú hrozbu jednotná, rýchla a rozhodná.</w:t>
      </w:r>
      <w:r>
        <w:rPr>
          <w:b/>
        </w:rPr>
        <w:t xml:space="preserve"> </w:t>
      </w:r>
      <w:r>
        <w:t>Obzvlášť ma znepokojuje rastúci vplyv internetu ako nového zdroja ponuky tak kontrolovaných, ako aj nekontrolovaných psychoaktívnych látok.“</w:t>
      </w:r>
    </w:p>
    <w:p w:rsidR="000C1074" w:rsidRDefault="00362CD8" w:rsidP="00362CD8">
      <w:r>
        <w:rPr>
          <w:b/>
        </w:rPr>
        <w:t>Komisár Avramopoulos</w:t>
      </w:r>
      <w:r>
        <w:t xml:space="preserve"> pokračuje: „Európa má vedúcu úlohu v boji s fenoménom tzv. nových drog a v tomto boji budeme pokračovať v záujme zdravia a bezpečnosti nášho obyvateľstva. V roku 2014 bolo oznámených až 101 nových nekontrolovaných psychoaktívnych látok, ktoré sú skúškou pre naše existujúce kontrolné mechanizmy. Teším sa na </w:t>
      </w:r>
      <w:r w:rsidR="00E11FBC">
        <w:t xml:space="preserve"> pripravované </w:t>
      </w:r>
      <w:r>
        <w:t xml:space="preserve">právne predpisy EÚ v tejto oblasti, o ktorých sa v súčasnosti rokuje. Viac posilnia naše reakcie a vybavia nás lepšími nástrojmi </w:t>
      </w:r>
      <w:r w:rsidR="00E11FBC">
        <w:t xml:space="preserve">pre </w:t>
      </w:r>
      <w:r>
        <w:t>rýchlejšie a účinnejšie riešenie problémov s týmito látkami.“</w:t>
      </w:r>
    </w:p>
    <w:p w:rsidR="000C1074" w:rsidRDefault="004E5A93" w:rsidP="004E5A93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 xml:space="preserve">Heroín je na ústupe, ale zmeny na trhu </w:t>
      </w:r>
      <w:r w:rsidR="00B82862">
        <w:rPr>
          <w:b/>
        </w:rPr>
        <w:t xml:space="preserve"> si vyžadujú jeho dôsledné monitorovanie</w:t>
      </w:r>
      <w:r>
        <w:rPr>
          <w:b/>
        </w:rPr>
        <w:t xml:space="preserve"> </w:t>
      </w:r>
    </w:p>
    <w:p w:rsidR="000C1074" w:rsidRPr="0043414B" w:rsidRDefault="00D67E7B" w:rsidP="00D67E7B">
      <w:pPr>
        <w:spacing w:before="100" w:beforeAutospacing="1" w:after="100" w:afterAutospacing="1"/>
        <w:rPr>
          <w:rFonts w:cs="Arial"/>
          <w:szCs w:val="20"/>
        </w:rPr>
      </w:pPr>
      <w:r>
        <w:t xml:space="preserve">Problémy súvisiace s heroínom majú v Európe stále veľký podiel na zdravotných a sociálnych nákladoch súvisiacich s drogami, aj keď </w:t>
      </w:r>
      <w:r>
        <w:rPr>
          <w:b/>
        </w:rPr>
        <w:t>EMCDDA</w:t>
      </w:r>
      <w:r>
        <w:t xml:space="preserve"> hovorí o najnovších „pomerne priaznivých“ trendoch v tejto oblasti a pripomína „celkovú stagnáciu dopytu po tejto droge“. </w:t>
      </w:r>
      <w:r w:rsidR="00A224F1">
        <w:t>V súčasnosti vstupuje m</w:t>
      </w:r>
      <w:r>
        <w:t>enej ľudí prvýkrát do špecializovanej</w:t>
      </w:r>
      <w:r w:rsidR="00B30307">
        <w:t xml:space="preserve"> </w:t>
      </w:r>
      <w:r>
        <w:t>protidrogovej liečby pre problémy s heroínom: 23 000 v roku 2013 v porovnaní s 59 000 v roku 2007. Odhaduje sa, že vyše polovica (700 000) z 1,3 milióna problémových (t. j. dlhodobo závislých) užívateľov opioidov v Európe sa v súčasnosti podrobuje substitučnej liečbe závislosti od opioidov (obrázok 3.6).</w:t>
      </w:r>
    </w:p>
    <w:p w:rsidR="000C1074" w:rsidRDefault="004E5A93" w:rsidP="00C929E0">
      <w:pPr>
        <w:spacing w:before="100" w:beforeAutospacing="1" w:after="260" w:line="260" w:lineRule="exact"/>
        <w:rPr>
          <w:rFonts w:eastAsia="Times New Roman" w:cs="Arial"/>
          <w:szCs w:val="20"/>
        </w:rPr>
      </w:pPr>
      <w:r>
        <w:t>Aj uvádzané údaje o záchytoch, ktoré pomáhajú pochopiť trendy v ponuke heroínu</w:t>
      </w:r>
      <w:r w:rsidR="00583143">
        <w:t xml:space="preserve">, </w:t>
      </w:r>
      <w:r>
        <w:t xml:space="preserve">ukazujú pokles. Množstvo heroínu zachyteného v roku 2013 v EÚ (5,6 tony) sa radí medzi najnižšie </w:t>
      </w:r>
      <w:r w:rsidR="00E66934">
        <w:t xml:space="preserve">zachytené </w:t>
      </w:r>
      <w:r>
        <w:t xml:space="preserve">množstvá za posledných desať rokov – polovica množstva zachyteného v roku 2002 (10 ton). Aj počet záchytov heroínu klesol z približne 45 000 v roku 2002 na 32 000 v roku 2013 (obrázok 1.6). Ale napriek tomuto priaznivému vývoju </w:t>
      </w:r>
      <w:r>
        <w:rPr>
          <w:b/>
        </w:rPr>
        <w:t>EMCDDA</w:t>
      </w:r>
      <w:r>
        <w:t xml:space="preserve"> upozorňuje na viaceré zmeny na trhu, ktoré </w:t>
      </w:r>
      <w:r w:rsidR="00E66934">
        <w:t>si vyžadujú dôsledné monitorovanie.</w:t>
      </w:r>
    </w:p>
    <w:p w:rsidR="008C0F57" w:rsidRDefault="004E5A93" w:rsidP="004E5A93">
      <w:pPr>
        <w:spacing w:before="100" w:beforeAutospacing="1" w:after="260" w:line="260" w:lineRule="exact"/>
      </w:pPr>
      <w:r>
        <w:t xml:space="preserve">Napríklad z posledných odhadov </w:t>
      </w:r>
      <w:r>
        <w:rPr>
          <w:b/>
        </w:rPr>
        <w:t>OSN</w:t>
      </w:r>
      <w:r>
        <w:t xml:space="preserve"> (</w:t>
      </w:r>
      <w:r>
        <w:rPr>
          <w:vertAlign w:val="superscript"/>
        </w:rPr>
        <w:t>2</w:t>
      </w:r>
      <w:r>
        <w:t xml:space="preserve">) vyplýva podstatný nárast produkcie ópia v rokoch 2013 a 2014 </w:t>
      </w:r>
      <w:r>
        <w:rPr>
          <w:b/>
        </w:rPr>
        <w:t>v Afganistane</w:t>
      </w:r>
      <w:r>
        <w:t>, odkiaľ pochádza väčšina heroínu užívaného v</w:t>
      </w:r>
      <w:r w:rsidR="009768EC">
        <w:t> </w:t>
      </w:r>
      <w:r>
        <w:t>Európe</w:t>
      </w:r>
      <w:r w:rsidR="009768EC">
        <w:t>, čoho</w:t>
      </w:r>
      <w:r w:rsidR="00583143">
        <w:t xml:space="preserve"> </w:t>
      </w:r>
      <w:r w:rsidR="009768EC">
        <w:t>d</w:t>
      </w:r>
      <w:r>
        <w:t xml:space="preserve">ôsledkom by mohla byť vyššia dostupnosť heroínu na európskom trhu. Poukazuje sa aj na znaky inovácií na trhu vrátane </w:t>
      </w:r>
    </w:p>
    <w:p w:rsidR="000C1074" w:rsidRDefault="004E5A93" w:rsidP="004E5A93">
      <w:pPr>
        <w:spacing w:before="100" w:beforeAutospacing="1" w:after="260" w:line="260" w:lineRule="exact"/>
        <w:rPr>
          <w:rFonts w:eastAsia="Times New Roman" w:cs="Arial"/>
          <w:szCs w:val="20"/>
        </w:rPr>
      </w:pPr>
      <w:r>
        <w:lastRenderedPageBreak/>
        <w:t xml:space="preserve">odhalenia laboratórií na spracovanie heroínu v Európe, a to prvýkrát od sedemdesiatych rokov minulého storočia. Dve laboratóriá, v ktorých sa vyrábal heroín z morfínu boli v rokoch 2013 a 2014 odhalené v </w:t>
      </w:r>
      <w:r>
        <w:rPr>
          <w:b/>
        </w:rPr>
        <w:t>Španielsku</w:t>
      </w:r>
      <w:r>
        <w:t>.</w:t>
      </w:r>
    </w:p>
    <w:p w:rsidR="000C1074" w:rsidRDefault="009768EC" w:rsidP="004E5A93">
      <w:pPr>
        <w:spacing w:before="100" w:beforeAutospacing="1" w:after="260" w:line="260" w:lineRule="exact"/>
        <w:rPr>
          <w:rFonts w:eastAsia="SimSun" w:cs="Arial"/>
          <w:szCs w:val="20"/>
        </w:rPr>
      </w:pPr>
      <w:r>
        <w:t>Taktiež boli zaznamenané zmeny obchodných trás heroínu do Európy</w:t>
      </w:r>
      <w:r w:rsidR="004E5A93">
        <w:t xml:space="preserve">. Zatiaľ čo hlavnou ostáva tradičná </w:t>
      </w:r>
      <w:r w:rsidR="004E5A93">
        <w:rPr>
          <w:b/>
        </w:rPr>
        <w:t>balkánska cesta</w:t>
      </w:r>
      <w:r w:rsidR="004E5A93">
        <w:t xml:space="preserve">, mnohé nasvedčuje tomu, že </w:t>
      </w:r>
      <w:r w:rsidR="004E5A93">
        <w:rPr>
          <w:b/>
        </w:rPr>
        <w:t>južná cesta</w:t>
      </w:r>
      <w:r w:rsidR="004E5A93">
        <w:t xml:space="preserve"> nadobúda na význame. (Začína sa v Iráne a Pakistane a do Európy prichádza priamo alebo nepriamo cez krajiny Arabského polostrova a východnej, južnej a západnej Afriky.) Nová analýza</w:t>
      </w:r>
      <w:r w:rsidR="00CA21A3" w:rsidRPr="00CA21A3">
        <w:t xml:space="preserve"> o dovoze opioidov z Ázie do Európy</w:t>
      </w:r>
      <w:r w:rsidR="00CA21A3">
        <w:t xml:space="preserve"> zverejnená k dnešnému dňu</w:t>
      </w:r>
      <w:r w:rsidR="004E5A93">
        <w:t xml:space="preserve"> poukazuje na diverzifikáciu produktov, s ktorými sa obchoduje (popri heroíne napr. aj s morfínovou bázou a ópiom), dopravných prostriedkov a využívaných obchodných ciest (pozri </w:t>
      </w:r>
      <w:r w:rsidR="008C0F57">
        <w:t>„</w:t>
      </w:r>
      <w:r w:rsidR="006C3B3E" w:rsidRPr="008C0F57">
        <w:t>P</w:t>
      </w:r>
      <w:r w:rsidR="00B30307" w:rsidRPr="008C0F57">
        <w:t xml:space="preserve">erspektívy </w:t>
      </w:r>
      <w:r w:rsidR="004E5A93" w:rsidRPr="008C0F57">
        <w:t>v oblasti</w:t>
      </w:r>
      <w:r w:rsidR="008C0F57" w:rsidRPr="008C0F57">
        <w:t xml:space="preserve"> drog</w:t>
      </w:r>
      <w:r w:rsidR="008C0F57">
        <w:t>“</w:t>
      </w:r>
      <w:r w:rsidR="004E5A93">
        <w:t xml:space="preserve"> </w:t>
      </w:r>
      <w:r w:rsidR="006C3B3E">
        <w:t xml:space="preserve">— </w:t>
      </w:r>
      <w:r w:rsidR="004E5A93" w:rsidRPr="006C3B3E">
        <w:rPr>
          <w:i/>
        </w:rPr>
        <w:t>Perspectives on Drugs</w:t>
      </w:r>
      <w:r w:rsidR="004E5A93">
        <w:t>/POD).</w:t>
      </w:r>
    </w:p>
    <w:p w:rsidR="000C1074" w:rsidRDefault="004E5A93" w:rsidP="004E5A93">
      <w:pPr>
        <w:spacing w:before="100" w:beforeAutospacing="1" w:after="260" w:line="260" w:lineRule="exact"/>
        <w:rPr>
          <w:rFonts w:cs="Arial"/>
          <w:szCs w:val="20"/>
        </w:rPr>
      </w:pPr>
      <w:r>
        <w:rPr>
          <w:b/>
        </w:rPr>
        <w:t>Riaditeľ agentúry EMCDDA Wolfgang Götz</w:t>
      </w:r>
      <w:r>
        <w:t xml:space="preserve"> v tejto súvislosti povedal: „Zmeny pri presadzovaní práva, nestabilita, ozbrojený konflikt či mnohonásobné a rýchle spojenia v dôsledku globalizácie sú niektoré z faktorov, ktoré môžu byť príčinou zmeny obchodných ciest. Dnes sme svedkami výrazného zvyšovania produkcie ópia v Afganistane a diverzifikácie predávaných produktov, metód obchodovania s nimi a aj využívaných obchodných ciest. Zhoršuje to skutočnosť, že </w:t>
      </w:r>
      <w:r w:rsidR="00E23228">
        <w:t xml:space="preserve">hlavné </w:t>
      </w:r>
      <w:r>
        <w:t>fázy procesu výroby heroínu sa teraz uskutočňujú v Európe. Znepokojujúca je každá možnosť oživenia problémov s</w:t>
      </w:r>
      <w:r w:rsidR="00E23228">
        <w:t> </w:t>
      </w:r>
      <w:r>
        <w:t>heroínom</w:t>
      </w:r>
      <w:r w:rsidR="00E23228">
        <w:t>,</w:t>
      </w:r>
      <w:r>
        <w:t xml:space="preserve"> a</w:t>
      </w:r>
      <w:r w:rsidR="00E23228">
        <w:t> preto je</w:t>
      </w:r>
      <w:r>
        <w:t xml:space="preserve"> dôsledné monitorovanie situácie veľmi dôležité.“</w:t>
      </w:r>
    </w:p>
    <w:p w:rsidR="000C1074" w:rsidRDefault="00D67E7B" w:rsidP="004E5A93">
      <w:pPr>
        <w:spacing w:before="100" w:beforeAutospacing="1" w:after="260" w:line="260" w:lineRule="exact"/>
        <w:rPr>
          <w:rFonts w:cs="Arial"/>
        </w:rPr>
      </w:pPr>
      <w:r>
        <w:t>Orgány presadzovania práva v európskych krajinách zachytili v roku 2013 okrem heroínu ďalšie opioidy: ópium, prípravky zo surového ópia (napr. tzv. kompót); lieky (morfín, metadón, buprenorfín, fentanyl a tramadol); ako aj nové syntetické opioidy.</w:t>
      </w:r>
    </w:p>
    <w:p w:rsidR="005C1394" w:rsidRPr="005C1394" w:rsidRDefault="00194867" w:rsidP="005C1394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 xml:space="preserve">Starší užívatelia opioidov potrebujú </w:t>
      </w:r>
      <w:r w:rsidR="005B049B">
        <w:rPr>
          <w:b/>
        </w:rPr>
        <w:t xml:space="preserve"> </w:t>
      </w:r>
      <w:r w:rsidR="00D93524">
        <w:rPr>
          <w:b/>
        </w:rPr>
        <w:t xml:space="preserve">prispôsobené </w:t>
      </w:r>
      <w:r w:rsidR="005B049B">
        <w:rPr>
          <w:b/>
        </w:rPr>
        <w:t xml:space="preserve"> </w:t>
      </w:r>
      <w:r>
        <w:rPr>
          <w:b/>
        </w:rPr>
        <w:t>služby</w:t>
      </w:r>
    </w:p>
    <w:p w:rsidR="000C1074" w:rsidRDefault="005C40D1" w:rsidP="005C1394">
      <w:pPr>
        <w:spacing w:after="260" w:line="260" w:lineRule="exact"/>
        <w:rPr>
          <w:rFonts w:cs="Arial"/>
          <w:szCs w:val="20"/>
        </w:rPr>
      </w:pPr>
      <w:r>
        <w:t xml:space="preserve">Závislosť od opioidov je často chronický stav a poskytovanie vhodnej liečby a starostlivosti dlhodobým užívateľom opioidov </w:t>
      </w:r>
      <w:r w:rsidR="004C730B">
        <w:t xml:space="preserve">predstavuje </w:t>
      </w:r>
      <w:r>
        <w:t>dnes stále väčší</w:t>
      </w:r>
      <w:r w:rsidR="008D4404">
        <w:t xml:space="preserve"> </w:t>
      </w:r>
      <w:r>
        <w:t xml:space="preserve">problém </w:t>
      </w:r>
      <w:r w:rsidR="004C730B">
        <w:t xml:space="preserve">pre </w:t>
      </w:r>
      <w:r>
        <w:t>protidrogov</w:t>
      </w:r>
      <w:r w:rsidR="004C730B">
        <w:t>ú</w:t>
      </w:r>
      <w:r>
        <w:t xml:space="preserve"> liečb</w:t>
      </w:r>
      <w:r w:rsidR="004C730B">
        <w:t>u</w:t>
      </w:r>
      <w:r>
        <w:t xml:space="preserve"> a</w:t>
      </w:r>
      <w:r w:rsidR="008D4404">
        <w:t> </w:t>
      </w:r>
      <w:r>
        <w:t>sociálny</w:t>
      </w:r>
      <w:r w:rsidR="008D4404">
        <w:t xml:space="preserve"> </w:t>
      </w:r>
      <w:r w:rsidR="004C730B">
        <w:t>systém</w:t>
      </w:r>
      <w:r>
        <w:t>. Správa poukazuje na zvyšujúci sa priemerný vek osôb vstupujúcich do liečby</w:t>
      </w:r>
      <w:r w:rsidR="004C730B">
        <w:t xml:space="preserve"> kvôli</w:t>
      </w:r>
      <w:r>
        <w:t xml:space="preserve"> problémo</w:t>
      </w:r>
      <w:r w:rsidR="004C730B">
        <w:t>m</w:t>
      </w:r>
      <w:r>
        <w:t xml:space="preserve"> s opioidmi, pričom sa ich priemerný vek od r. 2006 do r. 2013 zvýšil o päť rokov (obrázok 2.11). Významný počet užívateľov opioidov v Európe s anamnézou dlhodobého užívania viacerých drog je teraz vo veku 40 až 60 rokov. Anamnéza zlého fyzického a duševného zdravia, nepriaznivé životné podmienky, infekcie a zneužívanie viacerých látok (vrátane alkoholu a tabaku) sú príčinou náchylnosti tejto skupiny </w:t>
      </w:r>
      <w:r w:rsidR="004C730B">
        <w:t xml:space="preserve">  k</w:t>
      </w:r>
      <w:r>
        <w:t xml:space="preserve"> cel</w:t>
      </w:r>
      <w:r w:rsidR="004C730B">
        <w:t>ému</w:t>
      </w:r>
      <w:r>
        <w:t xml:space="preserve"> rad</w:t>
      </w:r>
      <w:r w:rsidR="004C730B">
        <w:t>u</w:t>
      </w:r>
      <w:r>
        <w:t xml:space="preserve"> chronických zdravotných problémov (napr. kardiovaskulárnych, pľúcnych, pečeňových).</w:t>
      </w:r>
    </w:p>
    <w:p w:rsidR="000C1074" w:rsidRDefault="005C1394" w:rsidP="0002521E">
      <w:pPr>
        <w:rPr>
          <w:rFonts w:ascii="Times New Roman" w:eastAsia="Times New Roman" w:hAnsi="Times New Roman" w:cs="Times New Roman"/>
          <w:sz w:val="24"/>
          <w:szCs w:val="24"/>
        </w:rPr>
      </w:pPr>
      <w:r>
        <w:t>„Potrebné sú</w:t>
      </w:r>
      <w:r w:rsidR="00C47912">
        <w:t xml:space="preserve"> také</w:t>
      </w:r>
      <w:r>
        <w:t xml:space="preserve"> klinické usmernenia, ktoré zohľadnia demografický posun problémových užívateľov opioidov v Európe,“ uvádza sa v správe. Podporili by účinnú klinickú prax a riešili by problematiku drogových interakcií, dávok na domáce použitie pri substitučnej liečbe (napr. metadónu, buprenorfínu), zvládania bolesti a liečby infekcií. Niekoľko krajín uvádza dostupnosť cielených programov pre starších užívateľov drog. Táto skupina je vo všeobecnosti integrovaná do existujúc</w:t>
      </w:r>
      <w:r w:rsidR="00C47912">
        <w:t xml:space="preserve">eho </w:t>
      </w:r>
      <w:r>
        <w:t xml:space="preserve"> </w:t>
      </w:r>
      <w:r w:rsidR="00C47912">
        <w:t xml:space="preserve">systému </w:t>
      </w:r>
      <w:r>
        <w:t xml:space="preserve">protidrogovej liečby (pozri obrázok 3.10). Jednou z mála krajín, v ktorých sú domovy </w:t>
      </w:r>
      <w:r w:rsidR="00FA6A28">
        <w:t xml:space="preserve">seniorov </w:t>
      </w:r>
      <w:r>
        <w:t xml:space="preserve"> zariadené na uspokojenie potrieb starších užívateľov drog je </w:t>
      </w:r>
      <w:r>
        <w:rPr>
          <w:b/>
        </w:rPr>
        <w:t>Holandsko</w:t>
      </w:r>
      <w:r>
        <w:t>.</w:t>
      </w:r>
    </w:p>
    <w:p w:rsidR="000C1074" w:rsidRDefault="00105FE2" w:rsidP="00435B19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Zlepšenie liečby hepatitídy typu C a</w:t>
      </w:r>
      <w:r w:rsidR="00E1694E">
        <w:rPr>
          <w:b/>
        </w:rPr>
        <w:t xml:space="preserve"> stagnácia </w:t>
      </w:r>
      <w:r>
        <w:rPr>
          <w:b/>
        </w:rPr>
        <w:t xml:space="preserve"> nových prípadov HIV</w:t>
      </w:r>
    </w:p>
    <w:p w:rsidR="007F03EB" w:rsidRPr="00EA3584" w:rsidRDefault="00B96281" w:rsidP="00FC0378">
      <w:pPr>
        <w:spacing w:after="260" w:line="260" w:lineRule="exact"/>
        <w:rPr>
          <w:rFonts w:eastAsia="Times New Roman" w:cs="Arial"/>
          <w:szCs w:val="20"/>
        </w:rPr>
      </w:pPr>
      <w:r>
        <w:t>Hepatitída typu C prenášaná spoločným používaním ihiel, striekačiek a ďalšieho vybavenia na injekčné užívanie drog je najčastejším infekčným ochorením injekčných užívateľov drog v Európe, pričom v národných vzorkách v období rokov 2012 – 2013 bolo vírusom hepatitídy typu C infikovaných 14 až 84 % týchto osôb (obrázok 2.14). Infekcia hepatitídou typu C je často asymptomatická a bez diagnostikovania môže pretrvávať desiatky rokov. U mnohých nakazených prechádza do stavu chronickej hepatitídy a tí sú vystavení riziku vzniku choroby pečene (napr. cirhózy, rakoviny).</w:t>
      </w:r>
    </w:p>
    <w:p w:rsidR="000C1074" w:rsidRDefault="00D10437" w:rsidP="002B76D8">
      <w:pPr>
        <w:spacing w:after="260" w:line="260" w:lineRule="exact"/>
        <w:rPr>
          <w:rFonts w:eastAsia="Times New Roman" w:cs="Arial"/>
          <w:szCs w:val="20"/>
        </w:rPr>
      </w:pPr>
      <w:r>
        <w:t>Rastie počet krajín, ktoré prijali alebo pripravujú konkrétnu stratégiu boja proti hepatitíde typu C s cieľom zabezpečiť najmä prístup k jej testovaniu. Hoci sú k dispozícii nové protivírusové lieky</w:t>
      </w:r>
      <w:r w:rsidR="00B66E83">
        <w:t>,</w:t>
      </w:r>
      <w:r>
        <w:t xml:space="preserve"> ktoré zastavia postup choroby alebo umožnia úplné vyliečenie</w:t>
      </w:r>
      <w:r w:rsidR="00B66E83">
        <w:t>,</w:t>
      </w:r>
      <w:r>
        <w:t xml:space="preserve"> nedostatok diagnostiky spolu s vysokými nákladmi na lieky obmedzuje ich dostupnosť.</w:t>
      </w:r>
    </w:p>
    <w:p w:rsidR="000C1074" w:rsidRDefault="00105FE2" w:rsidP="002B76D8">
      <w:pPr>
        <w:spacing w:after="260" w:line="260" w:lineRule="exact"/>
        <w:rPr>
          <w:rFonts w:cs="Arial"/>
          <w:szCs w:val="20"/>
        </w:rPr>
      </w:pPr>
      <w:r>
        <w:lastRenderedPageBreak/>
        <w:t>Z najnovších údajov vyplýva, že</w:t>
      </w:r>
      <w:r w:rsidR="00B66E83" w:rsidRPr="00B66E83">
        <w:t xml:space="preserve"> zvyšovanie počtu nových diagnóz HIV v Európe v dôsledku epidémií v rokoch 2011 – 2012 v Grécku a Rumunsku</w:t>
      </w:r>
      <w:r>
        <w:t xml:space="preserve"> </w:t>
      </w:r>
      <w:r w:rsidR="00B66E83">
        <w:t xml:space="preserve">je na ústupe </w:t>
      </w:r>
      <w:r>
        <w:t xml:space="preserve"> a celkový počet prípadov v EÚ klesol na úroveň pred epidémiami</w:t>
      </w:r>
      <w:r w:rsidR="00B66E83">
        <w:t>.</w:t>
      </w:r>
      <w:r>
        <w:t xml:space="preserve"> (obrázok 2.13) Predbežné údaje za rok 2013 hovoria o 1 458 oznámených nových prípadoch infekcie HIV v porovnaní s 1 974 prípadmi v roku 2012, ktorými sa </w:t>
      </w:r>
      <w:r w:rsidR="00B66E83">
        <w:t xml:space="preserve">stiera </w:t>
      </w:r>
      <w:r>
        <w:t xml:space="preserve">stúpajúci trend pozorovaný od roku 2010. Napriek pokroku v tejto oblasti </w:t>
      </w:r>
      <w:r>
        <w:rPr>
          <w:b/>
        </w:rPr>
        <w:t xml:space="preserve">EMCDDA </w:t>
      </w:r>
      <w:r>
        <w:t>zdôrazňuje potrebu nepretržitej ostražitosti a zabezpečenia primeraných</w:t>
      </w:r>
      <w:r w:rsidR="00B66E83">
        <w:t xml:space="preserve"> opatrení</w:t>
      </w:r>
      <w:r>
        <w:t>.</w:t>
      </w:r>
    </w:p>
    <w:p w:rsidR="000C1074" w:rsidRDefault="009F3555" w:rsidP="00E522AE">
      <w:r>
        <w:rPr>
          <w:b/>
        </w:rPr>
        <w:t>Boj proti predávkovaniu drogami – výzva pre politiky verejného zdravia</w:t>
      </w:r>
    </w:p>
    <w:p w:rsidR="000C1074" w:rsidRPr="004A1615" w:rsidRDefault="00AD2A0A" w:rsidP="00AD2A0A">
      <w:pPr>
        <w:spacing w:after="260" w:line="260" w:lineRule="exact"/>
        <w:rPr>
          <w:rFonts w:cs="Arial"/>
          <w:szCs w:val="20"/>
        </w:rPr>
      </w:pPr>
      <w:r>
        <w:t>Veľkú výzvu pre politiky verejného zdravia v Európe naďalej predstavuje znižovanie počtu prípadov smrteľného predávkovania drogami a ďalších úmrtí súvisiacich s drogami (napr. chorôb, úrazov a samovrážd). Podľa odhadov najmenej 6 100 úmrtí z predávkovania drogami v EÚ v roku 2013 súviselo hlavne s užívaním heroínu a iných opioidov.</w:t>
      </w:r>
    </w:p>
    <w:p w:rsidR="000D3B2D" w:rsidRPr="006304FE" w:rsidRDefault="000D3B2D" w:rsidP="000D3B2D">
      <w:pPr>
        <w:spacing w:after="260" w:line="260" w:lineRule="exact"/>
        <w:rPr>
          <w:rFonts w:cs="Arial"/>
          <w:szCs w:val="20"/>
        </w:rPr>
      </w:pPr>
      <w:r>
        <w:t>Nová analýza</w:t>
      </w:r>
      <w:r w:rsidR="008D4404">
        <w:t>, ktorá je súčasťou tejto správy</w:t>
      </w:r>
      <w:r>
        <w:t xml:space="preserve"> sa zameriava na zneužívanie benzodiazepínov vysokorizikovými užívateľmi opioidov, ktorí môžu užívať tieto lieky bez predpisu alebo na zvýšenie účinkov opioidov (pozri POD). Analýza ukazuje ako užívanie opioidov v kombinácii s benzodiazepínmi a ďalšími </w:t>
      </w:r>
      <w:r w:rsidR="008D4404">
        <w:t xml:space="preserve">tlmiacimi </w:t>
      </w:r>
      <w:r>
        <w:t xml:space="preserve">látkami (napr. s alkoholom) prispieva k zvýšeniu rizika úmrtia z predávkovania. Kľúčovú úlohu pri riešení tejto zložitej problematiky by mohli zohrať usmernenia k predpisovaniu </w:t>
      </w:r>
      <w:r w:rsidR="00E1694E">
        <w:t>medikácie</w:t>
      </w:r>
      <w:r>
        <w:t xml:space="preserve"> a klinick</w:t>
      </w:r>
      <w:r w:rsidR="00E1694E">
        <w:t>ú</w:t>
      </w:r>
      <w:r>
        <w:t xml:space="preserve"> prax.</w:t>
      </w:r>
    </w:p>
    <w:p w:rsidR="000C1074" w:rsidRPr="006304FE" w:rsidRDefault="00AD2A0A" w:rsidP="00AD2A0A">
      <w:pPr>
        <w:spacing w:after="260" w:line="260" w:lineRule="exact"/>
        <w:rPr>
          <w:rFonts w:cs="Arial"/>
          <w:szCs w:val="20"/>
        </w:rPr>
      </w:pPr>
      <w:r>
        <w:t>Intervencie zamerané na predchádzanie predávkovaniu zahŕňajú cielené stratégie, vzdelávanie o rizikách a školenie o reakcii v prípade predávkovania vrátane distribúcie naloxónu na domáce použitie (</w:t>
      </w:r>
      <w:r>
        <w:rPr>
          <w:vertAlign w:val="superscript"/>
        </w:rPr>
        <w:t>3</w:t>
      </w:r>
      <w:r>
        <w:t xml:space="preserve">). </w:t>
      </w:r>
      <w:r w:rsidR="008C0F57">
        <w:t xml:space="preserve">                     </w:t>
      </w:r>
      <w:r>
        <w:t>V niektorých krajinách už dávno zaviedli do praxe aj poskytovanie tzv. miestnost</w:t>
      </w:r>
      <w:r w:rsidR="00725728">
        <w:t>í</w:t>
      </w:r>
      <w:r>
        <w:t xml:space="preserve"> na užívanie drog. </w:t>
      </w:r>
      <w:r w:rsidR="008C0F57">
        <w:t xml:space="preserve">             </w:t>
      </w:r>
      <w:r>
        <w:t>Tieto služby poskytuje v približne 70 zariadeniach šesť krajín (</w:t>
      </w:r>
      <w:r>
        <w:rPr>
          <w:b/>
        </w:rPr>
        <w:t>Dánsko, Nemecko, Španielsko, Luxembursko, Holandsko, Nórsko</w:t>
      </w:r>
      <w:r>
        <w:t xml:space="preserve">), ktoré podávajú správy agentúre </w:t>
      </w:r>
      <w:r>
        <w:rPr>
          <w:b/>
        </w:rPr>
        <w:t>EMCDDA</w:t>
      </w:r>
      <w:r>
        <w:t xml:space="preserve">, zatiaľ čo </w:t>
      </w:r>
      <w:r>
        <w:rPr>
          <w:b/>
        </w:rPr>
        <w:t>Francúzsko</w:t>
      </w:r>
      <w:r>
        <w:t xml:space="preserve"> schválilo experimentálne poskytovanie miestnost</w:t>
      </w:r>
      <w:r w:rsidR="00F44F8F">
        <w:t>í</w:t>
      </w:r>
      <w:r>
        <w:t xml:space="preserve"> na užívanie drog</w:t>
      </w:r>
      <w:r w:rsidR="005A3B04">
        <w:t xml:space="preserve"> len</w:t>
      </w:r>
      <w:r>
        <w:t xml:space="preserve"> nedávno. Prehľad o službách poskytovaných v týchto zariadeniach pripojený k tohoročnej analýze (pozri POD) ukazuje ako miestnosti na užívanie drog zabezpečujú „miestnu reakciu“ na „miestne problémy“. Poskytovanie miestností užívateľom drog môže okrem iného zohrať úlohu pri obmedzovaní poškodení súvisiacich s drogami (vrátane úmrtí z predávkovania) a</w:t>
      </w:r>
      <w:r w:rsidR="005A3B04">
        <w:t xml:space="preserve"> môže</w:t>
      </w:r>
      <w:r>
        <w:t xml:space="preserve"> poslúžiť ako užitočný priestor </w:t>
      </w:r>
      <w:r w:rsidR="005A3B04">
        <w:t xml:space="preserve"> pre</w:t>
      </w:r>
      <w:r>
        <w:t xml:space="preserve"> kontakt zdravotníckych služieb s užívateľmi drog</w:t>
      </w:r>
      <w:r w:rsidR="00596521">
        <w:t>,</w:t>
      </w:r>
      <w:r w:rsidR="00E1694E">
        <w:t xml:space="preserve"> </w:t>
      </w:r>
      <w:r w:rsidR="00596521">
        <w:t xml:space="preserve">ktorých je </w:t>
      </w:r>
      <w:r w:rsidR="00725728">
        <w:t>ťažko</w:t>
      </w:r>
      <w:r w:rsidR="00596521">
        <w:t xml:space="preserve"> podchytiť</w:t>
      </w:r>
      <w:r>
        <w:t>.</w:t>
      </w:r>
    </w:p>
    <w:p w:rsidR="000C1074" w:rsidRDefault="0089193D" w:rsidP="00226E8D">
      <w:pPr>
        <w:rPr>
          <w:rFonts w:cs="Arial"/>
          <w:b/>
          <w:szCs w:val="20"/>
        </w:rPr>
      </w:pPr>
      <w:r>
        <w:rPr>
          <w:b/>
        </w:rPr>
        <w:t>Význam kanabisu v systémoch protidrogovej liečby v Európe rastie</w:t>
      </w:r>
    </w:p>
    <w:p w:rsidR="000C1074" w:rsidRDefault="0089193D" w:rsidP="004E7B44">
      <w:pPr>
        <w:pStyle w:val="newsContent"/>
        <w:rPr>
          <w:noProof/>
        </w:rPr>
      </w:pPr>
      <w:r>
        <w:t>Kanabis je v Európe stále najrozšírenejšou konzumovanou nelegálnou drogou, ktorej užitie v</w:t>
      </w:r>
      <w:r w:rsidR="00264217">
        <w:t xml:space="preserve"> predchádzajúcom </w:t>
      </w:r>
      <w:r>
        <w:t>roku uviedlo podľa odhadov 19,3 milióna dospelých (vo veku 15 až 64 rokov), z toho 14,6 milióna mladých dospelých (vo veku 15 až 34 rokov). Odhaduje sa, že približne 1 % všetkých dospelých sú každodenní alebo takmer každodenní užívatelia.</w:t>
      </w:r>
    </w:p>
    <w:p w:rsidR="00275AED" w:rsidRPr="002331A0" w:rsidRDefault="00621C22" w:rsidP="00275AED">
      <w:pPr>
        <w:spacing w:after="260" w:line="260" w:lineRule="exact"/>
        <w:rPr>
          <w:rFonts w:cs="Arial"/>
          <w:szCs w:val="20"/>
        </w:rPr>
      </w:pPr>
      <w:r>
        <w:t xml:space="preserve">Z výsledkov </w:t>
      </w:r>
      <w:r w:rsidR="00680F78">
        <w:t xml:space="preserve">populačných </w:t>
      </w:r>
      <w:r>
        <w:t xml:space="preserve">prieskumov </w:t>
      </w:r>
      <w:r w:rsidR="00680F78">
        <w:t xml:space="preserve">v troch krajinách </w:t>
      </w:r>
      <w:r>
        <w:t xml:space="preserve"> (</w:t>
      </w:r>
      <w:r>
        <w:rPr>
          <w:b/>
        </w:rPr>
        <w:t>Nemeck</w:t>
      </w:r>
      <w:r w:rsidR="00680F78">
        <w:rPr>
          <w:b/>
        </w:rPr>
        <w:t>o</w:t>
      </w:r>
      <w:r>
        <w:rPr>
          <w:b/>
        </w:rPr>
        <w:t>, Španielsk</w:t>
      </w:r>
      <w:r w:rsidR="00680F78">
        <w:rPr>
          <w:b/>
        </w:rPr>
        <w:t>o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Spojené kráľovstv</w:t>
      </w:r>
      <w:r w:rsidR="00680F78">
        <w:rPr>
          <w:b/>
        </w:rPr>
        <w:t>o</w:t>
      </w:r>
      <w:r>
        <w:t>) vyplýva klesajúca alebo stabilná prevalencia užívania kanabisu za posledné desaťročie.</w:t>
      </w:r>
      <w:r>
        <w:rPr>
          <w:i/>
        </w:rPr>
        <w:t xml:space="preserve"> </w:t>
      </w:r>
      <w:r>
        <w:t>Naopak,</w:t>
      </w:r>
      <w:r>
        <w:rPr>
          <w:i/>
        </w:rPr>
        <w:t xml:space="preserve"> </w:t>
      </w:r>
      <w:r w:rsidR="00033487">
        <w:t xml:space="preserve">nárast užívania </w:t>
      </w:r>
      <w:r>
        <w:t xml:space="preserve">je možné pozorovať v </w:t>
      </w:r>
      <w:r>
        <w:rPr>
          <w:b/>
        </w:rPr>
        <w:t>Bulharsku</w:t>
      </w:r>
      <w:r>
        <w:t xml:space="preserve">, vo </w:t>
      </w:r>
      <w:r>
        <w:rPr>
          <w:b/>
        </w:rPr>
        <w:t>Francúzsku</w:t>
      </w:r>
      <w:r>
        <w:t xml:space="preserve"> a v </w:t>
      </w:r>
      <w:r>
        <w:rPr>
          <w:b/>
        </w:rPr>
        <w:t xml:space="preserve">štyroch </w:t>
      </w:r>
      <w:r>
        <w:t>severských krajinách (</w:t>
      </w:r>
      <w:r>
        <w:rPr>
          <w:b/>
        </w:rPr>
        <w:t>Dánsku, Fínsku, Švédsku a Nórsku</w:t>
      </w:r>
      <w:r>
        <w:t xml:space="preserve">). Výsledky najnovšieho prieskumu </w:t>
      </w:r>
      <w:r w:rsidR="00263FD4">
        <w:t>po</w:t>
      </w:r>
      <w:r>
        <w:t xml:space="preserve">ukazujú </w:t>
      </w:r>
      <w:r w:rsidR="00263FD4">
        <w:t xml:space="preserve"> na rôzne minuloročné</w:t>
      </w:r>
      <w:r>
        <w:t xml:space="preserve"> trendy v užívaní kanabisu</w:t>
      </w:r>
      <w:r w:rsidR="00263FD4">
        <w:t xml:space="preserve"> medzi</w:t>
      </w:r>
      <w:r>
        <w:t xml:space="preserve"> mladými dospelými (obrázok 2.1).</w:t>
      </w:r>
    </w:p>
    <w:p w:rsidR="000C1074" w:rsidRDefault="00275AED" w:rsidP="004E7B44">
      <w:pPr>
        <w:pStyle w:val="newsContent"/>
      </w:pPr>
      <w:r>
        <w:t>Vysokú prevalenciu vyjadrujú počty užívateľov vstupujúcich do</w:t>
      </w:r>
      <w:r w:rsidR="00B30307">
        <w:t xml:space="preserve"> </w:t>
      </w:r>
      <w:r>
        <w:t xml:space="preserve">špecializovanej protidrogovej liečby, </w:t>
      </w:r>
      <w:r w:rsidR="00FA6A28">
        <w:t xml:space="preserve">pričom najväčšia skupina klientov vstupujúcich do liečby prvýkrát označila </w:t>
      </w:r>
      <w:r>
        <w:t xml:space="preserve"> za hlavnú problémovú drogu kanabis. Celkový počet osôb vstupujúcich do liečby prvýkrát pre problémy s kanabisom v Európe vzrástol zo 45 000 v r. 2006 na 61 000 v r. 2013. </w:t>
      </w:r>
      <w:r w:rsidR="00680F78">
        <w:t xml:space="preserve">Hoci </w:t>
      </w:r>
      <w:r>
        <w:t xml:space="preserve">do liečby závislosti od kanabisu vstupujú klienti s najväčšou pravdepodobnosťou z vlastného podnetu (34 %), z analýzy vplýva, že približne štvrtinu všetkých osôb, ktoré vstúpili do liečby pre problémy s užívaním kanabisu ako primárnej drogy (23 000), poukázal na liečbu systém trestnej justície. Dôkazy potvrdzujú uplatňovanie psychosociálnych intervencií pri riešení problémového užívania drog a tieto sa často uplatňujú aj pri riešení problémov súvisiacich s kanabisom. Tieto prístupy </w:t>
      </w:r>
      <w:r w:rsidR="00263FD4">
        <w:t xml:space="preserve">skúma analýza, ktorá je súčasťou tejto správy </w:t>
      </w:r>
      <w:r>
        <w:t xml:space="preserve">(pozri POD) a v najnovšej publikácii </w:t>
      </w:r>
      <w:r>
        <w:rPr>
          <w:b/>
        </w:rPr>
        <w:t>EMCDDA</w:t>
      </w:r>
      <w:r>
        <w:t xml:space="preserve"> </w:t>
      </w:r>
      <w:r>
        <w:rPr>
          <w:i/>
        </w:rPr>
        <w:t>„Prehľady“</w:t>
      </w:r>
      <w:r w:rsidR="008C0F57">
        <w:rPr>
          <w:i/>
        </w:rPr>
        <w:t xml:space="preserve"> — </w:t>
      </w:r>
      <w:r w:rsidR="006C3B3E" w:rsidRPr="006C3B3E">
        <w:rPr>
          <w:i/>
        </w:rPr>
        <w:t>Insights</w:t>
      </w:r>
      <w:r w:rsidR="006C3B3E">
        <w:t xml:space="preserve"> </w:t>
      </w:r>
      <w:r>
        <w:t>(</w:t>
      </w:r>
      <w:r>
        <w:rPr>
          <w:vertAlign w:val="superscript"/>
        </w:rPr>
        <w:t>4</w:t>
      </w:r>
      <w:r>
        <w:t>).</w:t>
      </w:r>
    </w:p>
    <w:p w:rsidR="00F6333E" w:rsidRDefault="00F6333E" w:rsidP="00F6333E">
      <w:pPr>
        <w:spacing w:after="260" w:line="260" w:lineRule="exact"/>
        <w:rPr>
          <w:rFonts w:cs="Arial"/>
          <w:szCs w:val="20"/>
        </w:rPr>
      </w:pPr>
      <w:r>
        <w:lastRenderedPageBreak/>
        <w:t>Akútne stavy súvisiace s kanabisom, hoci zriedkavo, môžu vzniknúť po konzumovaní látky</w:t>
      </w:r>
      <w:r w:rsidR="005E0FDF">
        <w:t xml:space="preserve"> v</w:t>
      </w:r>
      <w:r>
        <w:t xml:space="preserve"> obzvlášť vysokých dávkach (pozri ďalej odsek o čistote). V najnovšej štúdii z prostredia rýchlej zdravotníckej pomoci bol v 11 z 13 analyzovaných európskych krajín zistený v období rokov 2008 až 2012 rastúci počet akútnych príhod súvisiacich s kanabisom.</w:t>
      </w:r>
    </w:p>
    <w:p w:rsidR="000C1074" w:rsidRDefault="00F6333E" w:rsidP="00F6333E">
      <w:pPr>
        <w:pStyle w:val="CommentText"/>
        <w:spacing w:after="260" w:line="260" w:lineRule="exact"/>
        <w:rPr>
          <w:rFonts w:cs="Arial"/>
        </w:rPr>
      </w:pPr>
      <w:r>
        <w:t xml:space="preserve">Dnešná správa zdôrazňuje významnú úlohu kanabisu v štatistikách </w:t>
      </w:r>
      <w:r w:rsidR="00530B36">
        <w:t xml:space="preserve">drogovej trestnej činnosti pretože táto droga mala </w:t>
      </w:r>
      <w:r>
        <w:t xml:space="preserve"> 80 % </w:t>
      </w:r>
      <w:r w:rsidR="00530B36">
        <w:t xml:space="preserve">podiel na záchytoch drog  a  vyše 60% </w:t>
      </w:r>
      <w:r>
        <w:t xml:space="preserve">všetkých </w:t>
      </w:r>
      <w:r w:rsidR="00530B36">
        <w:t xml:space="preserve"> </w:t>
      </w:r>
      <w:r>
        <w:t xml:space="preserve">zaznamenaných porušení </w:t>
      </w:r>
      <w:r w:rsidR="00752C85">
        <w:t xml:space="preserve">drogových </w:t>
      </w:r>
      <w:r>
        <w:t xml:space="preserve"> predpisov </w:t>
      </w:r>
      <w:r w:rsidR="00530B36">
        <w:t xml:space="preserve"> v Európe súviselo s užívaním alebo prechovávaním  marihuany pre osobnú potrebu </w:t>
      </w:r>
      <w:r>
        <w:t>(pozri obrázok 1).</w:t>
      </w:r>
    </w:p>
    <w:p w:rsidR="000C1074" w:rsidRDefault="00226E8D" w:rsidP="00F6333E">
      <w:pPr>
        <w:spacing w:before="100" w:beforeAutospacing="1" w:after="260" w:line="260" w:lineRule="exact"/>
        <w:rPr>
          <w:rFonts w:cs="Arial"/>
          <w:szCs w:val="20"/>
        </w:rPr>
      </w:pPr>
      <w:r>
        <w:t xml:space="preserve">Počet záchytov rastlinného kanabisu v Európe prevýšil v roku 2009 počet záchytov kanabisovej živice a odvtedy sa tento rozdiel </w:t>
      </w:r>
      <w:r w:rsidR="006060AC">
        <w:t>zväčšuje</w:t>
      </w:r>
      <w:r w:rsidR="0032597B">
        <w:t xml:space="preserve"> </w:t>
      </w:r>
      <w:r>
        <w:t xml:space="preserve">(obrázok 1.3). V roku 2013 bolo v EÚ oznámených 671 000 záchytov kanabisu, z toho 431 000 rastlinného kanabisu (marihuany) a 240 000 kanabisovej živice (hašiša). Do veľkej miery je pravdepodobnou príčinou tohto trendu v Európe rastúca dostupnosť rastlinného kanabisu z domácej produkcie, ktorá sa prejavuje rastúcim počtom záchytov rastlín kanabisu. </w:t>
      </w:r>
      <w:r>
        <w:rPr>
          <w:color w:val="000000"/>
        </w:rPr>
        <w:t>Množstvo kanabisovej živice zachytenej v Európskej únii je stále oveľa vyššie ako množstvo zachyteného rastlinného kanabisu (460 ton oproti 130 tonám).</w:t>
      </w:r>
    </w:p>
    <w:p w:rsidR="000C1074" w:rsidRDefault="00752C85" w:rsidP="00F6333E">
      <w:pPr>
        <w:spacing w:before="100" w:beforeAutospacing="1" w:after="260" w:line="260" w:lineRule="exact"/>
        <w:rPr>
          <w:rFonts w:cs="Arial"/>
          <w:szCs w:val="20"/>
        </w:rPr>
      </w:pPr>
      <w:r>
        <w:t xml:space="preserve">Systém včasného varovania EÚ doteraz zaznamenal vyše </w:t>
      </w:r>
      <w:r w:rsidR="00F6333E">
        <w:t xml:space="preserve"> 130 syntetických kanabinoidov predávaných ako náhrady za kanabis, </w:t>
      </w:r>
      <w:r>
        <w:t xml:space="preserve">čím sa vytvoril nový rozmer trhu s kanabisom. Užívanie </w:t>
      </w:r>
      <w:r w:rsidR="00F6333E">
        <w:t xml:space="preserve"> týchto látok môže mať škodlivé zdravotné následky (napr. poškodenie obličiek, účinky na pľúca a kardiovaskulárny systém, kŕče). Nedávne úmrtia a akútne intoxikácie v Európe a iných krajinách v súvislosti s týmito látkami boli podnetom pre </w:t>
      </w:r>
      <w:r w:rsidR="00F6333E">
        <w:rPr>
          <w:b/>
        </w:rPr>
        <w:t>EMCDDA</w:t>
      </w:r>
      <w:r w:rsidR="00F6333E">
        <w:t xml:space="preserve"> na vydanie </w:t>
      </w:r>
      <w:r>
        <w:t xml:space="preserve">zdravotných </w:t>
      </w:r>
      <w:r w:rsidR="00F6333E">
        <w:t xml:space="preserve">varovaní </w:t>
      </w:r>
      <w:r>
        <w:t>pre verejnosť.</w:t>
      </w:r>
    </w:p>
    <w:p w:rsidR="000C1074" w:rsidRDefault="00050E92" w:rsidP="009434EF">
      <w:pPr>
        <w:spacing w:after="0" w:line="240" w:lineRule="auto"/>
        <w:outlineLvl w:val="2"/>
        <w:rPr>
          <w:rFonts w:eastAsia="Times New Roman" w:cs="Arial"/>
          <w:b/>
          <w:szCs w:val="20"/>
        </w:rPr>
      </w:pPr>
      <w:r>
        <w:rPr>
          <w:b/>
        </w:rPr>
        <w:t>Konkurencia na preplnenom trhu so stimulantmi</w:t>
      </w:r>
    </w:p>
    <w:p w:rsidR="009434EF" w:rsidRPr="00362CD8" w:rsidRDefault="009434EF" w:rsidP="009434EF">
      <w:pPr>
        <w:spacing w:after="0" w:line="240" w:lineRule="auto"/>
        <w:outlineLvl w:val="2"/>
        <w:rPr>
          <w:rFonts w:eastAsia="Times New Roman" w:cs="Arial"/>
          <w:szCs w:val="20"/>
        </w:rPr>
      </w:pPr>
    </w:p>
    <w:p w:rsidR="007C5BE9" w:rsidRPr="00B44912" w:rsidRDefault="0080459C" w:rsidP="00F613F0">
      <w:pPr>
        <w:spacing w:after="260" w:line="260" w:lineRule="exact"/>
        <w:outlineLvl w:val="2"/>
        <w:rPr>
          <w:rFonts w:eastAsia="Times New Roman" w:cs="Arial"/>
          <w:szCs w:val="20"/>
        </w:rPr>
      </w:pPr>
      <w:r>
        <w:t xml:space="preserve">Európa je konfrontovaná s preplneným trhom so stimulantmi, s kokaínom, amfetamínmi, extázou a rastúcim počtom syntetických drog určených pre podobné skupiny spotrebiteľov. Kokaín naďalej patrí v Európe medzi najčastejšie užívané nelegálne stimulačné drogy, aj keď väčšina užívateľov pochádza z malého počtu západných krajín EÚ. V minulom roku užívalo kokaín približne 3,4 milióna dospelých </w:t>
      </w:r>
      <w:r w:rsidR="008C0F57">
        <w:t xml:space="preserve">                </w:t>
      </w:r>
      <w:r>
        <w:t xml:space="preserve">(vo veku 15 až 64 rokov), z nich bolo 2,3 milióna mladých dospelých (vo veku 15 až 34 rokov). </w:t>
      </w:r>
      <w:r>
        <w:rPr>
          <w:color w:val="000000"/>
        </w:rPr>
        <w:t xml:space="preserve">Len málo krajín uvádza v uplynulom roku prevalenciu užívania kokaínu mladými dospelými prevyšujúcu 3 % (obrázok 2.4). Pokles v užívaní kokaínu je možné pozorovať vo väčšine najnovších údajov. Z krajín, </w:t>
      </w:r>
      <w:r w:rsidR="008C0F57">
        <w:rPr>
          <w:color w:val="000000"/>
        </w:rPr>
        <w:t xml:space="preserve"> </w:t>
      </w:r>
      <w:r>
        <w:rPr>
          <w:color w:val="000000"/>
        </w:rPr>
        <w:t>ktoré uskutočňujú prieskumy od roku 2012, osem uviedlo nižšie a tri vyššie odhady ako v predchádzajúcom porovnateľnom prieskume.</w:t>
      </w:r>
    </w:p>
    <w:p w:rsidR="009434EF" w:rsidRPr="00B44912" w:rsidRDefault="009434EF" w:rsidP="005870C5">
      <w:pPr>
        <w:spacing w:after="260" w:line="260" w:lineRule="exact"/>
        <w:outlineLvl w:val="2"/>
        <w:rPr>
          <w:rFonts w:cs="Arial"/>
          <w:szCs w:val="20"/>
        </w:rPr>
      </w:pPr>
      <w:r>
        <w:t xml:space="preserve">Užívanie amfetamínov (amfetamínu alebo metamfetamínu) je v Európe celkovo menej rozšírené než užívanie kokaínu, pričom ich užívanie v minulom roku uviedlo približne 1,6 milióna dospelých, z toho bolo 1,3 milióna mladých dospelých (vo veku 15 až 34 rokov) (obrázok 2.5). V dnešnej správe sa zdôrazňujú nové formy užívania metamfetamínu. Napríklad v </w:t>
      </w:r>
      <w:r>
        <w:rPr>
          <w:b/>
        </w:rPr>
        <w:t>Českej republike</w:t>
      </w:r>
      <w:r>
        <w:t xml:space="preserve"> bol v rokoch 2007 až 2013 pozorovaný výrazný </w:t>
      </w:r>
      <w:r w:rsidR="00390456">
        <w:t>ná</w:t>
      </w:r>
      <w:r>
        <w:t>rast vysokorizikového užívania metamfetamínu (hlavne injekčného), pričom odhadovaný počet užívateľov v tomto období vzrástol z približne 21 000 na vyše 34 000. Aj ďalšie európske krajiny oznámili injekčné užívanie metamfetamínu spolu s inými stimulantmi (napr. so syntetickými katinónmi) v malých skupinách</w:t>
      </w:r>
      <w:r w:rsidR="00390456">
        <w:t xml:space="preserve"> u</w:t>
      </w:r>
      <w:r>
        <w:t xml:space="preserve"> mužov, ktorí majú pohlavný styk s mužmi. Tieto tzv. slammingové praktiky</w:t>
      </w:r>
      <w:r w:rsidR="00390456">
        <w:t xml:space="preserve"> sú</w:t>
      </w:r>
      <w:r>
        <w:t xml:space="preserve"> znepokojujú</w:t>
      </w:r>
      <w:r w:rsidR="00390456">
        <w:t xml:space="preserve">ce </w:t>
      </w:r>
      <w:r>
        <w:t xml:space="preserve"> z dôvodu </w:t>
      </w:r>
      <w:r w:rsidR="00390456">
        <w:t xml:space="preserve">existencie </w:t>
      </w:r>
      <w:r>
        <w:t>kombináci</w:t>
      </w:r>
      <w:r w:rsidR="00390456">
        <w:t>e</w:t>
      </w:r>
      <w:r>
        <w:t xml:space="preserve"> rizík</w:t>
      </w:r>
      <w:r w:rsidR="00390456">
        <w:t xml:space="preserve"> - rizika</w:t>
      </w:r>
      <w:r>
        <w:t xml:space="preserve"> užívania drog a sexuálneho správania.</w:t>
      </w:r>
    </w:p>
    <w:p w:rsidR="000C1074" w:rsidRPr="002331A0" w:rsidRDefault="009434EF" w:rsidP="009434EF">
      <w:pPr>
        <w:spacing w:after="260" w:line="260" w:lineRule="exact"/>
        <w:rPr>
          <w:rFonts w:cs="Arial"/>
          <w:szCs w:val="20"/>
        </w:rPr>
      </w:pPr>
      <w:r>
        <w:t xml:space="preserve">Extázu podľa odhadov užívalo v minulom roku 2,1 milióna dospelých (vo veku 15 až 64 rokov), z toho bolo 1,8 milióna mladých dospelých (vo veku 15 až 34 rokov) (obrázok 2.6). Po </w:t>
      </w:r>
      <w:r w:rsidR="00390456">
        <w:t>tom</w:t>
      </w:r>
      <w:r w:rsidR="00E1694E">
        <w:t>,</w:t>
      </w:r>
      <w:r w:rsidR="00390456">
        <w:t xml:space="preserve"> čo začali mať </w:t>
      </w:r>
      <w:r>
        <w:t>tablety predávané ako extáza medzi spotrebiteľmi povesť nízkej kvality a falšovaného produktu je teraz čast</w:t>
      </w:r>
      <w:bookmarkStart w:id="0" w:name="_GoBack"/>
      <w:bookmarkEnd w:id="0"/>
      <w:r>
        <w:t>ejšie dostupné MDMA s vysokou čistotou v prášku a tabletách (pozri ďalej odsek o čistote).</w:t>
      </w:r>
    </w:p>
    <w:p w:rsidR="009434EF" w:rsidRPr="00B40F29" w:rsidRDefault="009434EF" w:rsidP="009434EF">
      <w:pPr>
        <w:spacing w:after="260" w:line="260" w:lineRule="exact"/>
        <w:rPr>
          <w:rFonts w:cs="Arial"/>
          <w:szCs w:val="20"/>
          <w:u w:val="single"/>
        </w:rPr>
      </w:pPr>
      <w:r>
        <w:t xml:space="preserve">Syntetické katinóny (napr. mefedrón, pentedrón a MDPV) sú teraz v niektorých európskych krajinách </w:t>
      </w:r>
      <w:r w:rsidR="00390456">
        <w:t xml:space="preserve">stabilnou </w:t>
      </w:r>
      <w:r>
        <w:t xml:space="preserve">súčasťou čierneho trhu a často sa užívajú striedavo s amfetamínom a extázou. Aj keď injekčné užívanie syntetických katinónov nie je v Európe rozšírené, v niektorých krajinách je obávaným miestnym problémom v skupinách vysokorizikových užívateľov drog. Zvyšujúci sa dopyt po liečbe závislosti od týchto látok bol </w:t>
      </w:r>
      <w:r w:rsidR="00390456">
        <w:t xml:space="preserve">zaznamenaný </w:t>
      </w:r>
      <w:r>
        <w:t xml:space="preserve">v </w:t>
      </w:r>
      <w:r>
        <w:rPr>
          <w:b/>
        </w:rPr>
        <w:t>Maďarsku, Rumunsku</w:t>
      </w:r>
      <w:r>
        <w:t xml:space="preserve"> a </w:t>
      </w:r>
      <w:r>
        <w:rPr>
          <w:b/>
        </w:rPr>
        <w:t>Spojenom kráľovstve</w:t>
      </w:r>
      <w:r>
        <w:t>.</w:t>
      </w:r>
    </w:p>
    <w:p w:rsidR="000C1074" w:rsidRDefault="007C5BE9" w:rsidP="004E7B44">
      <w:pPr>
        <w:pStyle w:val="newsContent"/>
      </w:pPr>
      <w:r>
        <w:rPr>
          <w:b/>
        </w:rPr>
        <w:lastRenderedPageBreak/>
        <w:t>Rastú obavy zo zvyšovania účinnosti a čistoty drog</w:t>
      </w:r>
    </w:p>
    <w:p w:rsidR="007C5BE9" w:rsidRPr="00362CD8" w:rsidRDefault="007C5BE9" w:rsidP="007C5BE9">
      <w:pPr>
        <w:spacing w:after="260" w:line="260" w:lineRule="exact"/>
        <w:rPr>
          <w:rFonts w:cs="Arial"/>
          <w:szCs w:val="20"/>
        </w:rPr>
      </w:pPr>
      <w:r>
        <w:t>Kľúčovým zistením v tohoročnej správe je výrazné zvyšovanie účinnosti a čistoty najbežnejšie užívaných nelegálnych drog</w:t>
      </w:r>
      <w:r w:rsidR="00390456" w:rsidRPr="00390456">
        <w:t xml:space="preserve"> v Európe</w:t>
      </w:r>
      <w:r>
        <w:t xml:space="preserve">, ktoré zvyšuje obavy o zdravie užívateľov vedome alebo nevedome konzumujúcich silnejšie produkty (kapitola 1). Celkové trendy za obdobie rokov 2006 až 2013 v krajinách dôsledne oznamujúcich údaje </w:t>
      </w:r>
      <w:r w:rsidR="0055263A">
        <w:t>po</w:t>
      </w:r>
      <w:r>
        <w:t xml:space="preserve">ukazujú </w:t>
      </w:r>
      <w:r w:rsidR="0055263A">
        <w:t xml:space="preserve"> na </w:t>
      </w:r>
      <w:r>
        <w:t xml:space="preserve">zvyšovanie </w:t>
      </w:r>
      <w:r w:rsidR="0055263A">
        <w:t xml:space="preserve">koncentrácie </w:t>
      </w:r>
      <w:r>
        <w:t xml:space="preserve"> kanabisu (obsahu tetrahydrokanabinolu), čistoty kokaínu a obsahu MDMA v tabletách extázy; v r. 2013 sa zvýšila aj čistota heroínu. Technické inovácie a konkurencia na trhu sú dva pravdepodobné faktory, ktoré ovplyvňujú tento trend.</w:t>
      </w:r>
    </w:p>
    <w:p w:rsidR="000C1074" w:rsidRDefault="007C5BE9" w:rsidP="007C5BE9">
      <w:pPr>
        <w:spacing w:after="260" w:line="260" w:lineRule="exact"/>
        <w:rPr>
          <w:rFonts w:cs="Arial"/>
          <w:szCs w:val="20"/>
        </w:rPr>
      </w:pPr>
      <w:r>
        <w:t xml:space="preserve">Zdôrazňujú sa obavy z tabliet extázy s vysokým obsahom MDMA často predávanými s charakteristickými tvarmi a logami. Počas uplynulého roka vydali </w:t>
      </w:r>
      <w:r>
        <w:rPr>
          <w:b/>
        </w:rPr>
        <w:t>EMCDDA</w:t>
      </w:r>
      <w:r>
        <w:t xml:space="preserve"> a </w:t>
      </w:r>
      <w:r>
        <w:rPr>
          <w:b/>
        </w:rPr>
        <w:t>Europol</w:t>
      </w:r>
      <w:r>
        <w:t xml:space="preserve"> varovania, ktorými upozorňovali na zdravotné riziká spojené s konzumovaním týchto produktov. Po sérii úmrtí boli vydané varovania aj pred tabletami s obsahom ďalších škodlivých látok, napr. PMMA, ktoré sa predávali ako extáza.</w:t>
      </w:r>
    </w:p>
    <w:p w:rsidR="000C1074" w:rsidRDefault="000D1C68" w:rsidP="007C5BE9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Každý týždeň objavené dve „nové drogy“</w:t>
      </w:r>
    </w:p>
    <w:p w:rsidR="00C175B5" w:rsidRPr="0080459C" w:rsidRDefault="00C175B5" w:rsidP="004E7B44">
      <w:pPr>
        <w:pStyle w:val="newsContent"/>
      </w:pPr>
      <w:r>
        <w:t xml:space="preserve">V minulom roku boli v EÚ každý týždeň zistené približne dve nové psychoaktívne látky alebo „nové drogy“ často predávané ako nekontrolované psychoaktívne látky (alebo tzv. </w:t>
      </w:r>
      <w:r>
        <w:rPr>
          <w:i/>
        </w:rPr>
        <w:t>legal highs</w:t>
      </w:r>
      <w:r>
        <w:t xml:space="preserve">). </w:t>
      </w:r>
      <w:r>
        <w:rPr>
          <w:b/>
        </w:rPr>
        <w:t>Systému včasného varovania</w:t>
      </w:r>
      <w:r>
        <w:t xml:space="preserve"> bolo v roku 2014 oznámených spolu 101 nových psychoaktívnych látok (v porovnaní s 81 látkami v r. 2013)</w:t>
      </w:r>
      <w:r w:rsidR="00C216A7">
        <w:rPr>
          <w:rFonts w:ascii="Calibri" w:hAnsi="Calibri"/>
        </w:rPr>
        <w:t>;</w:t>
      </w:r>
      <w:r w:rsidR="00C216A7">
        <w:t xml:space="preserve"> </w:t>
      </w:r>
      <w:r>
        <w:t xml:space="preserve"> pokrač</w:t>
      </w:r>
      <w:r w:rsidR="00C216A7">
        <w:t xml:space="preserve">oval </w:t>
      </w:r>
      <w:r>
        <w:t xml:space="preserve"> tak  stúpajúc</w:t>
      </w:r>
      <w:r w:rsidR="00C216A7">
        <w:t>i</w:t>
      </w:r>
      <w:r>
        <w:t xml:space="preserve"> trend </w:t>
      </w:r>
      <w:r w:rsidR="00C216A7">
        <w:t xml:space="preserve">počtu </w:t>
      </w:r>
      <w:r w:rsidR="005E1175">
        <w:t>notifikovaných látok za jed</w:t>
      </w:r>
      <w:r w:rsidR="00C216A7">
        <w:t>iný</w:t>
      </w:r>
      <w:r w:rsidR="005E1175">
        <w:t xml:space="preserve"> rok </w:t>
      </w:r>
      <w:r>
        <w:t xml:space="preserve"> (obrázok 1.12). Výsledkom je vyše 450 látok monitorovaných </w:t>
      </w:r>
      <w:r w:rsidR="00B30307">
        <w:t xml:space="preserve">centrom </w:t>
      </w:r>
      <w:r>
        <w:t xml:space="preserve"> z ktorých viac ako polovica bola identifikovaná len v posledných troch rokoch.</w:t>
      </w:r>
    </w:p>
    <w:p w:rsidR="00C175B5" w:rsidRPr="00F613F0" w:rsidRDefault="00C175B5" w:rsidP="004E7B44">
      <w:pPr>
        <w:pStyle w:val="newsContent"/>
      </w:pPr>
      <w:r>
        <w:t xml:space="preserve">V roku 2014 znovu dominovali v zozname oznámených látok dve skupiny: syntetické katinóny (31 látok), ktoré sa často predávali ako legálna náhrada za stimulanty a syntetické kanabinoidy (30 látok) predávané ako legálna náhrada za kanabis. </w:t>
      </w:r>
      <w:r w:rsidR="00220918">
        <w:t>P</w:t>
      </w:r>
      <w:r>
        <w:t xml:space="preserve">redstavujú dve najväčšie skupiny látok, ktoré monitoruje </w:t>
      </w:r>
      <w:r>
        <w:rPr>
          <w:b/>
        </w:rPr>
        <w:t>systém včasného varovania</w:t>
      </w:r>
      <w:r>
        <w:t xml:space="preserve"> a spolu tvoria takmer dve tretiny nových drog oznámených v roku 2014. Nové údaje o záchytoch ukazujú, že v r. 2013 bolo v EÚ oznámených približne 35 000 záchytov nových psychoaktívnych látok (aj keď tento údaj teba považovať za minimálny odhad vzhľadom na nedostatok systematického podávania správ v tejto oblasti). Z nich boli najčastejšie zachytené syntetické kanabinoidy a syntetické katinóny (obrázok 1.2).</w:t>
      </w:r>
    </w:p>
    <w:p w:rsidR="00C175B5" w:rsidRPr="004E7B44" w:rsidRDefault="00C175B5" w:rsidP="004E7B44">
      <w:pPr>
        <w:pStyle w:val="newsContent"/>
      </w:pPr>
      <w:r>
        <w:t xml:space="preserve">Nové štúdie a prieskumy začínajú objasňovať užívanie nových psychoaktívnych látok v deviatich krajinách, ktoré zaradili prevalenciu užívania týchto látok do svojich </w:t>
      </w:r>
      <w:r w:rsidR="00B30307">
        <w:t xml:space="preserve">národných prieskumov o drogách </w:t>
      </w:r>
      <w:r>
        <w:t xml:space="preserve"> .Zdá sa, že prevalencia užívania týchto látok je nízka vo väčšine krajín EÚ. Aj obmedzené užívanie nových psychoaktívnych látok však môže vzbudzovať obavy vzhľadom na vysokú toxicitu niektorých z nich. Zdravotné a sociálne </w:t>
      </w:r>
      <w:r w:rsidR="002330F8">
        <w:t>opatrenia vo vzťahu k </w:t>
      </w:r>
      <w:r>
        <w:t>nov</w:t>
      </w:r>
      <w:r w:rsidR="002330F8">
        <w:t xml:space="preserve">ým </w:t>
      </w:r>
      <w:r>
        <w:t xml:space="preserve"> psychoaktívn</w:t>
      </w:r>
      <w:r w:rsidR="002330F8">
        <w:t>ym</w:t>
      </w:r>
      <w:r>
        <w:t xml:space="preserve"> látk</w:t>
      </w:r>
      <w:r w:rsidR="002330F8">
        <w:t>am</w:t>
      </w:r>
      <w:r>
        <w:t xml:space="preserve"> nadobúdajú na intenzite a odzrkadľujú celú škálu reakcií na </w:t>
      </w:r>
      <w:r w:rsidR="002330F8">
        <w:t xml:space="preserve">známejšie </w:t>
      </w:r>
      <w:r>
        <w:t xml:space="preserve"> drogy (napr. protidrogové vzdelávanie, intervencie prostredníctvom internetu; programy výmeny injekčných ihiel a striekačiek).</w:t>
      </w:r>
    </w:p>
    <w:p w:rsidR="0001152D" w:rsidRPr="00AC750C" w:rsidRDefault="0001152D" w:rsidP="0001152D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Internet a internetové aplikácie: novovznikajúce virtuálne drogové trhy</w:t>
      </w:r>
    </w:p>
    <w:p w:rsidR="000C1074" w:rsidRPr="00CD3FFC" w:rsidRDefault="0001152D" w:rsidP="006C59B0">
      <w:pPr>
        <w:pStyle w:val="NormalWeb"/>
        <w:spacing w:after="260" w:afterAutospacing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Internet zohráva stále významnejšiu úlohu v ponuke a predaji drog Európanom, pričom sa nové psychoaktívne látky a </w:t>
      </w:r>
      <w:r w:rsidR="00536538">
        <w:rPr>
          <w:rFonts w:ascii="Arial" w:hAnsi="Arial"/>
          <w:sz w:val="20"/>
        </w:rPr>
        <w:t xml:space="preserve">tradičné </w:t>
      </w:r>
      <w:r>
        <w:rPr>
          <w:rFonts w:ascii="Arial" w:hAnsi="Arial"/>
          <w:sz w:val="20"/>
        </w:rPr>
        <w:t xml:space="preserve">drogy ponúkajú na predaj on-line. V posledných desiatich rokoch sa venuje väčšia pozornosť využívaniu tzv. viditeľného webu (dostupného pomocou bežných vyhľadávacích strojov) na predaj nových psychoaktívnych látok, na ktorom monitoring </w:t>
      </w:r>
      <w:r>
        <w:rPr>
          <w:rFonts w:ascii="Arial" w:hAnsi="Arial"/>
          <w:b/>
          <w:sz w:val="20"/>
        </w:rPr>
        <w:t>EMCDDA</w:t>
      </w:r>
      <w:r>
        <w:rPr>
          <w:rFonts w:ascii="Arial" w:hAnsi="Arial"/>
          <w:sz w:val="20"/>
        </w:rPr>
        <w:t xml:space="preserve"> identifikoval približne 650 webových </w:t>
      </w:r>
      <w:r w:rsidR="00536538">
        <w:rPr>
          <w:rFonts w:ascii="Arial" w:hAnsi="Arial"/>
          <w:sz w:val="20"/>
        </w:rPr>
        <w:t xml:space="preserve">stránok </w:t>
      </w:r>
      <w:r>
        <w:rPr>
          <w:rFonts w:ascii="Arial" w:hAnsi="Arial"/>
          <w:sz w:val="20"/>
        </w:rPr>
        <w:t xml:space="preserve">predávajúcich Európanom nekontrolované psychoaktívne látky. Novinkou na internetovom trhu je predaj nelegálnych drog na „kryptotrhoch“ alebo on-line trhoviskách „neviditeľného webu“ (prístupných prostredníctvom šifrovaného softvéru). Umožňujú anonymnú výmenu tovaru a služieb medzi účastníkmi, často za „kryptomeny“ (napr. bitcoin), ktoré uľahčujú skryté transakcie. Vznikajú tiež tzv. </w:t>
      </w:r>
      <w:r w:rsidR="00392041">
        <w:rPr>
          <w:rFonts w:ascii="Arial" w:hAnsi="Arial"/>
          <w:sz w:val="20"/>
        </w:rPr>
        <w:t>šedé</w:t>
      </w:r>
      <w:r>
        <w:rPr>
          <w:rFonts w:ascii="Arial" w:hAnsi="Arial"/>
          <w:sz w:val="20"/>
        </w:rPr>
        <w:t xml:space="preserve"> trhoviská, kde webové </w:t>
      </w:r>
      <w:r w:rsidR="00536538">
        <w:rPr>
          <w:rFonts w:ascii="Arial" w:hAnsi="Arial"/>
          <w:sz w:val="20"/>
        </w:rPr>
        <w:t xml:space="preserve">stránky </w:t>
      </w:r>
      <w:r>
        <w:rPr>
          <w:rFonts w:ascii="Arial" w:hAnsi="Arial"/>
          <w:sz w:val="20"/>
        </w:rPr>
        <w:t xml:space="preserve">fungujú tak na viditeľnom, ako aj neviditeľnom webe. Správa upozorňuje na aktívnu úlohu sociálnych sietí a webových aplikácií na drogových trhoch, či už priamym využívaním na nákup a predaj drog, alebo nepriamo na marketing, </w:t>
      </w:r>
      <w:r w:rsidR="00536538">
        <w:rPr>
          <w:rFonts w:ascii="Arial" w:hAnsi="Arial"/>
          <w:sz w:val="20"/>
        </w:rPr>
        <w:t xml:space="preserve">vytváranie názoru </w:t>
      </w:r>
      <w:r>
        <w:rPr>
          <w:rFonts w:ascii="Arial" w:hAnsi="Arial"/>
          <w:sz w:val="20"/>
        </w:rPr>
        <w:t>alebo sprostredkovanie skúseností</w:t>
      </w:r>
      <w:r w:rsidR="00392041">
        <w:rPr>
          <w:rFonts w:ascii="Arial" w:hAnsi="Arial"/>
          <w:sz w:val="20"/>
        </w:rPr>
        <w:t>.</w:t>
      </w:r>
    </w:p>
    <w:p w:rsidR="000C1074" w:rsidRDefault="0001152D" w:rsidP="0002521E">
      <w:pPr>
        <w:spacing w:after="120"/>
        <w:rPr>
          <w:rFonts w:cs="Arial"/>
          <w:szCs w:val="20"/>
        </w:rPr>
      </w:pPr>
      <w:r>
        <w:lastRenderedPageBreak/>
        <w:t xml:space="preserve">„Rast on-line a virtuálnych trhov s drogami je veľkou výzvou pre presadzovanie práva a politiky kontroly drog“ </w:t>
      </w:r>
      <w:r w:rsidR="00536538">
        <w:t xml:space="preserve">uvádza </w:t>
      </w:r>
      <w:r>
        <w:t>sa v správe. „Existujúce regulačné modely sa budú musieť prispôsobiť, aby udržali krok s globálnym a virtuálnym kontextom.“</w:t>
      </w:r>
    </w:p>
    <w:p w:rsidR="0080459C" w:rsidRPr="0084714F" w:rsidRDefault="00EB603B" w:rsidP="0002521E">
      <w:pPr>
        <w:spacing w:afterLines="80" w:after="192"/>
        <w:rPr>
          <w:rStyle w:val="header-line-3"/>
          <w:rFonts w:cs="Arial"/>
          <w:szCs w:val="20"/>
        </w:rPr>
      </w:pPr>
      <w:r>
        <w:rPr>
          <w:rStyle w:val="header-line-3"/>
        </w:rPr>
        <w:t>-----</w:t>
      </w:r>
    </w:p>
    <w:p w:rsidR="000C1074" w:rsidRDefault="00DB5716" w:rsidP="0002521E">
      <w:pPr>
        <w:spacing w:afterLines="80" w:after="192"/>
        <w:rPr>
          <w:rStyle w:val="header-line-3"/>
          <w:rFonts w:cs="Arial"/>
          <w:color w:val="FF0000"/>
          <w:szCs w:val="20"/>
          <w:highlight w:val="yellow"/>
        </w:rPr>
      </w:pPr>
      <w:r>
        <w:rPr>
          <w:rStyle w:val="header-line-3"/>
          <w:b/>
        </w:rPr>
        <w:t>Predseda správnej rady EMCDDA, João Goulão</w:t>
      </w:r>
      <w:r>
        <w:rPr>
          <w:rStyle w:val="header-line-3"/>
        </w:rPr>
        <w:t xml:space="preserve"> konštatuje: „Táto </w:t>
      </w:r>
      <w:r w:rsidR="00392041">
        <w:rPr>
          <w:rStyle w:val="header-line-3"/>
        </w:rPr>
        <w:t xml:space="preserve">dvadsiata </w:t>
      </w:r>
      <w:r>
        <w:rPr>
          <w:rStyle w:val="header-line-3"/>
        </w:rPr>
        <w:t xml:space="preserve"> analýza názorne </w:t>
      </w:r>
      <w:r w:rsidR="00536538">
        <w:rPr>
          <w:rStyle w:val="header-line-3"/>
        </w:rPr>
        <w:t>po</w:t>
      </w:r>
      <w:r>
        <w:rPr>
          <w:rStyle w:val="header-line-3"/>
        </w:rPr>
        <w:t>ukazuje</w:t>
      </w:r>
      <w:r w:rsidR="00536538">
        <w:rPr>
          <w:rStyle w:val="header-line-3"/>
        </w:rPr>
        <w:t xml:space="preserve"> na</w:t>
      </w:r>
      <w:r>
        <w:rPr>
          <w:rStyle w:val="header-line-3"/>
        </w:rPr>
        <w:t xml:space="preserve"> zmeny európskeho drogového fenoménu od prvého vydania správy EMCDDA v roku 1996, ako aj </w:t>
      </w:r>
      <w:r w:rsidR="00536538">
        <w:rPr>
          <w:rStyle w:val="header-line-3"/>
        </w:rPr>
        <w:t xml:space="preserve">na lepšie obsiahnutie </w:t>
      </w:r>
      <w:r>
        <w:rPr>
          <w:rStyle w:val="header-line-3"/>
        </w:rPr>
        <w:t xml:space="preserve">  tejto problematiky </w:t>
      </w:r>
      <w:r w:rsidR="00536538">
        <w:rPr>
          <w:rStyle w:val="header-line-3"/>
        </w:rPr>
        <w:t>agentúrou</w:t>
      </w:r>
      <w:r>
        <w:rPr>
          <w:rStyle w:val="header-line-3"/>
        </w:rPr>
        <w:t xml:space="preserve">. Drogový problém je teraz oveľa zložitejší, pretože mnohé dnes významné látky boli pred dvadsiatimi rokmi pre užívateľov prakticky neznáme. </w:t>
      </w:r>
      <w:r w:rsidR="00536538">
        <w:rPr>
          <w:rStyle w:val="header-line-3"/>
        </w:rPr>
        <w:t>V</w:t>
      </w:r>
      <w:r>
        <w:rPr>
          <w:rStyle w:val="header-line-3"/>
        </w:rPr>
        <w:t>ymedzenie hraníc medzi starými a novými drogami</w:t>
      </w:r>
      <w:r w:rsidR="00536538">
        <w:rPr>
          <w:rStyle w:val="header-line-3"/>
        </w:rPr>
        <w:t xml:space="preserve"> sa stáva ťažším</w:t>
      </w:r>
      <w:r>
        <w:rPr>
          <w:rStyle w:val="header-line-3"/>
        </w:rPr>
        <w:t xml:space="preserve">, lebo nové látky stále viac </w:t>
      </w:r>
      <w:r w:rsidR="00536538">
        <w:rPr>
          <w:rStyle w:val="header-line-3"/>
        </w:rPr>
        <w:t xml:space="preserve">kopírujú </w:t>
      </w:r>
      <w:r>
        <w:rPr>
          <w:rStyle w:val="header-line-3"/>
        </w:rPr>
        <w:t xml:space="preserve">kontrolované drogy. Tento každoročný </w:t>
      </w:r>
      <w:r w:rsidR="00536538">
        <w:rPr>
          <w:rStyle w:val="header-line-3"/>
        </w:rPr>
        <w:t xml:space="preserve">prehľad </w:t>
      </w:r>
      <w:r>
        <w:rPr>
          <w:rStyle w:val="header-line-3"/>
        </w:rPr>
        <w:t xml:space="preserve">o európskom drogovom probléme nám poskytuje cenný základ </w:t>
      </w:r>
      <w:r w:rsidR="00536538">
        <w:rPr>
          <w:rStyle w:val="header-line-3"/>
        </w:rPr>
        <w:t xml:space="preserve"> pre</w:t>
      </w:r>
      <w:r>
        <w:rPr>
          <w:rStyle w:val="header-line-3"/>
        </w:rPr>
        <w:t xml:space="preserve"> informovanú diskusiu o protidrogovej politike v súčasnosti.</w:t>
      </w:r>
      <w:r w:rsidR="00536538">
        <w:rPr>
          <w:rStyle w:val="header-line-3"/>
        </w:rPr>
        <w:t xml:space="preserve"> Rovnako, p</w:t>
      </w:r>
      <w:r>
        <w:rPr>
          <w:rStyle w:val="header-line-3"/>
        </w:rPr>
        <w:t>onúka tiež dôležitý prehľad pre</w:t>
      </w:r>
      <w:r w:rsidR="00536538">
        <w:rPr>
          <w:rStyle w:val="header-line-3"/>
        </w:rPr>
        <w:t xml:space="preserve"> budúce formovanie</w:t>
      </w:r>
      <w:r>
        <w:rPr>
          <w:rStyle w:val="header-line-3"/>
        </w:rPr>
        <w:t xml:space="preserve"> polit</w:t>
      </w:r>
      <w:r w:rsidR="00536538">
        <w:rPr>
          <w:rStyle w:val="header-line-3"/>
        </w:rPr>
        <w:t xml:space="preserve">ík v tejto oblasti.“ </w:t>
      </w:r>
      <w:r>
        <w:rPr>
          <w:rStyle w:val="header-line-3"/>
        </w:rPr>
        <w:t xml:space="preserve"> </w:t>
      </w:r>
    </w:p>
    <w:p w:rsidR="00C6303A" w:rsidRDefault="00C6303A" w:rsidP="00D57CC0">
      <w:pPr>
        <w:spacing w:after="0" w:line="240" w:lineRule="auto"/>
        <w:rPr>
          <w:rStyle w:val="header-line-3"/>
          <w:rFonts w:cs="Arial"/>
          <w:b/>
          <w:sz w:val="16"/>
          <w:szCs w:val="16"/>
        </w:rPr>
      </w:pPr>
    </w:p>
    <w:p w:rsidR="008C53EC" w:rsidRPr="0002521E" w:rsidRDefault="001F4003" w:rsidP="00D57CC0">
      <w:pPr>
        <w:spacing w:after="0" w:line="240" w:lineRule="auto"/>
        <w:rPr>
          <w:rStyle w:val="header-line-3"/>
          <w:rFonts w:cs="Arial"/>
          <w:b/>
          <w:sz w:val="16"/>
          <w:szCs w:val="16"/>
        </w:rPr>
      </w:pPr>
      <w:r>
        <w:rPr>
          <w:rStyle w:val="header-line-3"/>
          <w:b/>
          <w:sz w:val="16"/>
        </w:rPr>
        <w:t>Poznámky</w:t>
      </w:r>
    </w:p>
    <w:p w:rsidR="000C1074" w:rsidRDefault="008C53EC" w:rsidP="00184E73">
      <w:pPr>
        <w:spacing w:after="0" w:line="240" w:lineRule="auto"/>
        <w:rPr>
          <w:rFonts w:cs="Arial"/>
          <w:sz w:val="16"/>
          <w:szCs w:val="16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1</w:t>
      </w:r>
      <w:r>
        <w:rPr>
          <w:rStyle w:val="header-line-3"/>
          <w:sz w:val="16"/>
        </w:rPr>
        <w:t xml:space="preserve">) </w:t>
      </w:r>
      <w:r>
        <w:rPr>
          <w:sz w:val="16"/>
        </w:rPr>
        <w:t xml:space="preserve">Úplný balík </w:t>
      </w:r>
      <w:r>
        <w:rPr>
          <w:b/>
          <w:i/>
          <w:sz w:val="16"/>
        </w:rPr>
        <w:t>Európskej správy o drogách za rok 2015</w:t>
      </w:r>
      <w:r>
        <w:rPr>
          <w:sz w:val="16"/>
        </w:rPr>
        <w:t xml:space="preserve"> je k dispozícii na </w:t>
      </w:r>
      <w:hyperlink r:id="rId10">
        <w:r>
          <w:rPr>
            <w:rStyle w:val="Hyperlink"/>
            <w:sz w:val="16"/>
          </w:rPr>
          <w:t>www.emcdda.europa.eu/edr2015</w:t>
        </w:r>
      </w:hyperlink>
    </w:p>
    <w:p w:rsidR="000C1074" w:rsidRDefault="000A4F68" w:rsidP="00184E73">
      <w:pPr>
        <w:spacing w:after="0" w:line="240" w:lineRule="auto"/>
        <w:rPr>
          <w:rFonts w:cs="Arial"/>
          <w:sz w:val="16"/>
          <w:szCs w:val="16"/>
        </w:rPr>
      </w:pPr>
      <w:r>
        <w:rPr>
          <w:sz w:val="16"/>
        </w:rPr>
        <w:t>Údaje prezentované v správe sa týkajú roka 2013 alebo posledného roka, za ktorý sú údaje k dispozícii.</w:t>
      </w:r>
    </w:p>
    <w:p w:rsidR="000C1074" w:rsidRDefault="008C53EC" w:rsidP="00184E73">
      <w:pPr>
        <w:spacing w:after="0" w:line="240" w:lineRule="auto"/>
        <w:rPr>
          <w:rFonts w:cs="Arial"/>
          <w:sz w:val="16"/>
          <w:szCs w:val="16"/>
          <w:highlight w:val="yellow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2</w:t>
      </w:r>
      <w:r>
        <w:rPr>
          <w:rStyle w:val="header-line-3"/>
          <w:sz w:val="16"/>
        </w:rPr>
        <w:t xml:space="preserve">) </w:t>
      </w:r>
      <w:hyperlink r:id="rId11">
        <w:r>
          <w:rPr>
            <w:rStyle w:val="Hyperlink"/>
            <w:sz w:val="16"/>
          </w:rPr>
          <w:t>www.unodc.org/documents/wdr2014/World_Drug_Report_2014_web.pdf</w:t>
        </w:r>
      </w:hyperlink>
    </w:p>
    <w:p w:rsidR="008C53EC" w:rsidRPr="0002521E" w:rsidRDefault="008C0F57" w:rsidP="00184E73">
      <w:pPr>
        <w:spacing w:after="0" w:line="240" w:lineRule="auto"/>
        <w:rPr>
          <w:rFonts w:cs="Arial"/>
          <w:sz w:val="16"/>
          <w:szCs w:val="16"/>
        </w:rPr>
      </w:pPr>
      <w:hyperlink r:id="rId12">
        <w:r w:rsidR="00117596">
          <w:rPr>
            <w:rStyle w:val="Hyperlink"/>
            <w:sz w:val="16"/>
          </w:rPr>
          <w:t>www.unodc.org/documents/crop-monitoring/Afghanistan/Afghan-opium-survey-2014.pdf</w:t>
        </w:r>
      </w:hyperlink>
    </w:p>
    <w:p w:rsidR="000C1074" w:rsidRDefault="0002128C" w:rsidP="00184E73">
      <w:pPr>
        <w:spacing w:after="0" w:line="240" w:lineRule="auto"/>
        <w:rPr>
          <w:rStyle w:val="Hyperlink"/>
          <w:rFonts w:cs="Arial"/>
          <w:sz w:val="16"/>
          <w:szCs w:val="16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3</w:t>
      </w:r>
      <w:r>
        <w:rPr>
          <w:rStyle w:val="header-line-3"/>
          <w:sz w:val="16"/>
        </w:rPr>
        <w:t xml:space="preserve">) </w:t>
      </w:r>
      <w:hyperlink r:id="rId13">
        <w:r>
          <w:rPr>
            <w:rStyle w:val="Hyperlink"/>
            <w:sz w:val="16"/>
          </w:rPr>
          <w:t>www.emcdda.europa.eu/news/2015/naloxone</w:t>
        </w:r>
      </w:hyperlink>
    </w:p>
    <w:p w:rsidR="00EC5A9C" w:rsidRDefault="0060343A" w:rsidP="00184E73">
      <w:pPr>
        <w:spacing w:after="0" w:line="240" w:lineRule="auto"/>
        <w:rPr>
          <w:rStyle w:val="Hyperlink"/>
          <w:sz w:val="16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4</w:t>
      </w:r>
      <w:r>
        <w:rPr>
          <w:rStyle w:val="header-line-3"/>
          <w:sz w:val="16"/>
        </w:rPr>
        <w:t xml:space="preserve">) </w:t>
      </w:r>
      <w:hyperlink r:id="rId14">
        <w:r>
          <w:rPr>
            <w:rStyle w:val="Hyperlink"/>
            <w:sz w:val="16"/>
          </w:rPr>
          <w:t>www.emcdda.europa.eu/news/2015/treatment-of-cannabis-related-disorders-in-Europe</w:t>
        </w:r>
      </w:hyperlink>
    </w:p>
    <w:p w:rsidR="001F5733" w:rsidRDefault="001F5733" w:rsidP="00184E73">
      <w:pPr>
        <w:spacing w:after="0" w:line="240" w:lineRule="auto"/>
        <w:rPr>
          <w:rStyle w:val="Hyperlink"/>
          <w:rFonts w:cs="Arial"/>
          <w:sz w:val="16"/>
          <w:szCs w:val="16"/>
        </w:rPr>
      </w:pPr>
    </w:p>
    <w:sectPr w:rsidR="001F5733" w:rsidSect="00F57B5A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276" w:right="1274" w:bottom="709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02" w:rsidRDefault="00434702" w:rsidP="009A28FB">
      <w:pPr>
        <w:spacing w:after="0" w:line="240" w:lineRule="auto"/>
      </w:pPr>
      <w:r>
        <w:separator/>
      </w:r>
    </w:p>
  </w:endnote>
  <w:endnote w:type="continuationSeparator" w:id="0">
    <w:p w:rsidR="00434702" w:rsidRDefault="00434702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031350" w:rsidTr="002F4635">
      <w:tc>
        <w:tcPr>
          <w:tcW w:w="1444" w:type="dxa"/>
        </w:tcPr>
        <w:p w:rsidR="00031350" w:rsidRDefault="00031350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85DA615" wp14:editId="4BB9508A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>
            <w:t xml:space="preserve">emcdda.europa.eu </w:t>
          </w:r>
        </w:p>
      </w:tc>
      <w:tc>
        <w:tcPr>
          <w:tcW w:w="3294" w:type="dxa"/>
          <w:vAlign w:val="bottom"/>
        </w:tcPr>
        <w:p w:rsidR="00031350" w:rsidRDefault="00031350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0F5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031350" w:rsidRDefault="00031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2869"/>
    </w:tblGrid>
    <w:tr w:rsidR="00031350" w:rsidTr="006C3B3E">
      <w:tc>
        <w:tcPr>
          <w:tcW w:w="7196" w:type="dxa"/>
        </w:tcPr>
        <w:p w:rsidR="000C1074" w:rsidRDefault="00031350" w:rsidP="00031350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50922921" wp14:editId="1240BE8B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>
            <w:t xml:space="preserve">Kontakt: </w:t>
          </w:r>
          <w:proofErr w:type="spellStart"/>
          <w:r>
            <w:t>Kathy</w:t>
          </w:r>
          <w:proofErr w:type="spellEnd"/>
          <w:r>
            <w:t xml:space="preserve"> </w:t>
          </w:r>
          <w:proofErr w:type="spellStart"/>
          <w:r>
            <w:t>Robertsonová</w:t>
          </w:r>
          <w:proofErr w:type="spellEnd"/>
          <w:r>
            <w:t>, Vzťahy s</w:t>
          </w:r>
          <w:r w:rsidR="001F5733">
            <w:t> </w:t>
          </w:r>
          <w:r>
            <w:t>médiami</w:t>
          </w:r>
          <w:r w:rsidR="001F5733">
            <w:t xml:space="preserve"> </w:t>
          </w:r>
        </w:p>
        <w:p w:rsidR="000C1074" w:rsidRDefault="00031350" w:rsidP="00031350">
          <w:pPr>
            <w:pStyle w:val="newsCoordinates"/>
          </w:pPr>
          <w:r>
            <w:t>Praça Europa 1, Cais do Sodré, 1249-289 Lisabon, Portugalsko</w:t>
          </w:r>
        </w:p>
        <w:p w:rsidR="00031350" w:rsidRPr="000C1074" w:rsidRDefault="00031350" w:rsidP="00031350">
          <w:pPr>
            <w:pStyle w:val="newsCoordinates"/>
          </w:pPr>
          <w:r>
            <w:t xml:space="preserve">Tel.: (351) 211 21 02 00 </w:t>
          </w:r>
          <w:r>
            <w:rPr>
              <w:sz w:val="18"/>
            </w:rPr>
            <w:t xml:space="preserve">I </w:t>
          </w:r>
          <w:r>
            <w:t xml:space="preserve">press@emcdda.europa.eu </w:t>
          </w:r>
          <w:r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2869" w:type="dxa"/>
          <w:vAlign w:val="bottom"/>
        </w:tcPr>
        <w:p w:rsidR="00031350" w:rsidRDefault="00031350" w:rsidP="000A4F68">
          <w:pPr>
            <w:pStyle w:val="newsReference"/>
            <w:jc w:val="right"/>
          </w:pPr>
          <w:r>
            <w:t>SK — Č. 4/2015</w:t>
          </w:r>
        </w:p>
      </w:tc>
    </w:tr>
  </w:tbl>
  <w:p w:rsidR="00031350" w:rsidRDefault="00031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02" w:rsidRDefault="00434702" w:rsidP="009A28FB">
      <w:pPr>
        <w:spacing w:after="0" w:line="240" w:lineRule="auto"/>
      </w:pPr>
      <w:r>
        <w:separator/>
      </w:r>
    </w:p>
  </w:footnote>
  <w:footnote w:type="continuationSeparator" w:id="0">
    <w:p w:rsidR="00434702" w:rsidRDefault="00434702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2869"/>
    </w:tblGrid>
    <w:tr w:rsidR="00031350" w:rsidTr="006C3B3E">
      <w:tc>
        <w:tcPr>
          <w:tcW w:w="7196" w:type="dxa"/>
        </w:tcPr>
        <w:p w:rsidR="00031350" w:rsidRDefault="00031350" w:rsidP="00CC4FDA">
          <w:pPr>
            <w:pStyle w:val="newsEmbargo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FC3EC4E" wp14:editId="0A4D2D2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xmlns:o="urn:schemas-microsoft-com:office:office" xmlns:v="urn:schemas-microsoft-com:vml"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xmlns:w10="urn:schemas-microsoft-com:office:word" anchorx="page" anchory="page"/>
                  </v:line>
                </w:pict>
              </mc:Fallback>
            </mc:AlternateContent>
          </w:r>
          <w:r>
            <w:t xml:space="preserve">Európska správa o drogách za rok 2015 </w:t>
          </w:r>
          <w:r>
            <w:rPr>
              <w:noProof/>
              <w:sz w:val="18"/>
            </w:rPr>
            <w:t>I</w:t>
          </w:r>
          <w:r>
            <w:t xml:space="preserve"> </w:t>
          </w:r>
          <w:r>
            <w:rPr>
              <w:b/>
              <w:noProof/>
              <w:color w:val="FF0000"/>
            </w:rPr>
            <w:t>EMBARGO 10.00 h ZEČ/lisabonského času</w:t>
          </w:r>
        </w:p>
      </w:tc>
      <w:tc>
        <w:tcPr>
          <w:tcW w:w="2869" w:type="dxa"/>
          <w:vAlign w:val="bottom"/>
        </w:tcPr>
        <w:p w:rsidR="00031350" w:rsidRDefault="00031350" w:rsidP="00A13D42">
          <w:pPr>
            <w:pStyle w:val="newsReference"/>
            <w:jc w:val="right"/>
          </w:pPr>
          <w:r>
            <w:t>4.6.2015</w:t>
          </w:r>
        </w:p>
      </w:tc>
    </w:tr>
  </w:tbl>
  <w:p w:rsidR="00031350" w:rsidRDefault="00031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89"/>
    <w:rsid w:val="00006E04"/>
    <w:rsid w:val="0001152D"/>
    <w:rsid w:val="00011655"/>
    <w:rsid w:val="00012CCC"/>
    <w:rsid w:val="00014E8E"/>
    <w:rsid w:val="00017CF2"/>
    <w:rsid w:val="0002128C"/>
    <w:rsid w:val="0002521E"/>
    <w:rsid w:val="0002642F"/>
    <w:rsid w:val="00030F8E"/>
    <w:rsid w:val="00031350"/>
    <w:rsid w:val="00033487"/>
    <w:rsid w:val="000341E6"/>
    <w:rsid w:val="00036DAA"/>
    <w:rsid w:val="00042704"/>
    <w:rsid w:val="0004569C"/>
    <w:rsid w:val="000457B2"/>
    <w:rsid w:val="00050E92"/>
    <w:rsid w:val="000535B7"/>
    <w:rsid w:val="000574F9"/>
    <w:rsid w:val="00067C0A"/>
    <w:rsid w:val="00067DD3"/>
    <w:rsid w:val="0008340F"/>
    <w:rsid w:val="0008432E"/>
    <w:rsid w:val="000940B9"/>
    <w:rsid w:val="00094B2A"/>
    <w:rsid w:val="000A1C65"/>
    <w:rsid w:val="000A4F68"/>
    <w:rsid w:val="000A613B"/>
    <w:rsid w:val="000B2DDF"/>
    <w:rsid w:val="000C00EF"/>
    <w:rsid w:val="000C1074"/>
    <w:rsid w:val="000C1799"/>
    <w:rsid w:val="000C3FA2"/>
    <w:rsid w:val="000C6200"/>
    <w:rsid w:val="000D1C68"/>
    <w:rsid w:val="000D371F"/>
    <w:rsid w:val="000D3B2D"/>
    <w:rsid w:val="000D6DB7"/>
    <w:rsid w:val="000F2A75"/>
    <w:rsid w:val="000F7D57"/>
    <w:rsid w:val="00100F42"/>
    <w:rsid w:val="00101B89"/>
    <w:rsid w:val="00105BFC"/>
    <w:rsid w:val="00105FE2"/>
    <w:rsid w:val="00107C96"/>
    <w:rsid w:val="00107CE0"/>
    <w:rsid w:val="00110BD2"/>
    <w:rsid w:val="001119A8"/>
    <w:rsid w:val="00111DD7"/>
    <w:rsid w:val="00113F76"/>
    <w:rsid w:val="001165FD"/>
    <w:rsid w:val="00117596"/>
    <w:rsid w:val="00121121"/>
    <w:rsid w:val="00132292"/>
    <w:rsid w:val="001518D5"/>
    <w:rsid w:val="00156CE8"/>
    <w:rsid w:val="001575A4"/>
    <w:rsid w:val="00161BC1"/>
    <w:rsid w:val="001622F3"/>
    <w:rsid w:val="00163281"/>
    <w:rsid w:val="00164F37"/>
    <w:rsid w:val="00172DB0"/>
    <w:rsid w:val="0017713E"/>
    <w:rsid w:val="0017757B"/>
    <w:rsid w:val="001800D0"/>
    <w:rsid w:val="00182270"/>
    <w:rsid w:val="00184E73"/>
    <w:rsid w:val="00193596"/>
    <w:rsid w:val="00194867"/>
    <w:rsid w:val="00196CAB"/>
    <w:rsid w:val="00196ED5"/>
    <w:rsid w:val="001A18C6"/>
    <w:rsid w:val="001A1E56"/>
    <w:rsid w:val="001A3338"/>
    <w:rsid w:val="001A579D"/>
    <w:rsid w:val="001A69E6"/>
    <w:rsid w:val="001B17B3"/>
    <w:rsid w:val="001B188F"/>
    <w:rsid w:val="001B5593"/>
    <w:rsid w:val="001C1D39"/>
    <w:rsid w:val="001C2D3C"/>
    <w:rsid w:val="001C383B"/>
    <w:rsid w:val="001C795A"/>
    <w:rsid w:val="001D18F4"/>
    <w:rsid w:val="001D22AF"/>
    <w:rsid w:val="001D43CB"/>
    <w:rsid w:val="001D4B78"/>
    <w:rsid w:val="001D5C26"/>
    <w:rsid w:val="001D6720"/>
    <w:rsid w:val="001E7122"/>
    <w:rsid w:val="001F067B"/>
    <w:rsid w:val="001F1D05"/>
    <w:rsid w:val="001F2A80"/>
    <w:rsid w:val="001F4003"/>
    <w:rsid w:val="001F44C6"/>
    <w:rsid w:val="001F5733"/>
    <w:rsid w:val="001F5B61"/>
    <w:rsid w:val="001F70B4"/>
    <w:rsid w:val="001F76C7"/>
    <w:rsid w:val="00204667"/>
    <w:rsid w:val="0021417F"/>
    <w:rsid w:val="002142A8"/>
    <w:rsid w:val="00220918"/>
    <w:rsid w:val="00220E2D"/>
    <w:rsid w:val="002228DE"/>
    <w:rsid w:val="00223753"/>
    <w:rsid w:val="00224BE2"/>
    <w:rsid w:val="00226E8D"/>
    <w:rsid w:val="002330F8"/>
    <w:rsid w:val="002331A0"/>
    <w:rsid w:val="00246D13"/>
    <w:rsid w:val="00250AD6"/>
    <w:rsid w:val="002545D9"/>
    <w:rsid w:val="002557B0"/>
    <w:rsid w:val="00261883"/>
    <w:rsid w:val="00263FD4"/>
    <w:rsid w:val="00264217"/>
    <w:rsid w:val="002646E4"/>
    <w:rsid w:val="002662DA"/>
    <w:rsid w:val="0027189B"/>
    <w:rsid w:val="00271C5B"/>
    <w:rsid w:val="0027252D"/>
    <w:rsid w:val="002730DF"/>
    <w:rsid w:val="00275AED"/>
    <w:rsid w:val="00275F30"/>
    <w:rsid w:val="0027733D"/>
    <w:rsid w:val="00277F89"/>
    <w:rsid w:val="0028141E"/>
    <w:rsid w:val="00283951"/>
    <w:rsid w:val="002919EA"/>
    <w:rsid w:val="002948E2"/>
    <w:rsid w:val="00294B1A"/>
    <w:rsid w:val="00296408"/>
    <w:rsid w:val="00297B50"/>
    <w:rsid w:val="002A1982"/>
    <w:rsid w:val="002A2566"/>
    <w:rsid w:val="002A3971"/>
    <w:rsid w:val="002A3C24"/>
    <w:rsid w:val="002A6038"/>
    <w:rsid w:val="002A61F7"/>
    <w:rsid w:val="002A7504"/>
    <w:rsid w:val="002B05CE"/>
    <w:rsid w:val="002B225D"/>
    <w:rsid w:val="002B45AC"/>
    <w:rsid w:val="002B4631"/>
    <w:rsid w:val="002B57E1"/>
    <w:rsid w:val="002B76D8"/>
    <w:rsid w:val="002C14B6"/>
    <w:rsid w:val="002C457A"/>
    <w:rsid w:val="002C6982"/>
    <w:rsid w:val="002E139D"/>
    <w:rsid w:val="002E5C77"/>
    <w:rsid w:val="002E6E4B"/>
    <w:rsid w:val="002E7B7E"/>
    <w:rsid w:val="002F041B"/>
    <w:rsid w:val="002F13E4"/>
    <w:rsid w:val="002F15DC"/>
    <w:rsid w:val="002F1DC5"/>
    <w:rsid w:val="002F4635"/>
    <w:rsid w:val="00300989"/>
    <w:rsid w:val="00304ED3"/>
    <w:rsid w:val="00313B77"/>
    <w:rsid w:val="0032347B"/>
    <w:rsid w:val="0032597B"/>
    <w:rsid w:val="0033158E"/>
    <w:rsid w:val="00334B9B"/>
    <w:rsid w:val="003366A1"/>
    <w:rsid w:val="0034007F"/>
    <w:rsid w:val="003423CF"/>
    <w:rsid w:val="00346A2D"/>
    <w:rsid w:val="00352A65"/>
    <w:rsid w:val="00356C18"/>
    <w:rsid w:val="0036121D"/>
    <w:rsid w:val="003621BA"/>
    <w:rsid w:val="00362CD8"/>
    <w:rsid w:val="003728ED"/>
    <w:rsid w:val="00380C21"/>
    <w:rsid w:val="003849C1"/>
    <w:rsid w:val="00387D02"/>
    <w:rsid w:val="00390456"/>
    <w:rsid w:val="00392041"/>
    <w:rsid w:val="00392E6E"/>
    <w:rsid w:val="003953B8"/>
    <w:rsid w:val="00396377"/>
    <w:rsid w:val="00397BE5"/>
    <w:rsid w:val="003B1D7B"/>
    <w:rsid w:val="003B2845"/>
    <w:rsid w:val="003B41B1"/>
    <w:rsid w:val="003B7A42"/>
    <w:rsid w:val="003C0395"/>
    <w:rsid w:val="003C21DD"/>
    <w:rsid w:val="003C52DA"/>
    <w:rsid w:val="003C6E5F"/>
    <w:rsid w:val="003D2A4C"/>
    <w:rsid w:val="003D4C63"/>
    <w:rsid w:val="003F26CE"/>
    <w:rsid w:val="00401D69"/>
    <w:rsid w:val="00410873"/>
    <w:rsid w:val="00410CA5"/>
    <w:rsid w:val="004137B0"/>
    <w:rsid w:val="00416CB0"/>
    <w:rsid w:val="004204A7"/>
    <w:rsid w:val="004221D3"/>
    <w:rsid w:val="0043414B"/>
    <w:rsid w:val="00434702"/>
    <w:rsid w:val="00435B19"/>
    <w:rsid w:val="00436BB4"/>
    <w:rsid w:val="0044111C"/>
    <w:rsid w:val="00445080"/>
    <w:rsid w:val="00446E8A"/>
    <w:rsid w:val="0045053C"/>
    <w:rsid w:val="00453A6F"/>
    <w:rsid w:val="0045468D"/>
    <w:rsid w:val="00457495"/>
    <w:rsid w:val="004616FC"/>
    <w:rsid w:val="00463747"/>
    <w:rsid w:val="00464316"/>
    <w:rsid w:val="00466EF3"/>
    <w:rsid w:val="00470469"/>
    <w:rsid w:val="0047107C"/>
    <w:rsid w:val="00472386"/>
    <w:rsid w:val="00476147"/>
    <w:rsid w:val="004847FB"/>
    <w:rsid w:val="004851A4"/>
    <w:rsid w:val="00486797"/>
    <w:rsid w:val="00492B36"/>
    <w:rsid w:val="00496E01"/>
    <w:rsid w:val="004A1615"/>
    <w:rsid w:val="004A5D08"/>
    <w:rsid w:val="004B1BC3"/>
    <w:rsid w:val="004B3A1C"/>
    <w:rsid w:val="004C0D27"/>
    <w:rsid w:val="004C3028"/>
    <w:rsid w:val="004C4312"/>
    <w:rsid w:val="004C5510"/>
    <w:rsid w:val="004C730B"/>
    <w:rsid w:val="004C7511"/>
    <w:rsid w:val="004D0D9E"/>
    <w:rsid w:val="004D1ED2"/>
    <w:rsid w:val="004D2188"/>
    <w:rsid w:val="004D494C"/>
    <w:rsid w:val="004D6E0C"/>
    <w:rsid w:val="004E1FAE"/>
    <w:rsid w:val="004E539A"/>
    <w:rsid w:val="004E5A93"/>
    <w:rsid w:val="004E7B44"/>
    <w:rsid w:val="004F4969"/>
    <w:rsid w:val="004F594D"/>
    <w:rsid w:val="00500777"/>
    <w:rsid w:val="00503F3F"/>
    <w:rsid w:val="0050431E"/>
    <w:rsid w:val="00505482"/>
    <w:rsid w:val="00505DE2"/>
    <w:rsid w:val="00511FFE"/>
    <w:rsid w:val="00513192"/>
    <w:rsid w:val="00520EF1"/>
    <w:rsid w:val="0052228C"/>
    <w:rsid w:val="00530B36"/>
    <w:rsid w:val="005338AE"/>
    <w:rsid w:val="00534FDD"/>
    <w:rsid w:val="00536538"/>
    <w:rsid w:val="00540BE4"/>
    <w:rsid w:val="00542CEE"/>
    <w:rsid w:val="005432B9"/>
    <w:rsid w:val="00546D90"/>
    <w:rsid w:val="005518FF"/>
    <w:rsid w:val="0055263A"/>
    <w:rsid w:val="005543ED"/>
    <w:rsid w:val="005546C3"/>
    <w:rsid w:val="00554E99"/>
    <w:rsid w:val="00557061"/>
    <w:rsid w:val="00562415"/>
    <w:rsid w:val="005630CC"/>
    <w:rsid w:val="00567518"/>
    <w:rsid w:val="00583143"/>
    <w:rsid w:val="005870C5"/>
    <w:rsid w:val="00596521"/>
    <w:rsid w:val="005A0DC8"/>
    <w:rsid w:val="005A2CDF"/>
    <w:rsid w:val="005A3B04"/>
    <w:rsid w:val="005A527F"/>
    <w:rsid w:val="005A66D8"/>
    <w:rsid w:val="005B049B"/>
    <w:rsid w:val="005B05A0"/>
    <w:rsid w:val="005B0882"/>
    <w:rsid w:val="005B1B63"/>
    <w:rsid w:val="005C1394"/>
    <w:rsid w:val="005C4033"/>
    <w:rsid w:val="005C40D1"/>
    <w:rsid w:val="005C55AC"/>
    <w:rsid w:val="005C7DB9"/>
    <w:rsid w:val="005D6630"/>
    <w:rsid w:val="005E0FDF"/>
    <w:rsid w:val="005E1175"/>
    <w:rsid w:val="005E69A2"/>
    <w:rsid w:val="0060343A"/>
    <w:rsid w:val="00605AC6"/>
    <w:rsid w:val="00605DD5"/>
    <w:rsid w:val="00605FE0"/>
    <w:rsid w:val="006060AC"/>
    <w:rsid w:val="006116D9"/>
    <w:rsid w:val="0061677E"/>
    <w:rsid w:val="00620411"/>
    <w:rsid w:val="00621210"/>
    <w:rsid w:val="00621C22"/>
    <w:rsid w:val="00623A55"/>
    <w:rsid w:val="006304FE"/>
    <w:rsid w:val="0063235A"/>
    <w:rsid w:val="006328A3"/>
    <w:rsid w:val="0063370E"/>
    <w:rsid w:val="00634F35"/>
    <w:rsid w:val="0063677C"/>
    <w:rsid w:val="00636FDC"/>
    <w:rsid w:val="00640D05"/>
    <w:rsid w:val="00642E25"/>
    <w:rsid w:val="00646888"/>
    <w:rsid w:val="00646DD0"/>
    <w:rsid w:val="00656F97"/>
    <w:rsid w:val="00662A1B"/>
    <w:rsid w:val="00664312"/>
    <w:rsid w:val="00666A63"/>
    <w:rsid w:val="0067480A"/>
    <w:rsid w:val="00680F78"/>
    <w:rsid w:val="00683B65"/>
    <w:rsid w:val="00692FCC"/>
    <w:rsid w:val="006950E8"/>
    <w:rsid w:val="00697DC6"/>
    <w:rsid w:val="006A1A74"/>
    <w:rsid w:val="006A4A9F"/>
    <w:rsid w:val="006B01D4"/>
    <w:rsid w:val="006B599C"/>
    <w:rsid w:val="006B5AAD"/>
    <w:rsid w:val="006C35F4"/>
    <w:rsid w:val="006C3B3E"/>
    <w:rsid w:val="006C59B0"/>
    <w:rsid w:val="006D5289"/>
    <w:rsid w:val="006D664F"/>
    <w:rsid w:val="006E187F"/>
    <w:rsid w:val="006E4951"/>
    <w:rsid w:val="006E7456"/>
    <w:rsid w:val="006F28AB"/>
    <w:rsid w:val="006F3DE0"/>
    <w:rsid w:val="006F4E96"/>
    <w:rsid w:val="007050A1"/>
    <w:rsid w:val="00705646"/>
    <w:rsid w:val="0071598F"/>
    <w:rsid w:val="00717FF3"/>
    <w:rsid w:val="0072365E"/>
    <w:rsid w:val="00724454"/>
    <w:rsid w:val="00725728"/>
    <w:rsid w:val="00730132"/>
    <w:rsid w:val="00736408"/>
    <w:rsid w:val="007473D9"/>
    <w:rsid w:val="00752C85"/>
    <w:rsid w:val="00753C9D"/>
    <w:rsid w:val="007547D4"/>
    <w:rsid w:val="00754D07"/>
    <w:rsid w:val="007550F3"/>
    <w:rsid w:val="00760F82"/>
    <w:rsid w:val="00763314"/>
    <w:rsid w:val="00764747"/>
    <w:rsid w:val="00767BEF"/>
    <w:rsid w:val="00771E5A"/>
    <w:rsid w:val="00773814"/>
    <w:rsid w:val="007741E8"/>
    <w:rsid w:val="00776161"/>
    <w:rsid w:val="00776C34"/>
    <w:rsid w:val="007770EB"/>
    <w:rsid w:val="007779A2"/>
    <w:rsid w:val="0078292B"/>
    <w:rsid w:val="00784911"/>
    <w:rsid w:val="007854E3"/>
    <w:rsid w:val="00791747"/>
    <w:rsid w:val="00791F09"/>
    <w:rsid w:val="007956DF"/>
    <w:rsid w:val="007A07A7"/>
    <w:rsid w:val="007A1A26"/>
    <w:rsid w:val="007A6CA7"/>
    <w:rsid w:val="007B0E03"/>
    <w:rsid w:val="007B1CCD"/>
    <w:rsid w:val="007B4942"/>
    <w:rsid w:val="007C23FC"/>
    <w:rsid w:val="007C5BE9"/>
    <w:rsid w:val="007E171E"/>
    <w:rsid w:val="007F03EB"/>
    <w:rsid w:val="007F2B3B"/>
    <w:rsid w:val="007F61DE"/>
    <w:rsid w:val="00802C85"/>
    <w:rsid w:val="0080459C"/>
    <w:rsid w:val="00805BF9"/>
    <w:rsid w:val="008073F2"/>
    <w:rsid w:val="00813FB5"/>
    <w:rsid w:val="0082389D"/>
    <w:rsid w:val="00824119"/>
    <w:rsid w:val="00824A01"/>
    <w:rsid w:val="00827FD7"/>
    <w:rsid w:val="00830695"/>
    <w:rsid w:val="00841E86"/>
    <w:rsid w:val="0084205C"/>
    <w:rsid w:val="00842B37"/>
    <w:rsid w:val="00844C8B"/>
    <w:rsid w:val="0084714F"/>
    <w:rsid w:val="008529CD"/>
    <w:rsid w:val="00857DF0"/>
    <w:rsid w:val="00860797"/>
    <w:rsid w:val="00863DB6"/>
    <w:rsid w:val="008666C2"/>
    <w:rsid w:val="00874568"/>
    <w:rsid w:val="00874F64"/>
    <w:rsid w:val="00881730"/>
    <w:rsid w:val="0089193D"/>
    <w:rsid w:val="008A3DFC"/>
    <w:rsid w:val="008C06D1"/>
    <w:rsid w:val="008C0F57"/>
    <w:rsid w:val="008C1172"/>
    <w:rsid w:val="008C39A8"/>
    <w:rsid w:val="008C53EC"/>
    <w:rsid w:val="008D1D9C"/>
    <w:rsid w:val="008D4404"/>
    <w:rsid w:val="008D54B3"/>
    <w:rsid w:val="008E02FE"/>
    <w:rsid w:val="008E0611"/>
    <w:rsid w:val="008E15DC"/>
    <w:rsid w:val="008E4A06"/>
    <w:rsid w:val="008E65C2"/>
    <w:rsid w:val="008F177B"/>
    <w:rsid w:val="008F399E"/>
    <w:rsid w:val="008F5C8B"/>
    <w:rsid w:val="00902300"/>
    <w:rsid w:val="00911592"/>
    <w:rsid w:val="00913348"/>
    <w:rsid w:val="00916556"/>
    <w:rsid w:val="00916EB9"/>
    <w:rsid w:val="0092217A"/>
    <w:rsid w:val="00925F49"/>
    <w:rsid w:val="009307CE"/>
    <w:rsid w:val="00931D2D"/>
    <w:rsid w:val="0093680B"/>
    <w:rsid w:val="009370DA"/>
    <w:rsid w:val="0093775D"/>
    <w:rsid w:val="00940233"/>
    <w:rsid w:val="00941F43"/>
    <w:rsid w:val="009434EF"/>
    <w:rsid w:val="00951E0B"/>
    <w:rsid w:val="0095472E"/>
    <w:rsid w:val="00955F0C"/>
    <w:rsid w:val="009562C5"/>
    <w:rsid w:val="00963F2A"/>
    <w:rsid w:val="0097400D"/>
    <w:rsid w:val="009749D3"/>
    <w:rsid w:val="00974A27"/>
    <w:rsid w:val="009768EC"/>
    <w:rsid w:val="00984544"/>
    <w:rsid w:val="00984FCF"/>
    <w:rsid w:val="00987558"/>
    <w:rsid w:val="00992D9C"/>
    <w:rsid w:val="00996773"/>
    <w:rsid w:val="009A28FB"/>
    <w:rsid w:val="009A7E53"/>
    <w:rsid w:val="009D6255"/>
    <w:rsid w:val="009E2487"/>
    <w:rsid w:val="009E38C9"/>
    <w:rsid w:val="009F02D9"/>
    <w:rsid w:val="009F2AD1"/>
    <w:rsid w:val="009F3555"/>
    <w:rsid w:val="009F4FB0"/>
    <w:rsid w:val="009F5145"/>
    <w:rsid w:val="009F6E84"/>
    <w:rsid w:val="00A03F8C"/>
    <w:rsid w:val="00A06142"/>
    <w:rsid w:val="00A0788A"/>
    <w:rsid w:val="00A108BC"/>
    <w:rsid w:val="00A133E9"/>
    <w:rsid w:val="00A13D42"/>
    <w:rsid w:val="00A15C9B"/>
    <w:rsid w:val="00A16B77"/>
    <w:rsid w:val="00A224F1"/>
    <w:rsid w:val="00A26486"/>
    <w:rsid w:val="00A26E3D"/>
    <w:rsid w:val="00A3087A"/>
    <w:rsid w:val="00A311EF"/>
    <w:rsid w:val="00A3254D"/>
    <w:rsid w:val="00A32EF2"/>
    <w:rsid w:val="00A37D57"/>
    <w:rsid w:val="00A4004A"/>
    <w:rsid w:val="00A41A51"/>
    <w:rsid w:val="00A424D4"/>
    <w:rsid w:val="00A53D93"/>
    <w:rsid w:val="00A661E2"/>
    <w:rsid w:val="00A71431"/>
    <w:rsid w:val="00A7204F"/>
    <w:rsid w:val="00A73AE7"/>
    <w:rsid w:val="00A770AD"/>
    <w:rsid w:val="00A805C1"/>
    <w:rsid w:val="00A830C1"/>
    <w:rsid w:val="00A8385C"/>
    <w:rsid w:val="00A856B7"/>
    <w:rsid w:val="00A86D66"/>
    <w:rsid w:val="00A951CF"/>
    <w:rsid w:val="00AB07FD"/>
    <w:rsid w:val="00AB3CF0"/>
    <w:rsid w:val="00AB3EE9"/>
    <w:rsid w:val="00AB769E"/>
    <w:rsid w:val="00AC4EF8"/>
    <w:rsid w:val="00AD0C16"/>
    <w:rsid w:val="00AD2A0A"/>
    <w:rsid w:val="00AD4800"/>
    <w:rsid w:val="00AD7BFC"/>
    <w:rsid w:val="00AE093C"/>
    <w:rsid w:val="00AE1738"/>
    <w:rsid w:val="00AE1B7B"/>
    <w:rsid w:val="00AE6B04"/>
    <w:rsid w:val="00AF0654"/>
    <w:rsid w:val="00AF13B3"/>
    <w:rsid w:val="00AF1862"/>
    <w:rsid w:val="00AF1BA7"/>
    <w:rsid w:val="00AF259D"/>
    <w:rsid w:val="00AF34AB"/>
    <w:rsid w:val="00AF7F31"/>
    <w:rsid w:val="00B00559"/>
    <w:rsid w:val="00B030A8"/>
    <w:rsid w:val="00B11B73"/>
    <w:rsid w:val="00B1345A"/>
    <w:rsid w:val="00B1517F"/>
    <w:rsid w:val="00B15FA6"/>
    <w:rsid w:val="00B249BB"/>
    <w:rsid w:val="00B25554"/>
    <w:rsid w:val="00B26499"/>
    <w:rsid w:val="00B26AFA"/>
    <w:rsid w:val="00B272F1"/>
    <w:rsid w:val="00B30307"/>
    <w:rsid w:val="00B33B67"/>
    <w:rsid w:val="00B40F29"/>
    <w:rsid w:val="00B432C8"/>
    <w:rsid w:val="00B44912"/>
    <w:rsid w:val="00B51E08"/>
    <w:rsid w:val="00B57464"/>
    <w:rsid w:val="00B57DDE"/>
    <w:rsid w:val="00B61036"/>
    <w:rsid w:val="00B66555"/>
    <w:rsid w:val="00B66DDC"/>
    <w:rsid w:val="00B66E83"/>
    <w:rsid w:val="00B711CD"/>
    <w:rsid w:val="00B72DD3"/>
    <w:rsid w:val="00B7335C"/>
    <w:rsid w:val="00B737E6"/>
    <w:rsid w:val="00B73B34"/>
    <w:rsid w:val="00B82862"/>
    <w:rsid w:val="00B907C8"/>
    <w:rsid w:val="00B95414"/>
    <w:rsid w:val="00B96281"/>
    <w:rsid w:val="00B97BC5"/>
    <w:rsid w:val="00BA15CB"/>
    <w:rsid w:val="00BA170A"/>
    <w:rsid w:val="00BA71FB"/>
    <w:rsid w:val="00BA728B"/>
    <w:rsid w:val="00BB2BEE"/>
    <w:rsid w:val="00BB60CF"/>
    <w:rsid w:val="00BC2240"/>
    <w:rsid w:val="00BD2DD8"/>
    <w:rsid w:val="00BE17DE"/>
    <w:rsid w:val="00BE28E2"/>
    <w:rsid w:val="00BE51BC"/>
    <w:rsid w:val="00BF1DBA"/>
    <w:rsid w:val="00BF1E3B"/>
    <w:rsid w:val="00BF7810"/>
    <w:rsid w:val="00C024B9"/>
    <w:rsid w:val="00C03D93"/>
    <w:rsid w:val="00C13291"/>
    <w:rsid w:val="00C175B5"/>
    <w:rsid w:val="00C205A8"/>
    <w:rsid w:val="00C216A7"/>
    <w:rsid w:val="00C340B5"/>
    <w:rsid w:val="00C36154"/>
    <w:rsid w:val="00C36BC1"/>
    <w:rsid w:val="00C42D8B"/>
    <w:rsid w:val="00C4778C"/>
    <w:rsid w:val="00C47912"/>
    <w:rsid w:val="00C47E5C"/>
    <w:rsid w:val="00C52720"/>
    <w:rsid w:val="00C540EA"/>
    <w:rsid w:val="00C56EE2"/>
    <w:rsid w:val="00C62010"/>
    <w:rsid w:val="00C628C4"/>
    <w:rsid w:val="00C6303A"/>
    <w:rsid w:val="00C63254"/>
    <w:rsid w:val="00C76B0A"/>
    <w:rsid w:val="00C83467"/>
    <w:rsid w:val="00C84047"/>
    <w:rsid w:val="00C85AAA"/>
    <w:rsid w:val="00C874C0"/>
    <w:rsid w:val="00C915FE"/>
    <w:rsid w:val="00C929E0"/>
    <w:rsid w:val="00C94998"/>
    <w:rsid w:val="00C94A01"/>
    <w:rsid w:val="00CA0825"/>
    <w:rsid w:val="00CA21A3"/>
    <w:rsid w:val="00CA2FF5"/>
    <w:rsid w:val="00CA43D8"/>
    <w:rsid w:val="00CB49DA"/>
    <w:rsid w:val="00CB5F04"/>
    <w:rsid w:val="00CC1F19"/>
    <w:rsid w:val="00CC3108"/>
    <w:rsid w:val="00CC4FDA"/>
    <w:rsid w:val="00CC6A8B"/>
    <w:rsid w:val="00CD3EA5"/>
    <w:rsid w:val="00CD3FFC"/>
    <w:rsid w:val="00CE161F"/>
    <w:rsid w:val="00CE24C4"/>
    <w:rsid w:val="00CE3C57"/>
    <w:rsid w:val="00CE4CEB"/>
    <w:rsid w:val="00CF1DE4"/>
    <w:rsid w:val="00CF432D"/>
    <w:rsid w:val="00D0019A"/>
    <w:rsid w:val="00D01335"/>
    <w:rsid w:val="00D02CF3"/>
    <w:rsid w:val="00D03355"/>
    <w:rsid w:val="00D03EC6"/>
    <w:rsid w:val="00D0422C"/>
    <w:rsid w:val="00D0675E"/>
    <w:rsid w:val="00D10437"/>
    <w:rsid w:val="00D13568"/>
    <w:rsid w:val="00D2058B"/>
    <w:rsid w:val="00D20D65"/>
    <w:rsid w:val="00D235E3"/>
    <w:rsid w:val="00D27054"/>
    <w:rsid w:val="00D272CD"/>
    <w:rsid w:val="00D2784A"/>
    <w:rsid w:val="00D30BCA"/>
    <w:rsid w:val="00D31764"/>
    <w:rsid w:val="00D3312B"/>
    <w:rsid w:val="00D34B5F"/>
    <w:rsid w:val="00D37865"/>
    <w:rsid w:val="00D4082E"/>
    <w:rsid w:val="00D54649"/>
    <w:rsid w:val="00D55E8F"/>
    <w:rsid w:val="00D56DD3"/>
    <w:rsid w:val="00D57367"/>
    <w:rsid w:val="00D57CC0"/>
    <w:rsid w:val="00D65832"/>
    <w:rsid w:val="00D67E7B"/>
    <w:rsid w:val="00D83011"/>
    <w:rsid w:val="00D84AE3"/>
    <w:rsid w:val="00D9012C"/>
    <w:rsid w:val="00D90A1D"/>
    <w:rsid w:val="00D92A34"/>
    <w:rsid w:val="00D93524"/>
    <w:rsid w:val="00DA1D8E"/>
    <w:rsid w:val="00DA26B0"/>
    <w:rsid w:val="00DB33D2"/>
    <w:rsid w:val="00DB5716"/>
    <w:rsid w:val="00DC16DB"/>
    <w:rsid w:val="00DC1D26"/>
    <w:rsid w:val="00DC2E98"/>
    <w:rsid w:val="00DC6D6C"/>
    <w:rsid w:val="00DD2021"/>
    <w:rsid w:val="00DD547A"/>
    <w:rsid w:val="00DD5674"/>
    <w:rsid w:val="00DE1589"/>
    <w:rsid w:val="00DE511A"/>
    <w:rsid w:val="00DE7E29"/>
    <w:rsid w:val="00DF0372"/>
    <w:rsid w:val="00DF107C"/>
    <w:rsid w:val="00DF4A60"/>
    <w:rsid w:val="00E02F97"/>
    <w:rsid w:val="00E11205"/>
    <w:rsid w:val="00E11FBC"/>
    <w:rsid w:val="00E13334"/>
    <w:rsid w:val="00E1694E"/>
    <w:rsid w:val="00E16EF2"/>
    <w:rsid w:val="00E23228"/>
    <w:rsid w:val="00E23E1B"/>
    <w:rsid w:val="00E30B08"/>
    <w:rsid w:val="00E31C66"/>
    <w:rsid w:val="00E321BA"/>
    <w:rsid w:val="00E329E8"/>
    <w:rsid w:val="00E40B83"/>
    <w:rsid w:val="00E42045"/>
    <w:rsid w:val="00E42D8B"/>
    <w:rsid w:val="00E42F45"/>
    <w:rsid w:val="00E45914"/>
    <w:rsid w:val="00E51BDC"/>
    <w:rsid w:val="00E522AE"/>
    <w:rsid w:val="00E5288D"/>
    <w:rsid w:val="00E529A8"/>
    <w:rsid w:val="00E53EF6"/>
    <w:rsid w:val="00E547B6"/>
    <w:rsid w:val="00E57045"/>
    <w:rsid w:val="00E57C9D"/>
    <w:rsid w:val="00E66934"/>
    <w:rsid w:val="00E66CCD"/>
    <w:rsid w:val="00E71191"/>
    <w:rsid w:val="00E81F3D"/>
    <w:rsid w:val="00E8301B"/>
    <w:rsid w:val="00E83FC3"/>
    <w:rsid w:val="00E84D58"/>
    <w:rsid w:val="00E851A1"/>
    <w:rsid w:val="00E9226F"/>
    <w:rsid w:val="00E93077"/>
    <w:rsid w:val="00EA0906"/>
    <w:rsid w:val="00EA2412"/>
    <w:rsid w:val="00EA3584"/>
    <w:rsid w:val="00EB5B38"/>
    <w:rsid w:val="00EB603B"/>
    <w:rsid w:val="00EC2D32"/>
    <w:rsid w:val="00EC4D3E"/>
    <w:rsid w:val="00EC5A9C"/>
    <w:rsid w:val="00ED3F0D"/>
    <w:rsid w:val="00EE23CC"/>
    <w:rsid w:val="00EF39B3"/>
    <w:rsid w:val="00EF6088"/>
    <w:rsid w:val="00EF7C66"/>
    <w:rsid w:val="00F0248E"/>
    <w:rsid w:val="00F04A5A"/>
    <w:rsid w:val="00F0504A"/>
    <w:rsid w:val="00F06CDE"/>
    <w:rsid w:val="00F078D7"/>
    <w:rsid w:val="00F139B1"/>
    <w:rsid w:val="00F21CA9"/>
    <w:rsid w:val="00F24096"/>
    <w:rsid w:val="00F40746"/>
    <w:rsid w:val="00F414EF"/>
    <w:rsid w:val="00F4152C"/>
    <w:rsid w:val="00F442E1"/>
    <w:rsid w:val="00F44F8F"/>
    <w:rsid w:val="00F47542"/>
    <w:rsid w:val="00F57B5A"/>
    <w:rsid w:val="00F613F0"/>
    <w:rsid w:val="00F6333E"/>
    <w:rsid w:val="00F64D52"/>
    <w:rsid w:val="00F7610F"/>
    <w:rsid w:val="00F76DAF"/>
    <w:rsid w:val="00F854F6"/>
    <w:rsid w:val="00F856DE"/>
    <w:rsid w:val="00F93AB5"/>
    <w:rsid w:val="00FA0F3D"/>
    <w:rsid w:val="00FA2A93"/>
    <w:rsid w:val="00FA606A"/>
    <w:rsid w:val="00FA6A28"/>
    <w:rsid w:val="00FB2A43"/>
    <w:rsid w:val="00FB351B"/>
    <w:rsid w:val="00FB5E5C"/>
    <w:rsid w:val="00FC0187"/>
    <w:rsid w:val="00FC0378"/>
    <w:rsid w:val="00FC24C0"/>
    <w:rsid w:val="00FC25A0"/>
    <w:rsid w:val="00FC7816"/>
    <w:rsid w:val="00FD65C5"/>
    <w:rsid w:val="00FD688A"/>
    <w:rsid w:val="00FD6AD0"/>
    <w:rsid w:val="00FD70AF"/>
    <w:rsid w:val="00FE359B"/>
    <w:rsid w:val="00FE3721"/>
    <w:rsid w:val="00FE4789"/>
    <w:rsid w:val="00FF06DC"/>
    <w:rsid w:val="00FF1C0F"/>
    <w:rsid w:val="00FF3539"/>
    <w:rsid w:val="00FF375C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B57DDE"/>
    <w:pPr>
      <w:tabs>
        <w:tab w:val="left" w:pos="5205"/>
      </w:tabs>
      <w:spacing w:before="160" w:after="112" w:line="260" w:lineRule="exac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D2188"/>
    <w:pPr>
      <w:spacing w:after="300" w:line="300" w:lineRule="exact"/>
    </w:pPr>
    <w:rPr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4E7B44"/>
    <w:pPr>
      <w:spacing w:after="260" w:line="260" w:lineRule="exact"/>
    </w:pPr>
    <w:rPr>
      <w:rFonts w:cs="Arial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E7B44"/>
    <w:rPr>
      <w:rFonts w:ascii="Arial" w:hAnsi="Arial" w:cs="Arial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styleId="Strong">
    <w:name w:val="Strong"/>
    <w:basedOn w:val="DefaultParagraphFont"/>
    <w:uiPriority w:val="99"/>
    <w:qFormat/>
    <w:rsid w:val="00860797"/>
    <w:rPr>
      <w:b/>
      <w:bCs/>
    </w:rPr>
  </w:style>
  <w:style w:type="paragraph" w:customStyle="1" w:styleId="Pa5">
    <w:name w:val="Pa5"/>
    <w:basedOn w:val="Normal"/>
    <w:next w:val="Normal"/>
    <w:uiPriority w:val="99"/>
    <w:rsid w:val="00860797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860797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</w:rPr>
  </w:style>
  <w:style w:type="character" w:customStyle="1" w:styleId="A9">
    <w:name w:val="A9"/>
    <w:uiPriority w:val="99"/>
    <w:rsid w:val="00860797"/>
    <w:rPr>
      <w:rFonts w:cs="Trivia Sans Regular"/>
      <w:b/>
      <w:bCs/>
      <w:color w:val="FFFFFF"/>
      <w:sz w:val="16"/>
      <w:szCs w:val="16"/>
      <w:u w:val="single"/>
    </w:rPr>
  </w:style>
  <w:style w:type="paragraph" w:customStyle="1" w:styleId="CarcterCarcter">
    <w:name w:val="Carácter Carácter"/>
    <w:basedOn w:val="Normal"/>
    <w:rsid w:val="003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3">
    <w:name w:val="A13"/>
    <w:uiPriority w:val="99"/>
    <w:rsid w:val="004E539A"/>
    <w:rPr>
      <w:rFonts w:ascii="Zapf Dingbats" w:hAnsi="Zapf Dingbats" w:cs="Zapf Dingbats"/>
      <w:color w:val="000000"/>
      <w:sz w:val="8"/>
      <w:szCs w:val="8"/>
    </w:rPr>
  </w:style>
  <w:style w:type="character" w:customStyle="1" w:styleId="tgc">
    <w:name w:val="_tgc"/>
    <w:rsid w:val="00D9012C"/>
  </w:style>
  <w:style w:type="character" w:customStyle="1" w:styleId="header-line-3">
    <w:name w:val="header-line-3"/>
    <w:rsid w:val="00D9012C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B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289"/>
    <w:rPr>
      <w:i/>
      <w:iCs/>
    </w:rPr>
  </w:style>
  <w:style w:type="paragraph" w:customStyle="1" w:styleId="Default">
    <w:name w:val="Default"/>
    <w:rsid w:val="00805B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Pa4">
    <w:name w:val="Pa4"/>
    <w:basedOn w:val="Default"/>
    <w:next w:val="Default"/>
    <w:uiPriority w:val="99"/>
    <w:rsid w:val="00DF0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Trivia Sans Book" w:eastAsiaTheme="minorHAnsi" w:hAnsi="Trivia Sans Book" w:cstheme="minorBidi"/>
      <w:color w:val="auto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1074"/>
    <w:pPr>
      <w:ind w:left="720"/>
      <w:contextualSpacing/>
    </w:pPr>
  </w:style>
  <w:style w:type="character" w:customStyle="1" w:styleId="DoNotTranslateInternal1">
    <w:name w:val="DoNotTranslateInternal1"/>
    <w:basedOn w:val="DefaultParagraphFont"/>
    <w:uiPriority w:val="1"/>
    <w:qFormat/>
    <w:rsid w:val="00EC5A9C"/>
    <w:rPr>
      <w:rFonts w:ascii="Arial" w:hAnsi="Arial" w:cs="Arial"/>
      <w:b/>
      <w:color w:val="0000F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B57DDE"/>
    <w:pPr>
      <w:tabs>
        <w:tab w:val="left" w:pos="5205"/>
      </w:tabs>
      <w:spacing w:before="160" w:after="112" w:line="260" w:lineRule="exac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D2188"/>
    <w:pPr>
      <w:spacing w:after="300" w:line="300" w:lineRule="exact"/>
    </w:pPr>
    <w:rPr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4E7B44"/>
    <w:pPr>
      <w:spacing w:after="260" w:line="260" w:lineRule="exact"/>
    </w:pPr>
    <w:rPr>
      <w:rFonts w:cs="Arial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E7B44"/>
    <w:rPr>
      <w:rFonts w:ascii="Arial" w:hAnsi="Arial" w:cs="Arial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styleId="Strong">
    <w:name w:val="Strong"/>
    <w:basedOn w:val="DefaultParagraphFont"/>
    <w:uiPriority w:val="99"/>
    <w:qFormat/>
    <w:rsid w:val="00860797"/>
    <w:rPr>
      <w:b/>
      <w:bCs/>
    </w:rPr>
  </w:style>
  <w:style w:type="paragraph" w:customStyle="1" w:styleId="Pa5">
    <w:name w:val="Pa5"/>
    <w:basedOn w:val="Normal"/>
    <w:next w:val="Normal"/>
    <w:uiPriority w:val="99"/>
    <w:rsid w:val="00860797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860797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</w:rPr>
  </w:style>
  <w:style w:type="character" w:customStyle="1" w:styleId="A9">
    <w:name w:val="A9"/>
    <w:uiPriority w:val="99"/>
    <w:rsid w:val="00860797"/>
    <w:rPr>
      <w:rFonts w:cs="Trivia Sans Regular"/>
      <w:b/>
      <w:bCs/>
      <w:color w:val="FFFFFF"/>
      <w:sz w:val="16"/>
      <w:szCs w:val="16"/>
      <w:u w:val="single"/>
    </w:rPr>
  </w:style>
  <w:style w:type="paragraph" w:customStyle="1" w:styleId="CarcterCarcter">
    <w:name w:val="Carácter Carácter"/>
    <w:basedOn w:val="Normal"/>
    <w:rsid w:val="003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3">
    <w:name w:val="A13"/>
    <w:uiPriority w:val="99"/>
    <w:rsid w:val="004E539A"/>
    <w:rPr>
      <w:rFonts w:ascii="Zapf Dingbats" w:hAnsi="Zapf Dingbats" w:cs="Zapf Dingbats"/>
      <w:color w:val="000000"/>
      <w:sz w:val="8"/>
      <w:szCs w:val="8"/>
    </w:rPr>
  </w:style>
  <w:style w:type="character" w:customStyle="1" w:styleId="tgc">
    <w:name w:val="_tgc"/>
    <w:rsid w:val="00D9012C"/>
  </w:style>
  <w:style w:type="character" w:customStyle="1" w:styleId="header-line-3">
    <w:name w:val="header-line-3"/>
    <w:rsid w:val="00D9012C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B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289"/>
    <w:rPr>
      <w:i/>
      <w:iCs/>
    </w:rPr>
  </w:style>
  <w:style w:type="paragraph" w:customStyle="1" w:styleId="Default">
    <w:name w:val="Default"/>
    <w:rsid w:val="00805B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Pa4">
    <w:name w:val="Pa4"/>
    <w:basedOn w:val="Default"/>
    <w:next w:val="Default"/>
    <w:uiPriority w:val="99"/>
    <w:rsid w:val="00DF0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Trivia Sans Book" w:eastAsiaTheme="minorHAnsi" w:hAnsi="Trivia Sans Book" w:cstheme="minorBidi"/>
      <w:color w:val="auto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1074"/>
    <w:pPr>
      <w:ind w:left="720"/>
      <w:contextualSpacing/>
    </w:pPr>
  </w:style>
  <w:style w:type="character" w:customStyle="1" w:styleId="DoNotTranslateInternal1">
    <w:name w:val="DoNotTranslateInternal1"/>
    <w:basedOn w:val="DefaultParagraphFont"/>
    <w:uiPriority w:val="1"/>
    <w:qFormat/>
    <w:rsid w:val="00EC5A9C"/>
    <w:rPr>
      <w:rFonts w:ascii="Arial" w:hAnsi="Arial" w:cs="Arial"/>
      <w:b/>
      <w:color w:val="0000F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news/2015/naloxon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odc.org/documents/crop-monitoring/Afghanistan/Afghan-opium-survey-201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odc.org/documents/wdr2014/World_Drug_Report_2014_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cdda.europa.eu/edr20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5/treatment-of-cannabis-related-disorders-in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B1D0-291C-4DCE-A661-41A943BF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3317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Company>Translation Centre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4</cp:revision>
  <cp:lastPrinted>2015-04-28T08:44:00Z</cp:lastPrinted>
  <dcterms:created xsi:type="dcterms:W3CDTF">2015-05-18T07:03:00Z</dcterms:created>
  <dcterms:modified xsi:type="dcterms:W3CDTF">2015-05-18T08:56:00Z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