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7E209A" w:rsidP="00EE23CC">
            <w:r w:rsidRPr="00FC527A">
              <w:rPr>
                <w:noProof/>
                <w:lang w:val="en-GB" w:eastAsia="en-GB" w:bidi="ar-SA"/>
              </w:rPr>
              <w:drawing>
                <wp:inline distT="0" distB="0" distL="0" distR="0" wp14:anchorId="5AD9D7F9" wp14:editId="723F527B">
                  <wp:extent cx="2691386"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386"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7E209A" w:rsidP="001F70B4">
            <w:r w:rsidRPr="00FC527A">
              <w:rPr>
                <w:noProof/>
                <w:lang w:val="en-GB" w:eastAsia="en-GB" w:bidi="ar-SA"/>
              </w:rPr>
              <w:drawing>
                <wp:inline distT="0" distB="0" distL="0" distR="0" wp14:anchorId="024C2F86" wp14:editId="3FC7DE4E">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F10934" w:rsidRDefault="00B15FA6" w:rsidP="00F10934">
      <w:pPr>
        <w:pStyle w:val="newsTitle"/>
      </w:pPr>
      <w:r w:rsidRPr="00F10934">
        <w:t>Relatório Europeu sobre Drogas 2015 — 20 anos de monitorização</w:t>
      </w:r>
    </w:p>
    <w:p w:rsidR="000C1074" w:rsidRPr="0093492E" w:rsidRDefault="0045053C" w:rsidP="00F10934">
      <w:pPr>
        <w:pStyle w:val="newsSubTitle"/>
      </w:pPr>
      <w:r w:rsidRPr="00F10934">
        <w:t>O EMCDDA explora novas dinâmicas e dimensões do fenómeno da</w:t>
      </w:r>
      <w:r w:rsidR="00E17CFE" w:rsidRPr="00F10934">
        <w:t>s</w:t>
      </w:r>
      <w:r w:rsidRPr="0093492E">
        <w:t xml:space="preserve"> droga</w:t>
      </w:r>
      <w:r w:rsidR="00E17CFE" w:rsidRPr="0093492E">
        <w:t>s</w:t>
      </w:r>
      <w:r w:rsidRPr="0093492E">
        <w:t xml:space="preserve"> na Europa</w:t>
      </w:r>
    </w:p>
    <w:p w:rsidR="000C1074" w:rsidRDefault="0008340F" w:rsidP="004E7B44">
      <w:pPr>
        <w:pStyle w:val="newsContent"/>
        <w:rPr>
          <w:rFonts w:eastAsia="Times New Roman"/>
        </w:rPr>
      </w:pPr>
      <w:r>
        <w:t xml:space="preserve">(4.6.2015, </w:t>
      </w:r>
      <w:r>
        <w:rPr>
          <w:caps/>
        </w:rPr>
        <w:t>Lisboa</w:t>
      </w:r>
      <w:r w:rsidR="00E17CFE">
        <w:rPr>
          <w:caps/>
        </w:rPr>
        <w:t xml:space="preserve"> sob</w:t>
      </w:r>
      <w:r>
        <w:rPr>
          <w:caps/>
        </w:rPr>
        <w:t xml:space="preserve"> </w:t>
      </w:r>
      <w:r>
        <w:rPr>
          <w:b/>
          <w:color w:val="FF0000"/>
        </w:rPr>
        <w:t>EMBARGO</w:t>
      </w:r>
      <w:r w:rsidR="00E17CFE">
        <w:rPr>
          <w:b/>
          <w:color w:val="FF0000"/>
        </w:rPr>
        <w:t xml:space="preserve"> até às</w:t>
      </w:r>
      <w:r>
        <w:rPr>
          <w:b/>
          <w:color w:val="FF0000"/>
        </w:rPr>
        <w:t xml:space="preserve"> 10:00 </w:t>
      </w:r>
      <w:r w:rsidR="00E17CFE">
        <w:rPr>
          <w:b/>
          <w:color w:val="FF0000"/>
        </w:rPr>
        <w:t>UTC</w:t>
      </w:r>
      <w:r>
        <w:rPr>
          <w:b/>
          <w:color w:val="FF0000"/>
        </w:rPr>
        <w:t>/</w:t>
      </w:r>
      <w:r w:rsidR="00E17CFE">
        <w:rPr>
          <w:b/>
          <w:color w:val="FF0000"/>
        </w:rPr>
        <w:t>hora de Lisboa</w:t>
      </w:r>
      <w:r>
        <w:t xml:space="preserve">) A dinâmica </w:t>
      </w:r>
      <w:r w:rsidR="00626900">
        <w:t>n</w:t>
      </w:r>
      <w:r w:rsidR="00E17CFE">
        <w:t xml:space="preserve">a mudança </w:t>
      </w:r>
      <w:r>
        <w:t>do mercado d</w:t>
      </w:r>
      <w:r w:rsidR="00BB370A">
        <w:t>e</w:t>
      </w:r>
      <w:r>
        <w:t xml:space="preserve"> heroína, as implicações mais recente</w:t>
      </w:r>
      <w:r w:rsidR="00E17CFE">
        <w:t>s</w:t>
      </w:r>
      <w:r>
        <w:t xml:space="preserve"> </w:t>
      </w:r>
      <w:r w:rsidR="00E17CFE">
        <w:t>n</w:t>
      </w:r>
      <w:r>
        <w:t xml:space="preserve">o consumo de </w:t>
      </w:r>
      <w:r>
        <w:rPr>
          <w:i/>
        </w:rPr>
        <w:t>cannabis</w:t>
      </w:r>
      <w:r w:rsidR="003E0568">
        <w:rPr>
          <w:i/>
        </w:rPr>
        <w:t xml:space="preserve"> </w:t>
      </w:r>
      <w:r w:rsidR="003E0568" w:rsidRPr="003E0568">
        <w:t>e</w:t>
      </w:r>
      <w:r>
        <w:t xml:space="preserve"> as novas características e dimensões do mercado de estimulantes e </w:t>
      </w:r>
      <w:r w:rsidR="00E0326C">
        <w:t>d</w:t>
      </w:r>
      <w:r w:rsidR="00155E2E">
        <w:t xml:space="preserve">as </w:t>
      </w:r>
      <w:r>
        <w:t xml:space="preserve">«novas drogas» são alguns dos temas realçados pela </w:t>
      </w:r>
      <w:r>
        <w:rPr>
          <w:b/>
        </w:rPr>
        <w:t>agência da UE de informação sobre droga (EMCDDA)</w:t>
      </w:r>
      <w:r>
        <w:t xml:space="preserve"> no lançamento do seu </w:t>
      </w:r>
      <w:r>
        <w:rPr>
          <w:b/>
          <w:i/>
        </w:rPr>
        <w:t xml:space="preserve">Relatório Europeu sobre Drogas 2015: Tendências e </w:t>
      </w:r>
      <w:r w:rsidR="003E0568">
        <w:rPr>
          <w:b/>
          <w:i/>
        </w:rPr>
        <w:t>e</w:t>
      </w:r>
      <w:r>
        <w:rPr>
          <w:b/>
          <w:i/>
        </w:rPr>
        <w:t>voluções</w:t>
      </w:r>
      <w:r>
        <w:t xml:space="preserve">, hoje </w:t>
      </w:r>
      <w:r w:rsidR="00E17CFE">
        <w:t>publicado</w:t>
      </w:r>
      <w:r>
        <w:t xml:space="preserve"> em Lisboa (</w:t>
      </w:r>
      <w:r>
        <w:rPr>
          <w:vertAlign w:val="superscript"/>
        </w:rPr>
        <w:t>1</w:t>
      </w:r>
      <w:r>
        <w:t xml:space="preserve">). Na sua análise anual, a agência reflete sobre </w:t>
      </w:r>
      <w:r w:rsidR="00E17CFE">
        <w:t>20 anos</w:t>
      </w:r>
      <w:r>
        <w:t xml:space="preserve"> de monitorização e examina as influências </w:t>
      </w:r>
      <w:r w:rsidR="00E17CFE">
        <w:t>globais</w:t>
      </w:r>
      <w:r>
        <w:t xml:space="preserve"> e as ramificações locais d</w:t>
      </w:r>
      <w:r w:rsidR="00E17CFE">
        <w:t>o</w:t>
      </w:r>
      <w:r>
        <w:t xml:space="preserve"> fenómeno da droga</w:t>
      </w:r>
      <w:r w:rsidR="00E17CFE">
        <w:t xml:space="preserve"> </w:t>
      </w:r>
      <w:r w:rsidR="00BB370A">
        <w:t>na Europa</w:t>
      </w:r>
      <w:r>
        <w:t xml:space="preserve"> em constante mudança.</w:t>
      </w:r>
    </w:p>
    <w:p w:rsidR="000C1074" w:rsidRDefault="00362CD8" w:rsidP="00362CD8">
      <w:pPr>
        <w:spacing w:after="260" w:line="260" w:lineRule="exact"/>
        <w:rPr>
          <w:rFonts w:eastAsia="Times New Roman" w:cs="Arial"/>
          <w:szCs w:val="20"/>
        </w:rPr>
      </w:pPr>
      <w:r>
        <w:rPr>
          <w:b/>
        </w:rPr>
        <w:t>Dimitris Avramopoulos, Comissário Europeu responsável pela Migração, os Assuntos Internos e a Cidadania</w:t>
      </w:r>
      <w:r w:rsidRPr="003E0568">
        <w:t>,</w:t>
      </w:r>
      <w:r>
        <w:rPr>
          <w:b/>
        </w:rPr>
        <w:t xml:space="preserve"> </w:t>
      </w:r>
      <w:r w:rsidR="00E17CFE">
        <w:t>diz</w:t>
      </w:r>
      <w:r>
        <w:t>: «O relatório mostra que</w:t>
      </w:r>
      <w:r w:rsidR="003E0568">
        <w:t xml:space="preserve"> </w:t>
      </w:r>
      <w:r w:rsidR="00BB370A">
        <w:t>esta</w:t>
      </w:r>
      <w:r>
        <w:t>mos confrontados com um mercado d</w:t>
      </w:r>
      <w:r w:rsidR="00155E2E">
        <w:t>e</w:t>
      </w:r>
      <w:r>
        <w:t xml:space="preserve"> droga</w:t>
      </w:r>
      <w:r w:rsidR="00E0326C">
        <w:t>s</w:t>
      </w:r>
      <w:r>
        <w:t xml:space="preserve"> </w:t>
      </w:r>
      <w:r w:rsidR="00047566">
        <w:t xml:space="preserve">globalizado, em rápida mudança; </w:t>
      </w:r>
      <w:r>
        <w:t>e por isso</w:t>
      </w:r>
      <w:r w:rsidR="00E17CFE">
        <w:t>,</w:t>
      </w:r>
      <w:r>
        <w:t xml:space="preserve"> é necessário </w:t>
      </w:r>
      <w:r w:rsidR="00E17CFE">
        <w:t xml:space="preserve">estarmos unidos, sermos rápidos e determinados na nossa resposta </w:t>
      </w:r>
      <w:r w:rsidR="003E0568">
        <w:t>face a</w:t>
      </w:r>
      <w:r>
        <w:t xml:space="preserve"> esta ameaça</w:t>
      </w:r>
      <w:r w:rsidR="00E17CFE">
        <w:t>.</w:t>
      </w:r>
      <w:r>
        <w:rPr>
          <w:b/>
        </w:rPr>
        <w:t xml:space="preserve"> </w:t>
      </w:r>
      <w:r>
        <w:t xml:space="preserve">Preocupa-me particularmente que a Internet </w:t>
      </w:r>
      <w:r w:rsidR="00794A50">
        <w:t xml:space="preserve">esteja rapidamente </w:t>
      </w:r>
      <w:r>
        <w:t xml:space="preserve">a tornar-se numa nova fonte </w:t>
      </w:r>
      <w:r w:rsidR="0069581A">
        <w:t xml:space="preserve">de </w:t>
      </w:r>
      <w:r w:rsidR="00441940">
        <w:t>oferta</w:t>
      </w:r>
      <w:r>
        <w:t xml:space="preserve"> de substâncias psicoativas, </w:t>
      </w:r>
      <w:r w:rsidR="00E0326C">
        <w:t>tanto as</w:t>
      </w:r>
      <w:r w:rsidR="004A259A">
        <w:t xml:space="preserve"> </w:t>
      </w:r>
      <w:r>
        <w:t xml:space="preserve">controladas </w:t>
      </w:r>
      <w:r w:rsidR="00E0326C">
        <w:t>como as</w:t>
      </w:r>
      <w:r>
        <w:t xml:space="preserve"> não controladas».</w:t>
      </w:r>
    </w:p>
    <w:p w:rsidR="000C1074" w:rsidRDefault="00362CD8" w:rsidP="00362CD8">
      <w:r>
        <w:t xml:space="preserve">O </w:t>
      </w:r>
      <w:r>
        <w:rPr>
          <w:b/>
        </w:rPr>
        <w:t>Comissário Avramopoulos</w:t>
      </w:r>
      <w:r>
        <w:t xml:space="preserve"> acrescenta ainda: «A Europa lidera o combate ao fenómeno das “novas drogas” e </w:t>
      </w:r>
      <w:r w:rsidR="007F673B">
        <w:t xml:space="preserve">iremos </w:t>
      </w:r>
      <w:r>
        <w:t>continuar pelo bem-estar e a segurança dos nossos cidadãos. Em 2014</w:t>
      </w:r>
      <w:r w:rsidR="00BB370A">
        <w:t>,</w:t>
      </w:r>
      <w:r>
        <w:t xml:space="preserve"> foram notificadas 101 novas substâncias psicoativas não </w:t>
      </w:r>
      <w:r w:rsidR="003E0568">
        <w:t>controladas, desafiando</w:t>
      </w:r>
      <w:r>
        <w:t xml:space="preserve"> os</w:t>
      </w:r>
      <w:r w:rsidR="0069581A">
        <w:t xml:space="preserve"> </w:t>
      </w:r>
      <w:r>
        <w:t xml:space="preserve">mecanismos de controlo </w:t>
      </w:r>
      <w:r w:rsidR="0069581A">
        <w:t>existentes</w:t>
      </w:r>
      <w:r>
        <w:t>. Aguardo com expectativa a</w:t>
      </w:r>
      <w:r w:rsidR="0069581A">
        <w:t xml:space="preserve"> futura</w:t>
      </w:r>
      <w:r>
        <w:t xml:space="preserve"> legislação da UE </w:t>
      </w:r>
      <w:r w:rsidR="0069581A">
        <w:t xml:space="preserve">nesta área e </w:t>
      </w:r>
      <w:r>
        <w:t xml:space="preserve">que está </w:t>
      </w:r>
      <w:r w:rsidR="0069581A">
        <w:t xml:space="preserve">actualmente </w:t>
      </w:r>
      <w:r>
        <w:t xml:space="preserve">em </w:t>
      </w:r>
      <w:r w:rsidR="0069581A">
        <w:t xml:space="preserve">fase de </w:t>
      </w:r>
      <w:r>
        <w:t>negociação</w:t>
      </w:r>
      <w:r w:rsidR="0069581A">
        <w:t>.</w:t>
      </w:r>
      <w:r>
        <w:t xml:space="preserve"> </w:t>
      </w:r>
      <w:r w:rsidR="0069581A">
        <w:t xml:space="preserve">Esta legislação irá reforçar </w:t>
      </w:r>
      <w:r>
        <w:t xml:space="preserve">as nossas respostas e </w:t>
      </w:r>
      <w:r w:rsidR="00047566">
        <w:t>equipar-nos de</w:t>
      </w:r>
      <w:r>
        <w:t xml:space="preserve"> melhores instrumentos para </w:t>
      </w:r>
      <w:r w:rsidR="00155E2E">
        <w:t>lidar</w:t>
      </w:r>
      <w:r w:rsidR="0069581A">
        <w:t>mos</w:t>
      </w:r>
      <w:r w:rsidR="00155E2E">
        <w:t xml:space="preserve"> com </w:t>
      </w:r>
      <w:r>
        <w:t>es</w:t>
      </w:r>
      <w:r w:rsidR="00BB370A">
        <w:t>t</w:t>
      </w:r>
      <w:r>
        <w:t xml:space="preserve">as substâncias de </w:t>
      </w:r>
      <w:r w:rsidR="0069581A">
        <w:t>uma f</w:t>
      </w:r>
      <w:r>
        <w:t>orma mais célere e eficaz».</w:t>
      </w:r>
    </w:p>
    <w:p w:rsidR="000C1074" w:rsidRDefault="0069581A" w:rsidP="004E5A93">
      <w:pPr>
        <w:spacing w:after="260" w:line="260" w:lineRule="exact"/>
        <w:rPr>
          <w:rFonts w:cs="Arial"/>
          <w:b/>
          <w:szCs w:val="20"/>
        </w:rPr>
      </w:pPr>
      <w:r>
        <w:rPr>
          <w:b/>
        </w:rPr>
        <w:t>Declínio da</w:t>
      </w:r>
      <w:r w:rsidR="004E5A93">
        <w:rPr>
          <w:b/>
        </w:rPr>
        <w:t xml:space="preserve"> heroína, mas a evolução do mercado exige um</w:t>
      </w:r>
      <w:r w:rsidR="001E178F">
        <w:rPr>
          <w:b/>
        </w:rPr>
        <w:t>a</w:t>
      </w:r>
      <w:r w:rsidR="00047566">
        <w:rPr>
          <w:b/>
        </w:rPr>
        <w:t xml:space="preserve"> </w:t>
      </w:r>
      <w:r w:rsidR="001E178F">
        <w:rPr>
          <w:b/>
        </w:rPr>
        <w:t>monitorização atenta</w:t>
      </w:r>
    </w:p>
    <w:p w:rsidR="000C1074" w:rsidRPr="0043414B" w:rsidRDefault="00D67E7B" w:rsidP="00D67E7B">
      <w:pPr>
        <w:spacing w:before="100" w:beforeAutospacing="1" w:after="100" w:afterAutospacing="1"/>
        <w:rPr>
          <w:rFonts w:cs="Arial"/>
          <w:szCs w:val="20"/>
        </w:rPr>
      </w:pPr>
      <w:r>
        <w:t xml:space="preserve">Os problemas relacionados com a heroína representam </w:t>
      </w:r>
      <w:r w:rsidR="0069581A">
        <w:t xml:space="preserve">ainda </w:t>
      </w:r>
      <w:r>
        <w:t xml:space="preserve">uma elevada percentagem dos custos de saúde e sociais </w:t>
      </w:r>
      <w:r w:rsidR="00E0326C">
        <w:t xml:space="preserve">relacionados </w:t>
      </w:r>
      <w:r w:rsidR="00AB06F8">
        <w:t xml:space="preserve">com </w:t>
      </w:r>
      <w:r w:rsidR="00155E2E">
        <w:t>o</w:t>
      </w:r>
      <w:r>
        <w:t xml:space="preserve"> </w:t>
      </w:r>
      <w:r w:rsidR="00155E2E">
        <w:t xml:space="preserve">fenómeno da </w:t>
      </w:r>
      <w:r>
        <w:t xml:space="preserve">droga na Europa, mas as tendências recentes nesta área têm sido «relativamente positivas», segundo afirma o </w:t>
      </w:r>
      <w:r>
        <w:rPr>
          <w:b/>
        </w:rPr>
        <w:t>EMCDDA</w:t>
      </w:r>
      <w:r>
        <w:t xml:space="preserve">, apontando para uma «estagnação geral da procura desta droga». O número de pessoas que iniciam, pela primeira vez, um tratamento especializado </w:t>
      </w:r>
      <w:r w:rsidR="0069581A">
        <w:t>para os problemas associados ao</w:t>
      </w:r>
      <w:r>
        <w:t xml:space="preserve"> consumo de heroína diminuiu: </w:t>
      </w:r>
      <w:r w:rsidR="00AB06F8">
        <w:t xml:space="preserve">23 000 </w:t>
      </w:r>
      <w:r>
        <w:t xml:space="preserve">em 2013, </w:t>
      </w:r>
      <w:r w:rsidR="00BB370A">
        <w:t>em comparação com os</w:t>
      </w:r>
      <w:r>
        <w:t xml:space="preserve"> 59 000 em 2007. Estima-se ainda que mais de metade (700 000) dos 1,3 milhões de consumidores problemáticos de opiáceos</w:t>
      </w:r>
      <w:r w:rsidR="0069581A">
        <w:t xml:space="preserve"> na Europa</w:t>
      </w:r>
      <w:r w:rsidR="00794A50">
        <w:t xml:space="preserve"> — ou seja, </w:t>
      </w:r>
      <w:r>
        <w:t xml:space="preserve">consumidores </w:t>
      </w:r>
      <w:r w:rsidR="00AB06F8">
        <w:t xml:space="preserve">crónicos e </w:t>
      </w:r>
      <w:r>
        <w:t>dependentes</w:t>
      </w:r>
      <w:r w:rsidR="00794A50">
        <w:t xml:space="preserve"> —</w:t>
      </w:r>
      <w:r>
        <w:t xml:space="preserve"> estejam </w:t>
      </w:r>
      <w:r w:rsidR="00AB06F8">
        <w:t>actualmente a seguir um</w:t>
      </w:r>
      <w:r w:rsidR="00C940A4">
        <w:t xml:space="preserve"> </w:t>
      </w:r>
      <w:r>
        <w:t>tratamento de substituição</w:t>
      </w:r>
      <w:r w:rsidR="00BB370A">
        <w:t xml:space="preserve"> de opiáceos</w:t>
      </w:r>
      <w:r>
        <w:t xml:space="preserve"> (Figura 3.6).</w:t>
      </w:r>
    </w:p>
    <w:p w:rsidR="000C1074" w:rsidRDefault="004E5A93" w:rsidP="00C929E0">
      <w:pPr>
        <w:spacing w:before="100" w:beforeAutospacing="1" w:after="260" w:line="260" w:lineRule="exact"/>
        <w:rPr>
          <w:rFonts w:eastAsia="Times New Roman" w:cs="Arial"/>
          <w:szCs w:val="20"/>
        </w:rPr>
      </w:pPr>
      <w:r>
        <w:t>Os dados relativos às apreensões, que ajudam a compreender as tendências da oferta de heroína,  revelam</w:t>
      </w:r>
      <w:r w:rsidR="0069581A">
        <w:t xml:space="preserve"> também</w:t>
      </w:r>
      <w:r>
        <w:t xml:space="preserve"> uma diminuição. A quantidade de heroína apreendida na UE em 2013 (5,6 toneladas) foi uma das mais baixas </w:t>
      </w:r>
      <w:r w:rsidR="0006522C">
        <w:t>d</w:t>
      </w:r>
      <w:r>
        <w:t>os últimos dez anos</w:t>
      </w:r>
      <w:r w:rsidR="007F673B">
        <w:t>: cerca de</w:t>
      </w:r>
      <w:r>
        <w:t xml:space="preserve"> metade da apreendida em 2002 (10 toneladas). O número de apreensões de heroína diminuiu</w:t>
      </w:r>
      <w:r w:rsidR="00A47B45">
        <w:t xml:space="preserve"> também</w:t>
      </w:r>
      <w:r w:rsidR="001E178F">
        <w:t xml:space="preserve"> </w:t>
      </w:r>
      <w:r>
        <w:t xml:space="preserve">de cerca de 45 000 em 2002, para 32 000 em 2013 (Figura 1.6). </w:t>
      </w:r>
      <w:r w:rsidR="001E178F">
        <w:t>No entanto,</w:t>
      </w:r>
      <w:r>
        <w:t xml:space="preserve"> apesar deste cenário positivo, o </w:t>
      </w:r>
      <w:r>
        <w:rPr>
          <w:b/>
        </w:rPr>
        <w:t>EMCDDA</w:t>
      </w:r>
      <w:r>
        <w:t xml:space="preserve"> assinala várias alterações do mercado que exigem uma monitorização atenta.</w:t>
      </w:r>
    </w:p>
    <w:p w:rsidR="000C1074" w:rsidRDefault="004E5A93" w:rsidP="004E5A93">
      <w:pPr>
        <w:spacing w:before="100" w:beforeAutospacing="1" w:after="260" w:line="260" w:lineRule="exact"/>
        <w:rPr>
          <w:rFonts w:eastAsia="Times New Roman" w:cs="Arial"/>
          <w:szCs w:val="20"/>
        </w:rPr>
      </w:pPr>
      <w:r>
        <w:lastRenderedPageBreak/>
        <w:t xml:space="preserve">As últimas estimativas das </w:t>
      </w:r>
      <w:r>
        <w:rPr>
          <w:b/>
        </w:rPr>
        <w:t>Nações Unidas</w:t>
      </w:r>
      <w:r>
        <w:t> (</w:t>
      </w:r>
      <w:r>
        <w:rPr>
          <w:vertAlign w:val="superscript"/>
        </w:rPr>
        <w:t>2</w:t>
      </w:r>
      <w:r>
        <w:t xml:space="preserve">), por exemplo, sugerem </w:t>
      </w:r>
      <w:r w:rsidR="00627B4D">
        <w:t xml:space="preserve">um aumento substancial na produção de ópio no </w:t>
      </w:r>
      <w:r w:rsidR="00627B4D" w:rsidRPr="00794A50">
        <w:rPr>
          <w:b/>
        </w:rPr>
        <w:t>Afeganistão</w:t>
      </w:r>
      <w:r>
        <w:t xml:space="preserve"> </w:t>
      </w:r>
      <w:r w:rsidR="00627B4D">
        <w:t>em</w:t>
      </w:r>
      <w:r w:rsidR="00794A50">
        <w:t xml:space="preserve"> 2013 e 2014</w:t>
      </w:r>
      <w:r>
        <w:t xml:space="preserve">, país </w:t>
      </w:r>
      <w:r w:rsidR="001E178F">
        <w:t>que fornece</w:t>
      </w:r>
      <w:r>
        <w:t xml:space="preserve"> a maior parte da heroína consumida na Europa, o que poderá</w:t>
      </w:r>
      <w:r w:rsidR="00627B4D">
        <w:t xml:space="preserve"> levar a uma</w:t>
      </w:r>
      <w:r w:rsidR="00794A50">
        <w:t xml:space="preserve"> </w:t>
      </w:r>
      <w:r w:rsidR="00627B4D">
        <w:t xml:space="preserve">maior </w:t>
      </w:r>
      <w:r>
        <w:t xml:space="preserve">disponibilidade de heroína no mercado europeu. </w:t>
      </w:r>
      <w:r w:rsidR="00627B4D">
        <w:t xml:space="preserve">São também evidenciados </w:t>
      </w:r>
      <w:r>
        <w:t>sinais de inovação no mercado,</w:t>
      </w:r>
      <w:r w:rsidR="00794A50">
        <w:t xml:space="preserve"> com a</w:t>
      </w:r>
      <w:r>
        <w:t xml:space="preserve"> deteção</w:t>
      </w:r>
      <w:r w:rsidR="00D05380">
        <w:t xml:space="preserve"> na Europa</w:t>
      </w:r>
      <w:r>
        <w:t xml:space="preserve">, </w:t>
      </w:r>
      <w:r w:rsidR="0056402A">
        <w:t xml:space="preserve">de laboratórios de transformação de </w:t>
      </w:r>
      <w:r w:rsidR="00794A50">
        <w:t>heroína, pela</w:t>
      </w:r>
      <w:r>
        <w:t xml:space="preserve"> primeira vez desde a década de 1970. Em 2013 e 2014 foram descobertos em </w:t>
      </w:r>
      <w:r>
        <w:rPr>
          <w:b/>
        </w:rPr>
        <w:t>Espanha</w:t>
      </w:r>
      <w:r>
        <w:t xml:space="preserve"> dois laboratórios </w:t>
      </w:r>
      <w:r w:rsidR="00D05380">
        <w:t xml:space="preserve">de transformação de </w:t>
      </w:r>
      <w:r>
        <w:t xml:space="preserve">morfina </w:t>
      </w:r>
      <w:r w:rsidRPr="00C350D6">
        <w:t>em heroína.</w:t>
      </w:r>
    </w:p>
    <w:p w:rsidR="000C1074" w:rsidRDefault="004E5A93" w:rsidP="004E5A93">
      <w:pPr>
        <w:spacing w:before="100" w:beforeAutospacing="1" w:after="260" w:line="260" w:lineRule="exact"/>
        <w:rPr>
          <w:rFonts w:eastAsia="SimSun" w:cs="Arial"/>
          <w:szCs w:val="20"/>
        </w:rPr>
      </w:pPr>
      <w:r>
        <w:t>O tráfico de heroína para a Europa sofreu</w:t>
      </w:r>
      <w:r w:rsidR="00085FBA">
        <w:t xml:space="preserve"> também</w:t>
      </w:r>
      <w:r>
        <w:t xml:space="preserve"> alterações. Embora a tradicional </w:t>
      </w:r>
      <w:r>
        <w:rPr>
          <w:b/>
        </w:rPr>
        <w:t>«rota dos Balcãs</w:t>
      </w:r>
      <w:r>
        <w:t>» continue a ser muito importante, há indícios de que a «</w:t>
      </w:r>
      <w:r>
        <w:rPr>
          <w:b/>
        </w:rPr>
        <w:t>rota meridional»</w:t>
      </w:r>
      <w:r>
        <w:t xml:space="preserve"> está a ganhar terreno</w:t>
      </w:r>
      <w:r w:rsidR="00D05380">
        <w:t>.</w:t>
      </w:r>
      <w:r>
        <w:t xml:space="preserve"> </w:t>
      </w:r>
      <w:r w:rsidR="00C350D6">
        <w:t xml:space="preserve">       </w:t>
      </w:r>
      <w:r>
        <w:t>(</w:t>
      </w:r>
      <w:r w:rsidR="00D05380">
        <w:t>E</w:t>
      </w:r>
      <w:r>
        <w:t xml:space="preserve">sta rota tem origem no Irão e no Paquistão e </w:t>
      </w:r>
      <w:r w:rsidR="00085FBA">
        <w:t xml:space="preserve">chega à Europa </w:t>
      </w:r>
      <w:r>
        <w:t xml:space="preserve">direta ou </w:t>
      </w:r>
      <w:r w:rsidR="00C350D6">
        <w:t>indiretamente através</w:t>
      </w:r>
      <w:r>
        <w:t xml:space="preserve"> </w:t>
      </w:r>
      <w:proofErr w:type="gramStart"/>
      <w:r>
        <w:t>de  países</w:t>
      </w:r>
      <w:proofErr w:type="gramEnd"/>
      <w:r>
        <w:t xml:space="preserve"> da Península Arábica</w:t>
      </w:r>
      <w:r w:rsidR="00D05380">
        <w:t>,</w:t>
      </w:r>
      <w:r w:rsidR="008D437D">
        <w:t xml:space="preserve"> bem</w:t>
      </w:r>
      <w:r w:rsidR="00D05380">
        <w:t xml:space="preserve"> como</w:t>
      </w:r>
      <w:r>
        <w:t xml:space="preserve"> da África Oriental, Austral e Ocidental). A nova análise hoje </w:t>
      </w:r>
      <w:r w:rsidR="00D86FBD">
        <w:t>divulgada</w:t>
      </w:r>
      <w:r>
        <w:t xml:space="preserve"> sobre o tráfico de opiáceos da </w:t>
      </w:r>
      <w:r>
        <w:rPr>
          <w:b/>
        </w:rPr>
        <w:t xml:space="preserve">Ásia </w:t>
      </w:r>
      <w:r>
        <w:t xml:space="preserve">para a </w:t>
      </w:r>
      <w:r>
        <w:rPr>
          <w:b/>
        </w:rPr>
        <w:t>Europa</w:t>
      </w:r>
      <w:r>
        <w:t xml:space="preserve"> aponta para uma diversificação dos produtos traficados (por ex</w:t>
      </w:r>
      <w:r w:rsidR="00D86FBD">
        <w:t>.:</w:t>
      </w:r>
      <w:r>
        <w:t xml:space="preserve">, morfina de base e ópio, para além da heroína) e </w:t>
      </w:r>
      <w:r w:rsidR="00D86FBD">
        <w:t>n</w:t>
      </w:r>
      <w:r>
        <w:t xml:space="preserve">os meios de transporte e </w:t>
      </w:r>
      <w:r w:rsidR="00155E2E">
        <w:t>rotas utilizadas</w:t>
      </w:r>
      <w:r>
        <w:t xml:space="preserve"> (ver «Perspetivas sobre Drogas»</w:t>
      </w:r>
      <w:r w:rsidR="00C350D6">
        <w:t xml:space="preserve"> — </w:t>
      </w:r>
      <w:r w:rsidR="00C350D6" w:rsidRPr="00C350D6">
        <w:rPr>
          <w:i/>
        </w:rPr>
        <w:t>Perspectives on Drugs</w:t>
      </w:r>
      <w:r w:rsidR="00D86FBD">
        <w:t>/POD</w:t>
      </w:r>
      <w:r>
        <w:t>).</w:t>
      </w:r>
    </w:p>
    <w:p w:rsidR="000C1074" w:rsidRDefault="004E5A93" w:rsidP="004E5A93">
      <w:pPr>
        <w:spacing w:before="100" w:beforeAutospacing="1" w:after="260" w:line="260" w:lineRule="exact"/>
        <w:rPr>
          <w:rFonts w:cs="Arial"/>
          <w:szCs w:val="20"/>
        </w:rPr>
      </w:pPr>
      <w:r>
        <w:rPr>
          <w:b/>
        </w:rPr>
        <w:t xml:space="preserve">Wolfgang Götz, Diretor do EMCDDA, </w:t>
      </w:r>
      <w:r>
        <w:t xml:space="preserve">comentou hoje a esse respeito: «As mudanças de atuação das forças policiais, a instabilidade e os conflitos armados, bem como as múltiplas e rápidas ligações resultantes da globalização, </w:t>
      </w:r>
      <w:r w:rsidR="00D05380">
        <w:t xml:space="preserve">estão entre os </w:t>
      </w:r>
      <w:r>
        <w:t>fa</w:t>
      </w:r>
      <w:r w:rsidR="006E035E">
        <w:t>c</w:t>
      </w:r>
      <w:r>
        <w:t xml:space="preserve">tores </w:t>
      </w:r>
      <w:r w:rsidRPr="006224F9">
        <w:t>suscet</w:t>
      </w:r>
      <w:r w:rsidR="006E035E" w:rsidRPr="006224F9">
        <w:t>i</w:t>
      </w:r>
      <w:r w:rsidRPr="006224F9">
        <w:t>veis</w:t>
      </w:r>
      <w:r w:rsidR="00B65567" w:rsidRPr="006224F9">
        <w:t xml:space="preserve"> </w:t>
      </w:r>
      <w:r w:rsidRPr="006224F9">
        <w:t>de</w:t>
      </w:r>
      <w:r>
        <w:t xml:space="preserve"> alterar as rotas de tráfico. Assistimos atualmente, a </w:t>
      </w:r>
      <w:r w:rsidR="00155E2E">
        <w:t xml:space="preserve">um </w:t>
      </w:r>
      <w:r>
        <w:t>acentuado aumento da produção de ópio no Afeganistão e à diversificação</w:t>
      </w:r>
      <w:r w:rsidR="00907ED9">
        <w:t xml:space="preserve"> </w:t>
      </w:r>
      <w:r w:rsidR="00A360D8">
        <w:t>tanto</w:t>
      </w:r>
      <w:r>
        <w:t xml:space="preserve"> dos produtos </w:t>
      </w:r>
      <w:r w:rsidR="00373D09">
        <w:t>comercializados,</w:t>
      </w:r>
      <w:r>
        <w:t xml:space="preserve"> </w:t>
      </w:r>
      <w:r w:rsidR="000F4492">
        <w:t>e</w:t>
      </w:r>
      <w:r w:rsidR="00A360D8">
        <w:t xml:space="preserve"> dos</w:t>
      </w:r>
      <w:r w:rsidR="000F4492">
        <w:t xml:space="preserve"> </w:t>
      </w:r>
      <w:r>
        <w:t>métodos</w:t>
      </w:r>
      <w:r w:rsidR="00E9241E">
        <w:t>,</w:t>
      </w:r>
      <w:r w:rsidR="00A360D8">
        <w:t xml:space="preserve"> como </w:t>
      </w:r>
      <w:r w:rsidR="00373D09">
        <w:t>das rotas</w:t>
      </w:r>
      <w:r w:rsidR="000F4492">
        <w:t xml:space="preserve"> de tráfico utilizadas.</w:t>
      </w:r>
      <w:r>
        <w:t xml:space="preserve"> </w:t>
      </w:r>
      <w:r w:rsidR="00AA6A2B">
        <w:t>Esta situação é agravada pelo</w:t>
      </w:r>
      <w:r>
        <w:t xml:space="preserve"> facto </w:t>
      </w:r>
      <w:r w:rsidR="000F4492">
        <w:t>de algumas</w:t>
      </w:r>
      <w:r w:rsidR="00373D09">
        <w:t xml:space="preserve"> </w:t>
      </w:r>
      <w:r w:rsidR="00155E2E">
        <w:t xml:space="preserve">das </w:t>
      </w:r>
      <w:r>
        <w:t xml:space="preserve">fases cruciais do processo de produção de heroína estarem agora a ser realizadas dentro da Europa. </w:t>
      </w:r>
      <w:r w:rsidR="000F4492">
        <w:t xml:space="preserve">Qualquer </w:t>
      </w:r>
      <w:r>
        <w:t xml:space="preserve">possibilidade de </w:t>
      </w:r>
      <w:r w:rsidR="00B65666">
        <w:t>um</w:t>
      </w:r>
      <w:r w:rsidR="004A259A">
        <w:t xml:space="preserve"> ressurgimento </w:t>
      </w:r>
      <w:r>
        <w:t>d</w:t>
      </w:r>
      <w:r w:rsidR="000F4492">
        <w:t>os</w:t>
      </w:r>
      <w:r>
        <w:t xml:space="preserve"> problemas </w:t>
      </w:r>
      <w:r w:rsidR="00AA6A2B">
        <w:t xml:space="preserve">relacionados com a </w:t>
      </w:r>
      <w:r>
        <w:t>heroína é preocupante, sendo crucial</w:t>
      </w:r>
      <w:r w:rsidR="00B65666">
        <w:t xml:space="preserve"> acompanhar de perto</w:t>
      </w:r>
      <w:r>
        <w:t xml:space="preserve"> esta situação».</w:t>
      </w:r>
    </w:p>
    <w:p w:rsidR="000C1074" w:rsidRDefault="00D67E7B" w:rsidP="004E5A93">
      <w:pPr>
        <w:spacing w:before="100" w:beforeAutospacing="1" w:after="260" w:line="260" w:lineRule="exact"/>
        <w:rPr>
          <w:rFonts w:cs="Arial"/>
        </w:rPr>
      </w:pPr>
      <w:r>
        <w:t xml:space="preserve">Para além da heroína, as forças policiais dos países europeus apreenderam em 2013 </w:t>
      </w:r>
      <w:r w:rsidR="000F4492">
        <w:t>outros</w:t>
      </w:r>
      <w:r>
        <w:t xml:space="preserve"> produtos opiáceos: ópio</w:t>
      </w:r>
      <w:r w:rsidR="00FF3C76">
        <w:t>;</w:t>
      </w:r>
      <w:r>
        <w:t xml:space="preserve"> preparações de ópio bruto (por ex</w:t>
      </w:r>
      <w:r w:rsidR="00B65666">
        <w:t>.:</w:t>
      </w:r>
      <w:r w:rsidR="00373D09">
        <w:t xml:space="preserve"> </w:t>
      </w:r>
      <w:r w:rsidR="000F4492">
        <w:t>o</w:t>
      </w:r>
      <w:r>
        <w:t xml:space="preserve"> «Kompot»)</w:t>
      </w:r>
      <w:r w:rsidR="00FF3C76">
        <w:t>;</w:t>
      </w:r>
      <w:r>
        <w:t xml:space="preserve"> medicamentos (morfina, metadona, buprenorfina, fentanil e tramadol)</w:t>
      </w:r>
      <w:r w:rsidR="00B65666">
        <w:t>;</w:t>
      </w:r>
      <w:r>
        <w:t xml:space="preserve"> bem como novos opiáceos sintéticos.</w:t>
      </w:r>
    </w:p>
    <w:p w:rsidR="005C1394" w:rsidRPr="005C1394" w:rsidRDefault="00B65666" w:rsidP="005C1394">
      <w:pPr>
        <w:spacing w:after="260" w:line="260" w:lineRule="exact"/>
        <w:rPr>
          <w:rFonts w:cs="Arial"/>
          <w:b/>
          <w:szCs w:val="20"/>
        </w:rPr>
      </w:pPr>
      <w:r>
        <w:rPr>
          <w:b/>
        </w:rPr>
        <w:t>C</w:t>
      </w:r>
      <w:r w:rsidR="00194867">
        <w:rPr>
          <w:b/>
        </w:rPr>
        <w:t xml:space="preserve">onsumidores de opiáceos mais </w:t>
      </w:r>
      <w:r w:rsidR="00155E2E">
        <w:rPr>
          <w:b/>
        </w:rPr>
        <w:t xml:space="preserve">velhos </w:t>
      </w:r>
      <w:r w:rsidR="007F673B">
        <w:rPr>
          <w:b/>
        </w:rPr>
        <w:t>carecem de serviços personalizados</w:t>
      </w:r>
    </w:p>
    <w:p w:rsidR="000C1074" w:rsidRDefault="005C40D1" w:rsidP="005C1394">
      <w:pPr>
        <w:spacing w:after="260" w:line="260" w:lineRule="exact"/>
        <w:rPr>
          <w:rFonts w:cs="Arial"/>
          <w:szCs w:val="20"/>
        </w:rPr>
      </w:pPr>
      <w:r>
        <w:t>A dependência de opiáceos é, muitas vezes, um problema crónico, e por isso a prestação de um tratamento e uma assistência adequad</w:t>
      </w:r>
      <w:r w:rsidR="00783014">
        <w:t>a</w:t>
      </w:r>
      <w:r>
        <w:t xml:space="preserve"> aos consumidores de longa data constitui </w:t>
      </w:r>
      <w:r w:rsidR="00FF3C76">
        <w:t xml:space="preserve">actualmente </w:t>
      </w:r>
      <w:r>
        <w:t>um desafio cada vez maior para o</w:t>
      </w:r>
      <w:r w:rsidR="00FF3C76">
        <w:t xml:space="preserve"> tratamento da toxicodependência e para o</w:t>
      </w:r>
      <w:r>
        <w:t>s serviços sociais</w:t>
      </w:r>
      <w:r w:rsidR="00FF3C76">
        <w:t>.</w:t>
      </w:r>
      <w:r>
        <w:t xml:space="preserve"> O relatório mostra </w:t>
      </w:r>
      <w:r w:rsidR="004A259A">
        <w:t>como</w:t>
      </w:r>
      <w:r>
        <w:t xml:space="preserve"> a média d</w:t>
      </w:r>
      <w:r w:rsidR="00783014">
        <w:t>e</w:t>
      </w:r>
      <w:r>
        <w:t xml:space="preserve"> idade das pessoas que iniciam o tratamento p</w:t>
      </w:r>
      <w:r w:rsidR="004A259A">
        <w:t>ara os</w:t>
      </w:r>
      <w:r>
        <w:t xml:space="preserve"> problemas</w:t>
      </w:r>
      <w:r w:rsidR="004A259A">
        <w:t xml:space="preserve"> associados ao</w:t>
      </w:r>
      <w:r>
        <w:t xml:space="preserve"> consumo de opiáceos </w:t>
      </w:r>
      <w:r w:rsidR="00783014">
        <w:t>aumentou</w:t>
      </w:r>
      <w:r w:rsidR="004A259A">
        <w:t>,</w:t>
      </w:r>
      <w:r w:rsidR="000E0F3F">
        <w:t xml:space="preserve"> </w:t>
      </w:r>
      <w:r w:rsidR="007958ED">
        <w:t>em</w:t>
      </w:r>
      <w:r w:rsidR="00783014">
        <w:t xml:space="preserve"> cerca de</w:t>
      </w:r>
      <w:r>
        <w:t xml:space="preserve"> cinco anos entre 2006 e 2013 (Figura 2.11). Na Europa, um número significativo de consumidores de opiáceos com longos historiais de policonsumo de drogas </w:t>
      </w:r>
      <w:r w:rsidR="0061505E">
        <w:t>está</w:t>
      </w:r>
      <w:r>
        <w:t xml:space="preserve"> agora</w:t>
      </w:r>
      <w:r w:rsidR="0061505E">
        <w:t xml:space="preserve"> na faixa etária entre</w:t>
      </w:r>
      <w:r w:rsidR="00DD095D">
        <w:t xml:space="preserve"> os 40–</w:t>
      </w:r>
      <w:r>
        <w:t xml:space="preserve">50 anos. </w:t>
      </w:r>
      <w:r w:rsidR="005716D6">
        <w:t>Antecedentes</w:t>
      </w:r>
      <w:r>
        <w:t xml:space="preserve"> de doença física e mental, más condições de vida, infeções e abuso de múltiplas substâncias (incluindo álcool e tabaco), tornam este grupo vulnerável a vários problemas de saúde crónicos (</w:t>
      </w:r>
      <w:r w:rsidR="0061505E">
        <w:t>por ex.:</w:t>
      </w:r>
      <w:r>
        <w:t xml:space="preserve"> </w:t>
      </w:r>
      <w:r w:rsidR="005716D6">
        <w:t xml:space="preserve">problemas </w:t>
      </w:r>
      <w:r>
        <w:t>cardiovasculares, pulmonares e hepáticos).</w:t>
      </w:r>
    </w:p>
    <w:p w:rsidR="000C1074" w:rsidRDefault="005C1394" w:rsidP="0002521E">
      <w:pPr>
        <w:rPr>
          <w:rFonts w:ascii="Times New Roman" w:eastAsia="Times New Roman" w:hAnsi="Times New Roman" w:cs="Times New Roman"/>
          <w:sz w:val="24"/>
          <w:szCs w:val="24"/>
        </w:rPr>
      </w:pPr>
      <w:r>
        <w:t xml:space="preserve">«São necessárias orientações clínicas que tenham em conta a evolução demográfica registada entre os consumidores problemáticos de opiáceos </w:t>
      </w:r>
      <w:r w:rsidR="0061505E">
        <w:t>n</w:t>
      </w:r>
      <w:r>
        <w:t xml:space="preserve">a Europa», </w:t>
      </w:r>
      <w:r w:rsidR="005716D6">
        <w:t xml:space="preserve">segundo </w:t>
      </w:r>
      <w:r>
        <w:t xml:space="preserve">o relatório. Essas orientações </w:t>
      </w:r>
      <w:r w:rsidR="005716D6">
        <w:t xml:space="preserve">vão contribuir para </w:t>
      </w:r>
      <w:r>
        <w:t>uma prática clínica eficaz e abranger questões</w:t>
      </w:r>
      <w:r w:rsidR="0061505E">
        <w:t xml:space="preserve"> tais</w:t>
      </w:r>
      <w:r>
        <w:t xml:space="preserve"> como</w:t>
      </w:r>
      <w:r w:rsidR="0061505E">
        <w:t>:</w:t>
      </w:r>
      <w:r>
        <w:t xml:space="preserve"> as interações entre drogas; as dosagens para administração domiciliária de medicamentos utilizados no tratamento de substituição </w:t>
      </w:r>
      <w:r w:rsidR="00373D09">
        <w:t xml:space="preserve">            </w:t>
      </w:r>
      <w:r>
        <w:t>(por ex</w:t>
      </w:r>
      <w:r w:rsidR="0061505E">
        <w:t>.:</w:t>
      </w:r>
      <w:r>
        <w:t xml:space="preserve"> metadona</w:t>
      </w:r>
      <w:r w:rsidR="0061505E">
        <w:t>,</w:t>
      </w:r>
      <w:r>
        <w:t xml:space="preserve"> buprenorfina); a gestão da dor e o tratamento de infeções. Poucos países referem ter programas específicos para </w:t>
      </w:r>
      <w:r w:rsidR="0061505E">
        <w:t xml:space="preserve">os </w:t>
      </w:r>
      <w:r>
        <w:t xml:space="preserve">consumidores de droga </w:t>
      </w:r>
      <w:r w:rsidR="00155E2E">
        <w:t>mais velhos</w:t>
      </w:r>
      <w:r w:rsidR="0061505E">
        <w:t xml:space="preserve">. Este </w:t>
      </w:r>
      <w:r>
        <w:t xml:space="preserve">grupo </w:t>
      </w:r>
      <w:r w:rsidR="0061505E">
        <w:t xml:space="preserve">está </w:t>
      </w:r>
      <w:r>
        <w:t xml:space="preserve">geralmente integrado nos serviços </w:t>
      </w:r>
      <w:r w:rsidR="007F673B">
        <w:t xml:space="preserve">existentes </w:t>
      </w:r>
      <w:r>
        <w:t xml:space="preserve">de tratamento da toxicodependência (Figura 3.10). Os </w:t>
      </w:r>
      <w:r>
        <w:rPr>
          <w:b/>
        </w:rPr>
        <w:t>Países Baixos</w:t>
      </w:r>
      <w:r>
        <w:t xml:space="preserve"> são um dos poucos países </w:t>
      </w:r>
      <w:r w:rsidR="00372F54">
        <w:t>onde</w:t>
      </w:r>
      <w:r w:rsidR="00CD786D">
        <w:t xml:space="preserve"> foram criados</w:t>
      </w:r>
      <w:r>
        <w:t xml:space="preserve"> lares de terceira idade para </w:t>
      </w:r>
      <w:r w:rsidR="00372F54">
        <w:t>responder</w:t>
      </w:r>
      <w:r>
        <w:t xml:space="preserve"> às necessidades </w:t>
      </w:r>
      <w:r w:rsidR="0061505E">
        <w:t>d</w:t>
      </w:r>
      <w:r w:rsidR="007F673B">
        <w:t>estes</w:t>
      </w:r>
      <w:r>
        <w:t xml:space="preserve"> consumidores</w:t>
      </w:r>
      <w:r w:rsidR="0061505E">
        <w:t xml:space="preserve"> mais velhos</w:t>
      </w:r>
      <w:r>
        <w:t>.</w:t>
      </w:r>
    </w:p>
    <w:p w:rsidR="007F673B" w:rsidRDefault="007F673B">
      <w:pPr>
        <w:rPr>
          <w:b/>
        </w:rPr>
      </w:pPr>
      <w:r>
        <w:rPr>
          <w:b/>
        </w:rPr>
        <w:br w:type="page"/>
      </w:r>
    </w:p>
    <w:p w:rsidR="000C1074" w:rsidRDefault="00105FE2" w:rsidP="00435B19">
      <w:pPr>
        <w:spacing w:after="260" w:line="260" w:lineRule="exact"/>
        <w:rPr>
          <w:rFonts w:cs="Arial"/>
          <w:b/>
          <w:szCs w:val="20"/>
        </w:rPr>
      </w:pPr>
      <w:r>
        <w:rPr>
          <w:b/>
        </w:rPr>
        <w:lastRenderedPageBreak/>
        <w:t xml:space="preserve">Melhores tratamentos para a hepatite C e </w:t>
      </w:r>
      <w:r w:rsidR="007F673B">
        <w:rPr>
          <w:b/>
        </w:rPr>
        <w:t>diminui</w:t>
      </w:r>
      <w:r>
        <w:rPr>
          <w:b/>
        </w:rPr>
        <w:t>ção d</w:t>
      </w:r>
      <w:r w:rsidR="00C374B1">
        <w:rPr>
          <w:b/>
        </w:rPr>
        <w:t>os</w:t>
      </w:r>
      <w:r>
        <w:rPr>
          <w:b/>
        </w:rPr>
        <w:t xml:space="preserve"> novos casos de VIH diagnosticados</w:t>
      </w:r>
    </w:p>
    <w:p w:rsidR="007F03EB" w:rsidRPr="00EA3584" w:rsidRDefault="00B96281" w:rsidP="00FC0378">
      <w:pPr>
        <w:spacing w:after="260" w:line="260" w:lineRule="exact"/>
        <w:rPr>
          <w:rFonts w:eastAsia="Times New Roman" w:cs="Arial"/>
          <w:szCs w:val="20"/>
        </w:rPr>
      </w:pPr>
      <w:r>
        <w:t xml:space="preserve">Transmitida através da partilha de agulhas, seringas e outro material de injeção, a hepatite C é a doença </w:t>
      </w:r>
      <w:r w:rsidRPr="00B65567">
        <w:t>infe</w:t>
      </w:r>
      <w:r w:rsidR="006E035E" w:rsidRPr="00B65567">
        <w:t>c</w:t>
      </w:r>
      <w:r w:rsidRPr="00B65567">
        <w:t>ciosa</w:t>
      </w:r>
      <w:r>
        <w:t xml:space="preserve"> mais comum entre os consumidores de droga injetada na Europa, tendo as amostras nacionais rev</w:t>
      </w:r>
      <w:r w:rsidR="00373D09">
        <w:t>elado que, no período de 2012–</w:t>
      </w:r>
      <w:r>
        <w:t>13,</w:t>
      </w:r>
      <w:r w:rsidR="00240151">
        <w:t xml:space="preserve"> entre</w:t>
      </w:r>
      <w:r>
        <w:t xml:space="preserve"> 14 % </w:t>
      </w:r>
      <w:r w:rsidR="00EE0ECF">
        <w:t>a</w:t>
      </w:r>
      <w:r>
        <w:t xml:space="preserve"> 84 % desses consumidores estavam infetados com o vírus da hepatite C (Figura 2.14). </w:t>
      </w:r>
      <w:r w:rsidR="00240151">
        <w:t>A infecção</w:t>
      </w:r>
      <w:r w:rsidR="004560DA">
        <w:t xml:space="preserve"> pela</w:t>
      </w:r>
      <w:r w:rsidR="00240151">
        <w:t xml:space="preserve"> hepatite C é f</w:t>
      </w:r>
      <w:r>
        <w:t xml:space="preserve">requentemente assintomática, </w:t>
      </w:r>
      <w:r w:rsidR="00240151">
        <w:t>e</w:t>
      </w:r>
      <w:r>
        <w:t xml:space="preserve"> pode não ser diagnosticada durante décadas. Muitas das pessoas infetadas </w:t>
      </w:r>
      <w:r w:rsidR="004560DA">
        <w:t xml:space="preserve">vão </w:t>
      </w:r>
      <w:r>
        <w:t>desenvolve</w:t>
      </w:r>
      <w:r w:rsidR="004560DA">
        <w:t>r</w:t>
      </w:r>
      <w:r>
        <w:t xml:space="preserve"> hepatite crónica e correm o risco de vir a </w:t>
      </w:r>
      <w:r w:rsidR="00831DFF">
        <w:t>sofrer de</w:t>
      </w:r>
      <w:r>
        <w:t xml:space="preserve"> doença hepática (por ex</w:t>
      </w:r>
      <w:r w:rsidR="00240151">
        <w:t>.:</w:t>
      </w:r>
      <w:r>
        <w:t>, cirrose ou cancro).</w:t>
      </w:r>
    </w:p>
    <w:p w:rsidR="000C1074" w:rsidRDefault="00D10437" w:rsidP="002B76D8">
      <w:pPr>
        <w:spacing w:after="260" w:line="260" w:lineRule="exact"/>
        <w:rPr>
          <w:rFonts w:eastAsia="Times New Roman" w:cs="Arial"/>
          <w:szCs w:val="20"/>
        </w:rPr>
      </w:pPr>
      <w:r>
        <w:t>São cada vez mais os países que adotaram, ou preparam</w:t>
      </w:r>
      <w:r w:rsidR="003E4D3C">
        <w:t>-se</w:t>
      </w:r>
      <w:r>
        <w:t xml:space="preserve"> para adotar, estratégias específicas para combater a hepatite C, </w:t>
      </w:r>
      <w:r w:rsidR="00D9408A">
        <w:t xml:space="preserve">e </w:t>
      </w:r>
      <w:r w:rsidR="004560DA">
        <w:t xml:space="preserve">que </w:t>
      </w:r>
      <w:r>
        <w:t>visam</w:t>
      </w:r>
      <w:r w:rsidR="004560DA">
        <w:t xml:space="preserve"> </w:t>
      </w:r>
      <w:r w:rsidR="00B97655">
        <w:t xml:space="preserve">principalmente </w:t>
      </w:r>
      <w:r>
        <w:t>garantir, o acesso a análises de diagnóstico da doença. Embora existam novos medicamentos antivirais</w:t>
      </w:r>
      <w:r w:rsidR="003E4D3C">
        <w:t xml:space="preserve"> disponíveis</w:t>
      </w:r>
      <w:r>
        <w:t xml:space="preserve"> que impedem a progressão da doença ou permitem a sua cura, a </w:t>
      </w:r>
      <w:r w:rsidR="00735442">
        <w:t>ausência</w:t>
      </w:r>
      <w:r>
        <w:t xml:space="preserve"> de diagnóstico, associada aos elevados custos desses medicamentos, limitam o </w:t>
      </w:r>
      <w:r w:rsidR="003E4D3C">
        <w:t>acesso a</w:t>
      </w:r>
      <w:r>
        <w:t xml:space="preserve"> estes novos tratamentos.</w:t>
      </w:r>
    </w:p>
    <w:p w:rsidR="000C1074" w:rsidRDefault="00105FE2" w:rsidP="002B76D8">
      <w:pPr>
        <w:spacing w:after="260" w:line="260" w:lineRule="exact"/>
        <w:rPr>
          <w:rFonts w:cs="Arial"/>
          <w:szCs w:val="20"/>
        </w:rPr>
      </w:pPr>
      <w:r>
        <w:t xml:space="preserve">Os dados mais recentes revelam que o número de novos casos de VIH atribuídos ao consumo de droga injetada, que tinha aumentado devido aos surtos ocorridos na </w:t>
      </w:r>
      <w:r>
        <w:rPr>
          <w:b/>
        </w:rPr>
        <w:t>Grécia</w:t>
      </w:r>
      <w:r>
        <w:t xml:space="preserve"> e na </w:t>
      </w:r>
      <w:r>
        <w:rPr>
          <w:b/>
        </w:rPr>
        <w:t>Roménia</w:t>
      </w:r>
      <w:r w:rsidR="00735442">
        <w:rPr>
          <w:b/>
        </w:rPr>
        <w:t xml:space="preserve"> </w:t>
      </w:r>
      <w:r w:rsidR="00735442" w:rsidRPr="00373D09">
        <w:t>em 2011/2012</w:t>
      </w:r>
      <w:r>
        <w:t>, estabilizou e que o total</w:t>
      </w:r>
      <w:r w:rsidR="00273CDE">
        <w:t xml:space="preserve"> de casos</w:t>
      </w:r>
      <w:r>
        <w:t xml:space="preserve"> da UE diminuiu para os níveis anteriores a esses surtos (Figura 2.13). Os dados provisórios relativos a 2013 dão conta de 1</w:t>
      </w:r>
      <w:r w:rsidR="00273CDE">
        <w:t xml:space="preserve"> </w:t>
      </w:r>
      <w:r>
        <w:t xml:space="preserve">458 novos casos de </w:t>
      </w:r>
      <w:r w:rsidR="0025628C">
        <w:t>infecções por VIH</w:t>
      </w:r>
      <w:r>
        <w:t xml:space="preserve">, </w:t>
      </w:r>
      <w:r w:rsidR="00B97655">
        <w:t xml:space="preserve">em </w:t>
      </w:r>
      <w:r>
        <w:t>compara</w:t>
      </w:r>
      <w:r w:rsidR="00B97655">
        <w:t>ção</w:t>
      </w:r>
      <w:r>
        <w:t xml:space="preserve"> </w:t>
      </w:r>
      <w:r w:rsidR="00B97655">
        <w:t xml:space="preserve">com </w:t>
      </w:r>
      <w:r>
        <w:t>os 1</w:t>
      </w:r>
      <w:r w:rsidR="0025628C">
        <w:t xml:space="preserve"> </w:t>
      </w:r>
      <w:r>
        <w:t xml:space="preserve">974 registados em 2012, invertendo a tendência crescente </w:t>
      </w:r>
      <w:r w:rsidR="0083228A">
        <w:t xml:space="preserve">que se observava </w:t>
      </w:r>
      <w:r>
        <w:t xml:space="preserve"> desde 2010. Apesar dos </w:t>
      </w:r>
      <w:r w:rsidR="00373D09">
        <w:t>progressos nesta</w:t>
      </w:r>
      <w:r>
        <w:t xml:space="preserve"> </w:t>
      </w:r>
      <w:r w:rsidR="0025628C">
        <w:t>área</w:t>
      </w:r>
      <w:r>
        <w:t xml:space="preserve">, o </w:t>
      </w:r>
      <w:r>
        <w:rPr>
          <w:b/>
        </w:rPr>
        <w:t xml:space="preserve">EMCDDA </w:t>
      </w:r>
      <w:r>
        <w:t xml:space="preserve">sublinha a necessidade de manter </w:t>
      </w:r>
      <w:r w:rsidR="002C0766">
        <w:t>um</w:t>
      </w:r>
      <w:r>
        <w:t>a vigilância</w:t>
      </w:r>
      <w:r w:rsidR="006E7F04">
        <w:t xml:space="preserve"> constante</w:t>
      </w:r>
      <w:r>
        <w:t xml:space="preserve"> e uma prestação de serviços</w:t>
      </w:r>
      <w:r w:rsidR="0025628C">
        <w:t xml:space="preserve"> adequad</w:t>
      </w:r>
      <w:r w:rsidR="006E7F04">
        <w:t>a</w:t>
      </w:r>
      <w:r>
        <w:t>.</w:t>
      </w:r>
    </w:p>
    <w:p w:rsidR="000C1074" w:rsidRDefault="009F3555" w:rsidP="00E522AE">
      <w:r>
        <w:rPr>
          <w:b/>
        </w:rPr>
        <w:t xml:space="preserve">Combater as </w:t>
      </w:r>
      <w:r>
        <w:rPr>
          <w:b/>
          <w:i/>
        </w:rPr>
        <w:t>overdoses</w:t>
      </w:r>
      <w:r>
        <w:rPr>
          <w:b/>
        </w:rPr>
        <w:t xml:space="preserve"> </w:t>
      </w:r>
      <w:r w:rsidR="00373D09">
        <w:rPr>
          <w:b/>
        </w:rPr>
        <w:t>— u</w:t>
      </w:r>
      <w:r>
        <w:rPr>
          <w:b/>
        </w:rPr>
        <w:t>m desafio para a política de saúde pública</w:t>
      </w:r>
    </w:p>
    <w:p w:rsidR="000C1074" w:rsidRPr="004A1615" w:rsidRDefault="00AD2A0A" w:rsidP="00AD2A0A">
      <w:pPr>
        <w:spacing w:after="260" w:line="260" w:lineRule="exact"/>
        <w:rPr>
          <w:rFonts w:cs="Arial"/>
          <w:szCs w:val="20"/>
        </w:rPr>
      </w:pPr>
      <w:r>
        <w:t xml:space="preserve">A redução do número de </w:t>
      </w:r>
      <w:r>
        <w:rPr>
          <w:i/>
        </w:rPr>
        <w:t>overdoses</w:t>
      </w:r>
      <w:r>
        <w:t xml:space="preserve"> fatais e de outras mortes relacionadas com a droga (por ex</w:t>
      </w:r>
      <w:r w:rsidR="001F3812">
        <w:t>.:</w:t>
      </w:r>
      <w:r>
        <w:t xml:space="preserve">, doenças associadas </w:t>
      </w:r>
      <w:r w:rsidR="00373D09">
        <w:t>ao consumo</w:t>
      </w:r>
      <w:r>
        <w:t xml:space="preserve">, acidentes e suicídios) continua a ser um importante desafio para a saúde pública. Estima-se que em 2013 tenham ocorrido na UE pelo menos 6 100 mortes por overdose, </w:t>
      </w:r>
      <w:r w:rsidR="00532C1E">
        <w:t xml:space="preserve"> na sua maioria</w:t>
      </w:r>
      <w:r>
        <w:t xml:space="preserve"> </w:t>
      </w:r>
      <w:r w:rsidR="00532C1E">
        <w:t>associadas à</w:t>
      </w:r>
      <w:r>
        <w:t xml:space="preserve"> heroína e </w:t>
      </w:r>
      <w:r w:rsidR="00532C1E">
        <w:t xml:space="preserve">a </w:t>
      </w:r>
      <w:r>
        <w:t>outros opiáceos.</w:t>
      </w:r>
    </w:p>
    <w:p w:rsidR="000D3B2D" w:rsidRPr="006304FE" w:rsidRDefault="000D3B2D" w:rsidP="000D3B2D">
      <w:pPr>
        <w:spacing w:after="260" w:line="260" w:lineRule="exact"/>
        <w:rPr>
          <w:rFonts w:cs="Arial"/>
          <w:szCs w:val="20"/>
        </w:rPr>
      </w:pPr>
      <w:r>
        <w:t xml:space="preserve">Uma nova análise que acompanha o relatório hoje apresentado chama a atenção para o </w:t>
      </w:r>
      <w:r w:rsidR="0060242D">
        <w:t xml:space="preserve">abuso </w:t>
      </w:r>
      <w:r>
        <w:t>d</w:t>
      </w:r>
      <w:r w:rsidR="0060242D">
        <w:t>as</w:t>
      </w:r>
      <w:r>
        <w:t xml:space="preserve"> benzodiazepinas por consumidores de alto risco</w:t>
      </w:r>
      <w:r w:rsidR="0060242D">
        <w:t xml:space="preserve"> de opiáceos</w:t>
      </w:r>
      <w:r>
        <w:t>, que as tomam para se automedicarem ou potenciarem os efeitos dos opiáceos (ver «</w:t>
      </w:r>
      <w:r w:rsidR="00373D09">
        <w:t>POD</w:t>
      </w:r>
      <w:r>
        <w:t xml:space="preserve">»). </w:t>
      </w:r>
      <w:r w:rsidR="0041722A">
        <w:t>A</w:t>
      </w:r>
      <w:r>
        <w:t xml:space="preserve"> análise demonstra </w:t>
      </w:r>
      <w:r w:rsidR="0041722A">
        <w:t>como</w:t>
      </w:r>
      <w:r>
        <w:t xml:space="preserve"> o consumo </w:t>
      </w:r>
      <w:r w:rsidR="0041722A">
        <w:t xml:space="preserve">combinado </w:t>
      </w:r>
      <w:r>
        <w:t xml:space="preserve">de opiáceos e benzodiazepinas ou </w:t>
      </w:r>
      <w:r w:rsidR="0041722A">
        <w:t xml:space="preserve">de </w:t>
      </w:r>
      <w:r>
        <w:t>outros depressores do sistema nervoso central (por ex</w:t>
      </w:r>
      <w:r w:rsidR="0060242D">
        <w:t>.:</w:t>
      </w:r>
      <w:r>
        <w:t xml:space="preserve"> </w:t>
      </w:r>
      <w:r w:rsidR="0060242D">
        <w:t xml:space="preserve">o </w:t>
      </w:r>
      <w:r>
        <w:t xml:space="preserve">álcool) aumenta o risco de morte por </w:t>
      </w:r>
      <w:r>
        <w:rPr>
          <w:i/>
        </w:rPr>
        <w:t>overdose</w:t>
      </w:r>
      <w:r>
        <w:t xml:space="preserve">. As orientações relativas à prescrição e à prática clínica podem ter um papel essencial na gestão desta </w:t>
      </w:r>
      <w:r w:rsidR="00155E2E">
        <w:t xml:space="preserve">complexa </w:t>
      </w:r>
      <w:r>
        <w:t>questão.</w:t>
      </w:r>
    </w:p>
    <w:p w:rsidR="000C1074" w:rsidRPr="006304FE" w:rsidRDefault="00AD2A0A" w:rsidP="00AD2A0A">
      <w:pPr>
        <w:spacing w:after="260" w:line="260" w:lineRule="exact"/>
        <w:rPr>
          <w:rFonts w:cs="Arial"/>
          <w:szCs w:val="20"/>
        </w:rPr>
      </w:pPr>
      <w:r>
        <w:t xml:space="preserve">As intervenções </w:t>
      </w:r>
      <w:r w:rsidR="0041722A">
        <w:t>que visam prevenir</w:t>
      </w:r>
      <w:r w:rsidR="00DD095D">
        <w:t xml:space="preserve"> </w:t>
      </w:r>
      <w:r>
        <w:t xml:space="preserve">as </w:t>
      </w:r>
      <w:r>
        <w:rPr>
          <w:i/>
        </w:rPr>
        <w:t>overdoses</w:t>
      </w:r>
      <w:r>
        <w:t xml:space="preserve"> incluem estratégias específicas, educação </w:t>
      </w:r>
      <w:r w:rsidR="00A42C57">
        <w:t>para</w:t>
      </w:r>
      <w:r>
        <w:t xml:space="preserve"> o risco e formação </w:t>
      </w:r>
      <w:r w:rsidR="00A42C57">
        <w:t>para reagir</w:t>
      </w:r>
      <w:r>
        <w:t xml:space="preserve"> </w:t>
      </w:r>
      <w:r w:rsidR="00A42C57">
        <w:t>às</w:t>
      </w:r>
      <w:r>
        <w:t xml:space="preserve"> </w:t>
      </w:r>
      <w:r>
        <w:rPr>
          <w:i/>
        </w:rPr>
        <w:t>overdose</w:t>
      </w:r>
      <w:r>
        <w:t xml:space="preserve">s, </w:t>
      </w:r>
      <w:r w:rsidR="00914776">
        <w:t xml:space="preserve">incluindo </w:t>
      </w:r>
      <w:r>
        <w:t>a distribuição de naloxona para administração domiciliária (</w:t>
      </w:r>
      <w:r>
        <w:rPr>
          <w:vertAlign w:val="superscript"/>
        </w:rPr>
        <w:t>3</w:t>
      </w:r>
      <w:r>
        <w:t>). Alguns países</w:t>
      </w:r>
      <w:r w:rsidR="00926C5F">
        <w:t xml:space="preserve"> têm também</w:t>
      </w:r>
      <w:r>
        <w:t xml:space="preserve">, </w:t>
      </w:r>
      <w:r w:rsidR="00926C5F">
        <w:t>como prática de longa data “</w:t>
      </w:r>
      <w:r>
        <w:t xml:space="preserve">salas de consumo </w:t>
      </w:r>
      <w:r w:rsidR="00155E2E">
        <w:t>assistido</w:t>
      </w:r>
      <w:r w:rsidR="00926C5F">
        <w:t>”</w:t>
      </w:r>
      <w:r>
        <w:t xml:space="preserve">. </w:t>
      </w:r>
      <w:r w:rsidR="00C05226">
        <w:t>Seis países parceiros do</w:t>
      </w:r>
      <w:r>
        <w:t xml:space="preserve"> </w:t>
      </w:r>
      <w:r>
        <w:rPr>
          <w:b/>
        </w:rPr>
        <w:t>EMCDDA</w:t>
      </w:r>
      <w:r w:rsidR="00C05226">
        <w:rPr>
          <w:b/>
        </w:rPr>
        <w:t xml:space="preserve"> </w:t>
      </w:r>
      <w:r w:rsidR="00F17B86" w:rsidRPr="00373D09">
        <w:t>prestam actualmente</w:t>
      </w:r>
      <w:r w:rsidR="00F17B86">
        <w:t xml:space="preserve"> estes </w:t>
      </w:r>
      <w:r w:rsidR="00A56459">
        <w:t>serviços, totalisando</w:t>
      </w:r>
      <w:r>
        <w:t xml:space="preserve"> cerca de 70 </w:t>
      </w:r>
      <w:r w:rsidR="00F1487A">
        <w:t>salas</w:t>
      </w:r>
      <w:r>
        <w:t xml:space="preserve"> (</w:t>
      </w:r>
      <w:r>
        <w:rPr>
          <w:b/>
        </w:rPr>
        <w:t xml:space="preserve">Dinamarca, Alemanha, Espanha, Luxemburgo, Países Baixos </w:t>
      </w:r>
      <w:r w:rsidRPr="00DD095D">
        <w:t xml:space="preserve">e </w:t>
      </w:r>
      <w:r>
        <w:rPr>
          <w:b/>
        </w:rPr>
        <w:t>Noruega</w:t>
      </w:r>
      <w:r>
        <w:t>), enquanto</w:t>
      </w:r>
      <w:r w:rsidR="00582C1E">
        <w:t xml:space="preserve"> que</w:t>
      </w:r>
      <w:r>
        <w:t xml:space="preserve"> a </w:t>
      </w:r>
      <w:r>
        <w:rPr>
          <w:b/>
        </w:rPr>
        <w:t>França</w:t>
      </w:r>
      <w:r>
        <w:t xml:space="preserve"> aprovou recentemente a utilização experimental de sala</w:t>
      </w:r>
      <w:r w:rsidR="00BC616E">
        <w:t>s</w:t>
      </w:r>
      <w:r>
        <w:t xml:space="preserve"> </w:t>
      </w:r>
      <w:r w:rsidR="00BC616E">
        <w:t>de consumo assistido</w:t>
      </w:r>
      <w:r>
        <w:t xml:space="preserve">. </w:t>
      </w:r>
      <w:r w:rsidR="001B792F">
        <w:t xml:space="preserve">Uma avaliação dos serviços prestados neste </w:t>
      </w:r>
      <w:r w:rsidR="00A56459">
        <w:t>âmbito acompanha</w:t>
      </w:r>
      <w:r w:rsidR="001B792F">
        <w:t xml:space="preserve"> a análise deste ano</w:t>
      </w:r>
      <w:r>
        <w:t xml:space="preserve"> (ver </w:t>
      </w:r>
      <w:r w:rsidR="001B792F">
        <w:t>«</w:t>
      </w:r>
      <w:r w:rsidR="00A56459">
        <w:t>POD</w:t>
      </w:r>
      <w:r w:rsidR="001B792F">
        <w:t>»</w:t>
      </w:r>
      <w:r>
        <w:t xml:space="preserve">) e </w:t>
      </w:r>
      <w:r w:rsidR="001B792F">
        <w:t xml:space="preserve">mostra </w:t>
      </w:r>
      <w:r w:rsidR="006E035E">
        <w:t>a forma</w:t>
      </w:r>
      <w:r>
        <w:t xml:space="preserve"> como </w:t>
      </w:r>
      <w:r w:rsidR="006E035E">
        <w:t>estas salas</w:t>
      </w:r>
      <w:r>
        <w:t xml:space="preserve"> dão</w:t>
      </w:r>
      <w:r w:rsidR="001B792F">
        <w:t xml:space="preserve"> uma</w:t>
      </w:r>
      <w:r>
        <w:t xml:space="preserve"> «resposta loca</w:t>
      </w:r>
      <w:r w:rsidR="001B792F">
        <w:t>l</w:t>
      </w:r>
      <w:r>
        <w:t>» a</w:t>
      </w:r>
      <w:r w:rsidR="001B792F">
        <w:t>os</w:t>
      </w:r>
      <w:r>
        <w:t xml:space="preserve"> «problemas locais». Entre outros aspetos, </w:t>
      </w:r>
      <w:r w:rsidR="00F226FE">
        <w:t xml:space="preserve">as salas de consumo assistido </w:t>
      </w:r>
      <w:r w:rsidR="006E035E">
        <w:t xml:space="preserve">podem </w:t>
      </w:r>
      <w:r>
        <w:t>contribu</w:t>
      </w:r>
      <w:r w:rsidR="006E035E">
        <w:t>ir</w:t>
      </w:r>
      <w:r>
        <w:t xml:space="preserve"> para reduzir os riscos relacionados com o consumo de droga (incluindo as mortes por </w:t>
      </w:r>
      <w:r>
        <w:rPr>
          <w:i/>
        </w:rPr>
        <w:t>overdose</w:t>
      </w:r>
      <w:r>
        <w:t xml:space="preserve">) e </w:t>
      </w:r>
      <w:r w:rsidR="006224F9">
        <w:t>podem</w:t>
      </w:r>
      <w:r w:rsidR="006224F9">
        <w:t xml:space="preserve"> </w:t>
      </w:r>
      <w:r w:rsidR="006E035E">
        <w:t xml:space="preserve">servir </w:t>
      </w:r>
      <w:r w:rsidR="006224F9">
        <w:t>como</w:t>
      </w:r>
      <w:r w:rsidR="006E035E">
        <w:t xml:space="preserve"> </w:t>
      </w:r>
      <w:r>
        <w:t xml:space="preserve">espaços propícios </w:t>
      </w:r>
      <w:r w:rsidR="00C84BDF">
        <w:t>para</w:t>
      </w:r>
      <w:r>
        <w:t xml:space="preserve"> estabelec</w:t>
      </w:r>
      <w:r w:rsidR="00C84BDF">
        <w:t>er o contacto entre os</w:t>
      </w:r>
      <w:r>
        <w:t xml:space="preserve"> consumidores </w:t>
      </w:r>
      <w:r w:rsidR="00155E2E">
        <w:t xml:space="preserve">difíceis de alcançar </w:t>
      </w:r>
      <w:r>
        <w:t>e os serviços de saúde.</w:t>
      </w:r>
    </w:p>
    <w:p w:rsidR="000C1074" w:rsidRDefault="00535117" w:rsidP="00226E8D">
      <w:pPr>
        <w:rPr>
          <w:rFonts w:cs="Arial"/>
          <w:b/>
          <w:szCs w:val="20"/>
        </w:rPr>
      </w:pPr>
      <w:r>
        <w:rPr>
          <w:b/>
        </w:rPr>
        <w:t>Crescente i</w:t>
      </w:r>
      <w:r w:rsidR="0089193D">
        <w:rPr>
          <w:b/>
        </w:rPr>
        <w:t xml:space="preserve">mportância da </w:t>
      </w:r>
      <w:r w:rsidR="0089193D">
        <w:rPr>
          <w:b/>
          <w:i/>
        </w:rPr>
        <w:t>cannabis</w:t>
      </w:r>
      <w:r w:rsidR="0089193D">
        <w:rPr>
          <w:b/>
        </w:rPr>
        <w:t xml:space="preserve"> no</w:t>
      </w:r>
      <w:r w:rsidR="00902192">
        <w:rPr>
          <w:b/>
        </w:rPr>
        <w:t>s</w:t>
      </w:r>
      <w:r w:rsidR="0089193D">
        <w:rPr>
          <w:b/>
        </w:rPr>
        <w:t xml:space="preserve"> sistema</w:t>
      </w:r>
      <w:r w:rsidR="00902192">
        <w:rPr>
          <w:b/>
        </w:rPr>
        <w:t>s</w:t>
      </w:r>
      <w:r w:rsidR="0089193D">
        <w:rPr>
          <w:b/>
        </w:rPr>
        <w:t xml:space="preserve"> de tratamento da toxicodependência</w:t>
      </w:r>
      <w:r>
        <w:rPr>
          <w:b/>
        </w:rPr>
        <w:t xml:space="preserve"> </w:t>
      </w:r>
      <w:r w:rsidR="00902192">
        <w:rPr>
          <w:b/>
        </w:rPr>
        <w:t>na Europa</w:t>
      </w:r>
      <w:r w:rsidR="0089193D">
        <w:rPr>
          <w:b/>
        </w:rPr>
        <w:t xml:space="preserve"> </w:t>
      </w:r>
    </w:p>
    <w:p w:rsidR="000C1074" w:rsidRDefault="0089193D" w:rsidP="004E7B44">
      <w:pPr>
        <w:pStyle w:val="newsContent"/>
        <w:rPr>
          <w:noProof/>
        </w:rPr>
      </w:pPr>
      <w:r>
        <w:t xml:space="preserve">A </w:t>
      </w:r>
      <w:r>
        <w:rPr>
          <w:i/>
        </w:rPr>
        <w:t>cannabis</w:t>
      </w:r>
      <w:r>
        <w:t xml:space="preserve"> continua a ser a droga ilícita mais consumida na Europa, estimando-se em 19,3 milhões </w:t>
      </w:r>
      <w:r w:rsidR="005210D3">
        <w:t>de</w:t>
      </w:r>
      <w:r>
        <w:t xml:space="preserve"> adultos (</w:t>
      </w:r>
      <w:r w:rsidR="005210D3">
        <w:t xml:space="preserve">entre os </w:t>
      </w:r>
      <w:r>
        <w:t>15</w:t>
      </w:r>
      <w:r w:rsidR="005210D3">
        <w:t xml:space="preserve"> e os</w:t>
      </w:r>
      <w:r w:rsidR="007450CB">
        <w:t xml:space="preserve"> </w:t>
      </w:r>
      <w:r>
        <w:t>64 anos) que afirmam tê-la consumido no último ano, 14,6 milhões dos quais são jovens adultos (</w:t>
      </w:r>
      <w:r w:rsidR="005210D3">
        <w:t xml:space="preserve">entre os </w:t>
      </w:r>
      <w:r>
        <w:t>15</w:t>
      </w:r>
      <w:r w:rsidR="00E9241E">
        <w:t xml:space="preserve"> </w:t>
      </w:r>
      <w:r w:rsidR="005210D3">
        <w:t>e os</w:t>
      </w:r>
      <w:r w:rsidR="007450CB">
        <w:t xml:space="preserve"> </w:t>
      </w:r>
      <w:r>
        <w:t xml:space="preserve">34 anos). As estimativas indicam que cerca de 1 % da população adulta </w:t>
      </w:r>
      <w:r w:rsidR="005210D3">
        <w:t>são consumidores diários</w:t>
      </w:r>
      <w:r>
        <w:t xml:space="preserve">, ou quase </w:t>
      </w:r>
      <w:r w:rsidR="005210D3">
        <w:t>diários</w:t>
      </w:r>
      <w:r>
        <w:t>.</w:t>
      </w:r>
    </w:p>
    <w:p w:rsidR="00275AED" w:rsidRPr="002331A0" w:rsidRDefault="00621C22" w:rsidP="00275AED">
      <w:pPr>
        <w:spacing w:after="260" w:line="260" w:lineRule="exact"/>
        <w:rPr>
          <w:rFonts w:cs="Arial"/>
          <w:szCs w:val="20"/>
        </w:rPr>
      </w:pPr>
      <w:r>
        <w:lastRenderedPageBreak/>
        <w:t>Os inquéritos à população realizados em três países (</w:t>
      </w:r>
      <w:r>
        <w:rPr>
          <w:b/>
        </w:rPr>
        <w:t xml:space="preserve">Alemanha, Espanha </w:t>
      </w:r>
      <w:r>
        <w:t xml:space="preserve">e </w:t>
      </w:r>
      <w:r>
        <w:rPr>
          <w:b/>
        </w:rPr>
        <w:t>Reino Unido</w:t>
      </w:r>
      <w:r>
        <w:t xml:space="preserve">) revelam que a prevalência do consumo de </w:t>
      </w:r>
      <w:r>
        <w:rPr>
          <w:i/>
        </w:rPr>
        <w:t>cannabis</w:t>
      </w:r>
      <w:r>
        <w:t xml:space="preserve"> diminuiu ou estabilizou na última década.</w:t>
      </w:r>
      <w:r>
        <w:rPr>
          <w:i/>
        </w:rPr>
        <w:t xml:space="preserve"> </w:t>
      </w:r>
      <w:r>
        <w:t xml:space="preserve">Em contrapartida, </w:t>
      </w:r>
      <w:r w:rsidR="00755601">
        <w:t>o</w:t>
      </w:r>
      <w:r>
        <w:t xml:space="preserve"> consumo aumentou na </w:t>
      </w:r>
      <w:r>
        <w:rPr>
          <w:b/>
        </w:rPr>
        <w:t>Bulgária</w:t>
      </w:r>
      <w:r>
        <w:t xml:space="preserve">, na </w:t>
      </w:r>
      <w:r>
        <w:rPr>
          <w:b/>
        </w:rPr>
        <w:t>França</w:t>
      </w:r>
      <w:r>
        <w:t xml:space="preserve"> e em</w:t>
      </w:r>
      <w:r>
        <w:rPr>
          <w:b/>
        </w:rPr>
        <w:t xml:space="preserve"> quatro </w:t>
      </w:r>
      <w:r>
        <w:t>países nórdicos (</w:t>
      </w:r>
      <w:r>
        <w:rPr>
          <w:b/>
        </w:rPr>
        <w:t>Dinamarca, Finlândia, Suécia e Noruega</w:t>
      </w:r>
      <w:r>
        <w:t xml:space="preserve">). Globalmente, os resultados dos inquéritos mais recentes sugerem a existência de tendências divergentes no consumo de </w:t>
      </w:r>
      <w:r>
        <w:rPr>
          <w:i/>
        </w:rPr>
        <w:t>cannabis</w:t>
      </w:r>
      <w:r>
        <w:t xml:space="preserve"> no último ano entre os jovens adultos (Figura 2.1).</w:t>
      </w:r>
    </w:p>
    <w:p w:rsidR="000C1074" w:rsidRDefault="00275AED" w:rsidP="004E7B44">
      <w:pPr>
        <w:pStyle w:val="newsContent"/>
      </w:pPr>
      <w:r>
        <w:t xml:space="preserve">A elevada prevalência desta droga reflete-se no número de </w:t>
      </w:r>
      <w:r w:rsidR="00755601">
        <w:t>utentes</w:t>
      </w:r>
      <w:r>
        <w:t xml:space="preserve"> que inicia</w:t>
      </w:r>
      <w:r w:rsidR="00755601">
        <w:t>ra</w:t>
      </w:r>
      <w:r>
        <w:t xml:space="preserve">m um tratamento especializado da </w:t>
      </w:r>
      <w:r w:rsidR="00A56459">
        <w:t>toxicodependência, sendo</w:t>
      </w:r>
      <w:r w:rsidR="00535117">
        <w:t xml:space="preserve"> que grande parte dos</w:t>
      </w:r>
      <w:r w:rsidR="008F7EFB">
        <w:t xml:space="preserve"> utentes q</w:t>
      </w:r>
      <w:r w:rsidR="00F35664">
        <w:t>ue iniciaram pela primeira vez esse</w:t>
      </w:r>
      <w:r w:rsidR="00535117">
        <w:t xml:space="preserve"> tratamento</w:t>
      </w:r>
      <w:r w:rsidR="007F673B">
        <w:t xml:space="preserve"> </w:t>
      </w:r>
      <w:r w:rsidR="00F35664">
        <w:t>referir</w:t>
      </w:r>
      <w:r w:rsidR="007F673B">
        <w:t>a</w:t>
      </w:r>
      <w:r w:rsidR="00F35664">
        <w:t>m</w:t>
      </w:r>
      <w:r w:rsidR="00A56459">
        <w:t xml:space="preserve"> </w:t>
      </w:r>
      <w:r w:rsidR="008F7EFB">
        <w:t>a cannabis</w:t>
      </w:r>
      <w:r>
        <w:t xml:space="preserve"> </w:t>
      </w:r>
      <w:r w:rsidR="00980598">
        <w:t xml:space="preserve">como </w:t>
      </w:r>
      <w:r>
        <w:t xml:space="preserve">a </w:t>
      </w:r>
      <w:r w:rsidR="008F7EFB">
        <w:t>principal</w:t>
      </w:r>
      <w:r w:rsidR="00F35664">
        <w:t xml:space="preserve"> causa do</w:t>
      </w:r>
      <w:r w:rsidR="008F7EFB">
        <w:t xml:space="preserve"> seu problema</w:t>
      </w:r>
      <w:r>
        <w:t xml:space="preserve">. </w:t>
      </w:r>
      <w:r w:rsidR="00535117">
        <w:t xml:space="preserve">Na </w:t>
      </w:r>
      <w:r w:rsidR="00A56459">
        <w:t>Europa, o</w:t>
      </w:r>
      <w:r>
        <w:t xml:space="preserve"> número de utentes que inicia</w:t>
      </w:r>
      <w:r w:rsidR="00F35664">
        <w:t>ra</w:t>
      </w:r>
      <w:r>
        <w:t xml:space="preserve">m o tratamento pela primeira vez devido a problemas de consumo de </w:t>
      </w:r>
      <w:r>
        <w:rPr>
          <w:i/>
        </w:rPr>
        <w:t>cannabis</w:t>
      </w:r>
      <w:r>
        <w:t xml:space="preserve"> subiu de 45 000 em 2006 para 61 000 em 2013. Embora es</w:t>
      </w:r>
      <w:r w:rsidR="00E9241E">
        <w:t>t</w:t>
      </w:r>
      <w:r>
        <w:t xml:space="preserve">es utentes sejam </w:t>
      </w:r>
      <w:r w:rsidRPr="00B65567">
        <w:t xml:space="preserve">mais </w:t>
      </w:r>
      <w:r w:rsidRPr="006224F9">
        <w:t>suscet</w:t>
      </w:r>
      <w:r w:rsidR="00980598" w:rsidRPr="006224F9">
        <w:t>i</w:t>
      </w:r>
      <w:r w:rsidRPr="006224F9">
        <w:t>veis</w:t>
      </w:r>
      <w:r>
        <w:t xml:space="preserve"> de iniciarem o tratamento por iniciativa</w:t>
      </w:r>
      <w:r w:rsidR="0024179D">
        <w:t xml:space="preserve"> própria</w:t>
      </w:r>
      <w:r>
        <w:t xml:space="preserve"> (34 %), constata-se nesta análise que cerca de um quarto (23 000) foram encaminhados pelo sistema de justiça penal. Os dados comprovam a utilidade das intervenções psicossociais no tratamento de problemas relacionados com o consumo de droga e estas têm sido amplamente utilizadas nos casos de consumo de </w:t>
      </w:r>
      <w:r>
        <w:rPr>
          <w:i/>
        </w:rPr>
        <w:t>cannabis</w:t>
      </w:r>
      <w:r>
        <w:t xml:space="preserve">. Este tipo de abordagens é tratado </w:t>
      </w:r>
      <w:r w:rsidR="00E331BD">
        <w:t xml:space="preserve">hoje </w:t>
      </w:r>
      <w:r>
        <w:t xml:space="preserve">numa análise que acompanha o relatório (ver </w:t>
      </w:r>
      <w:r w:rsidR="00E331BD">
        <w:t>«</w:t>
      </w:r>
      <w:r w:rsidR="00A56459">
        <w:t>POD</w:t>
      </w:r>
      <w:r w:rsidR="00E331BD">
        <w:t>»</w:t>
      </w:r>
      <w:r>
        <w:t xml:space="preserve">) e </w:t>
      </w:r>
      <w:r w:rsidR="00E331BD">
        <w:t>no</w:t>
      </w:r>
      <w:r>
        <w:t xml:space="preserve"> </w:t>
      </w:r>
      <w:r>
        <w:rPr>
          <w:i/>
        </w:rPr>
        <w:t>Insights</w:t>
      </w:r>
      <w:r>
        <w:t xml:space="preserve"> recentemente publicad</w:t>
      </w:r>
      <w:r w:rsidR="00E331BD">
        <w:t>o</w:t>
      </w:r>
      <w:r>
        <w:t xml:space="preserve"> pelo </w:t>
      </w:r>
      <w:r>
        <w:rPr>
          <w:b/>
        </w:rPr>
        <w:t>EMCDDA</w:t>
      </w:r>
      <w:r>
        <w:t xml:space="preserve"> (</w:t>
      </w:r>
      <w:r>
        <w:rPr>
          <w:vertAlign w:val="superscript"/>
        </w:rPr>
        <w:t>4</w:t>
      </w:r>
      <w:r>
        <w:t>).</w:t>
      </w:r>
    </w:p>
    <w:p w:rsidR="00F6333E" w:rsidRDefault="00F6333E" w:rsidP="00F6333E">
      <w:pPr>
        <w:spacing w:after="260" w:line="260" w:lineRule="exact"/>
        <w:rPr>
          <w:rFonts w:cs="Arial"/>
          <w:szCs w:val="20"/>
        </w:rPr>
      </w:pPr>
      <w:r>
        <w:t xml:space="preserve">Embora raras, podem ocorrer situações de emergência </w:t>
      </w:r>
      <w:r w:rsidR="005850A9">
        <w:t xml:space="preserve">médica </w:t>
      </w:r>
      <w:r w:rsidR="00E331BD">
        <w:t>rela</w:t>
      </w:r>
      <w:r w:rsidR="0048433A">
        <w:t>cionadas com</w:t>
      </w:r>
      <w:r w:rsidR="00644F00">
        <w:t xml:space="preserve"> </w:t>
      </w:r>
      <w:r>
        <w:t xml:space="preserve">o consumo de cannabis, principalmente </w:t>
      </w:r>
      <w:r w:rsidR="00165BBB">
        <w:t xml:space="preserve">se consumida </w:t>
      </w:r>
      <w:r>
        <w:t xml:space="preserve">em altas doses (ver </w:t>
      </w:r>
      <w:r w:rsidR="003B70B8">
        <w:t xml:space="preserve">em baixo </w:t>
      </w:r>
      <w:r w:rsidR="00C85E25">
        <w:t>parágrafo</w:t>
      </w:r>
      <w:r>
        <w:t xml:space="preserve"> relativ</w:t>
      </w:r>
      <w:r w:rsidR="00C85E25">
        <w:t>o</w:t>
      </w:r>
      <w:r>
        <w:t xml:space="preserve"> à purez</w:t>
      </w:r>
      <w:r w:rsidR="00980598">
        <w:t>a</w:t>
      </w:r>
      <w:r>
        <w:t xml:space="preserve">). </w:t>
      </w:r>
      <w:r w:rsidR="00A56459">
        <w:t xml:space="preserve">           </w:t>
      </w:r>
      <w:r>
        <w:t>Um estudo recente efetuado em urgências hospitalares concluiu que o número de emergências</w:t>
      </w:r>
      <w:r w:rsidR="005850A9">
        <w:t xml:space="preserve"> médicas</w:t>
      </w:r>
      <w:r>
        <w:t xml:space="preserve"> associadas à cannabis, </w:t>
      </w:r>
      <w:r w:rsidR="00DD4F95">
        <w:t xml:space="preserve">e </w:t>
      </w:r>
      <w:r>
        <w:t>notificadas entre 2008 e 2012 em 11 dos 13 países europeus analisados,  aument</w:t>
      </w:r>
      <w:r w:rsidR="009D5CDC">
        <w:t>ou</w:t>
      </w:r>
      <w:r>
        <w:t>.</w:t>
      </w:r>
    </w:p>
    <w:p w:rsidR="000C1074" w:rsidRDefault="00F6333E" w:rsidP="00F6333E">
      <w:pPr>
        <w:pStyle w:val="CommentText"/>
        <w:spacing w:after="260" w:line="260" w:lineRule="exact"/>
        <w:rPr>
          <w:rFonts w:cs="Arial"/>
        </w:rPr>
      </w:pPr>
      <w:r>
        <w:t>O relatório hoje publicado salienta o papel</w:t>
      </w:r>
      <w:r w:rsidR="00DD4F95">
        <w:t xml:space="preserve"> importante</w:t>
      </w:r>
      <w:r>
        <w:t xml:space="preserve"> </w:t>
      </w:r>
      <w:r w:rsidR="00C1492F">
        <w:t xml:space="preserve">que a </w:t>
      </w:r>
      <w:r>
        <w:rPr>
          <w:i/>
        </w:rPr>
        <w:t>cannabis</w:t>
      </w:r>
      <w:r>
        <w:t xml:space="preserve"> </w:t>
      </w:r>
      <w:r w:rsidR="00C1492F">
        <w:t xml:space="preserve">tem </w:t>
      </w:r>
      <w:r>
        <w:t xml:space="preserve">nas estatísticas europeias da criminalidade associada à droga, uma vez que é responsável por 80 % das apreensões e o seu consumo ou posse para consumo individual representam mais de 60 % </w:t>
      </w:r>
      <w:r w:rsidR="00DD4F95">
        <w:t>de to</w:t>
      </w:r>
      <w:r>
        <w:t>das</w:t>
      </w:r>
      <w:r w:rsidR="00DD4F95">
        <w:t xml:space="preserve"> as</w:t>
      </w:r>
      <w:r>
        <w:t xml:space="preserve"> </w:t>
      </w:r>
      <w:r w:rsidR="00DD4F95">
        <w:t xml:space="preserve">infracções </w:t>
      </w:r>
      <w:r w:rsidR="00EF0AC9">
        <w:t>relacionadas</w:t>
      </w:r>
      <w:r w:rsidR="00DD4F95">
        <w:t xml:space="preserve"> com droga</w:t>
      </w:r>
      <w:r w:rsidR="00EF0AC9">
        <w:t xml:space="preserve"> e notificadas</w:t>
      </w:r>
      <w:r w:rsidR="00DD4F95">
        <w:t xml:space="preserve"> na Europa</w:t>
      </w:r>
      <w:r>
        <w:t xml:space="preserve"> (ver Figura 1).</w:t>
      </w:r>
    </w:p>
    <w:p w:rsidR="000C1074" w:rsidRDefault="00FF7FA9" w:rsidP="00F6333E">
      <w:pPr>
        <w:spacing w:before="100" w:beforeAutospacing="1" w:after="260" w:line="260" w:lineRule="exact"/>
        <w:rPr>
          <w:rFonts w:cs="Arial"/>
          <w:szCs w:val="20"/>
        </w:rPr>
      </w:pPr>
      <w:r>
        <w:t>Na Europa,</w:t>
      </w:r>
      <w:r w:rsidR="00980598">
        <w:t xml:space="preserve"> o</w:t>
      </w:r>
      <w:r>
        <w:t xml:space="preserve"> </w:t>
      </w:r>
      <w:r w:rsidR="00226E8D">
        <w:t>número de apreensões de cannabis herbácea ultrapassou</w:t>
      </w:r>
      <w:r w:rsidR="00FA2B81">
        <w:t xml:space="preserve"> as apreensões</w:t>
      </w:r>
      <w:r w:rsidR="00226E8D">
        <w:t xml:space="preserve"> de resina de cannabis </w:t>
      </w:r>
      <w:r w:rsidR="00FA2B81">
        <w:t xml:space="preserve">em 2009, </w:t>
      </w:r>
      <w:r w:rsidR="00226E8D">
        <w:t xml:space="preserve">e essa diferença </w:t>
      </w:r>
      <w:r w:rsidR="00FA2B81">
        <w:t>continua a aumentar</w:t>
      </w:r>
      <w:r w:rsidR="00226E8D">
        <w:t xml:space="preserve"> (Figura 1.3). Em 2013, das 671 000 apreensões de </w:t>
      </w:r>
      <w:r w:rsidR="00226E8D">
        <w:rPr>
          <w:i/>
        </w:rPr>
        <w:t>cannabis</w:t>
      </w:r>
      <w:r w:rsidR="00226E8D">
        <w:t xml:space="preserve"> notificadas na UE, 431 000 foram de </w:t>
      </w:r>
      <w:r w:rsidR="00226E8D">
        <w:rPr>
          <w:i/>
        </w:rPr>
        <w:t>cannabis</w:t>
      </w:r>
      <w:r w:rsidR="00226E8D">
        <w:t xml:space="preserve"> herbácea (marijuana) e 240 000 de resina de </w:t>
      </w:r>
      <w:r w:rsidR="00226E8D">
        <w:rPr>
          <w:i/>
        </w:rPr>
        <w:t>cannabis</w:t>
      </w:r>
      <w:r w:rsidR="00226E8D">
        <w:t xml:space="preserve"> (haxixe). Esta </w:t>
      </w:r>
      <w:r w:rsidR="00FA2B81">
        <w:t>tendência</w:t>
      </w:r>
      <w:r w:rsidR="00226E8D">
        <w:t xml:space="preserve"> deve-se, em grande </w:t>
      </w:r>
      <w:r w:rsidR="00C14966">
        <w:t>parte</w:t>
      </w:r>
      <w:r w:rsidR="00226E8D">
        <w:t xml:space="preserve">, à maior disponibilidade de </w:t>
      </w:r>
      <w:r w:rsidR="00226E8D">
        <w:rPr>
          <w:i/>
        </w:rPr>
        <w:t>cannabis</w:t>
      </w:r>
      <w:r w:rsidR="00226E8D">
        <w:t xml:space="preserve"> herbácea produzida na Europa e é acompanhada por um aumento das apreensões de plantas de </w:t>
      </w:r>
      <w:r w:rsidR="00226E8D">
        <w:rPr>
          <w:i/>
        </w:rPr>
        <w:t>cannabis</w:t>
      </w:r>
      <w:r w:rsidR="00226E8D">
        <w:t xml:space="preserve">. </w:t>
      </w:r>
      <w:r w:rsidR="00226E8D">
        <w:rPr>
          <w:color w:val="000000"/>
        </w:rPr>
        <w:t xml:space="preserve">Contudo, a quantidade de resina de </w:t>
      </w:r>
      <w:r w:rsidR="00226E8D">
        <w:rPr>
          <w:i/>
          <w:color w:val="000000"/>
        </w:rPr>
        <w:t>cannabis</w:t>
      </w:r>
      <w:r w:rsidR="00226E8D">
        <w:rPr>
          <w:color w:val="000000"/>
        </w:rPr>
        <w:t xml:space="preserve"> apreendida na União Europeia é </w:t>
      </w:r>
      <w:r w:rsidR="005924B7">
        <w:rPr>
          <w:color w:val="000000"/>
        </w:rPr>
        <w:t xml:space="preserve">ainda </w:t>
      </w:r>
      <w:r w:rsidR="00226E8D">
        <w:rPr>
          <w:color w:val="000000"/>
        </w:rPr>
        <w:t xml:space="preserve">muito superior à de </w:t>
      </w:r>
      <w:r w:rsidR="00226E8D">
        <w:rPr>
          <w:i/>
          <w:color w:val="000000"/>
        </w:rPr>
        <w:t>cannabis</w:t>
      </w:r>
      <w:r w:rsidR="00226E8D">
        <w:rPr>
          <w:color w:val="000000"/>
        </w:rPr>
        <w:t xml:space="preserve"> herbácea (460 toneladas contra 130 toneladas).</w:t>
      </w:r>
    </w:p>
    <w:p w:rsidR="000C1074" w:rsidRDefault="00C14966" w:rsidP="00F6333E">
      <w:pPr>
        <w:spacing w:before="100" w:beforeAutospacing="1" w:after="260" w:line="260" w:lineRule="exact"/>
        <w:rPr>
          <w:rFonts w:cs="Arial"/>
          <w:szCs w:val="20"/>
        </w:rPr>
      </w:pPr>
      <w:r>
        <w:t xml:space="preserve">Mais de 130 canabinóides sintéticos, vendidos como substitutos legais da </w:t>
      </w:r>
      <w:r w:rsidRPr="00373D09">
        <w:rPr>
          <w:i/>
        </w:rPr>
        <w:t>cannabis</w:t>
      </w:r>
      <w:r>
        <w:rPr>
          <w:i/>
        </w:rPr>
        <w:t xml:space="preserve"> </w:t>
      </w:r>
      <w:r w:rsidRPr="00373D09">
        <w:t>fora</w:t>
      </w:r>
      <w:r>
        <w:t>m detetados a</w:t>
      </w:r>
      <w:r w:rsidR="00F6333E">
        <w:t xml:space="preserve">té à data, </w:t>
      </w:r>
      <w:r>
        <w:t>pel</w:t>
      </w:r>
      <w:r w:rsidR="00F6333E">
        <w:t xml:space="preserve">o </w:t>
      </w:r>
      <w:r w:rsidR="00302024">
        <w:rPr>
          <w:b/>
        </w:rPr>
        <w:t>s</w:t>
      </w:r>
      <w:r>
        <w:rPr>
          <w:b/>
        </w:rPr>
        <w:t xml:space="preserve">istema </w:t>
      </w:r>
      <w:r w:rsidR="00F6333E">
        <w:rPr>
          <w:b/>
        </w:rPr>
        <w:t>de alerta rápido da UE</w:t>
      </w:r>
      <w:r>
        <w:rPr>
          <w:b/>
        </w:rPr>
        <w:t xml:space="preserve"> (EWS)</w:t>
      </w:r>
      <w:r w:rsidR="00F6333E">
        <w:t>, acrescentando uma nova dimensão ao mercado desta droga. O consumo des</w:t>
      </w:r>
      <w:r>
        <w:t>t</w:t>
      </w:r>
      <w:r w:rsidR="00F6333E">
        <w:t xml:space="preserve">as substâncias pode ter consequências </w:t>
      </w:r>
      <w:r>
        <w:t>nefastas</w:t>
      </w:r>
      <w:r w:rsidR="00F6333E">
        <w:t xml:space="preserve"> para a saúde (por ex</w:t>
      </w:r>
      <w:r>
        <w:t>.:</w:t>
      </w:r>
      <w:r w:rsidR="00F6333E">
        <w:t>, lesões renais, efeitos pulmonares e cardiovasculares, convulsões, etc.). As mortes e as intoxicações agudas associadas a estas substâncias, ocorridas</w:t>
      </w:r>
      <w:r w:rsidR="00457F87">
        <w:t xml:space="preserve"> recentemente</w:t>
      </w:r>
      <w:r w:rsidR="00F6333E">
        <w:t xml:space="preserve"> na Europa e a nível internacional, levaram o </w:t>
      </w:r>
      <w:r w:rsidR="00F6333E">
        <w:rPr>
          <w:b/>
        </w:rPr>
        <w:t>EMCDDA</w:t>
      </w:r>
      <w:r w:rsidR="00F6333E">
        <w:t xml:space="preserve"> a emitir alertas </w:t>
      </w:r>
      <w:r w:rsidR="00D606A5">
        <w:t>de</w:t>
      </w:r>
      <w:r w:rsidR="00F6333E">
        <w:t xml:space="preserve"> saúde pública.</w:t>
      </w:r>
    </w:p>
    <w:p w:rsidR="000C1074" w:rsidRDefault="00050E92" w:rsidP="009434EF">
      <w:pPr>
        <w:spacing w:after="0" w:line="240" w:lineRule="auto"/>
        <w:outlineLvl w:val="2"/>
        <w:rPr>
          <w:rFonts w:eastAsia="Times New Roman" w:cs="Arial"/>
          <w:b/>
          <w:szCs w:val="20"/>
        </w:rPr>
      </w:pPr>
      <w:r>
        <w:rPr>
          <w:b/>
        </w:rPr>
        <w:t>Concorrência num mercado de estimulantes sobrelotado</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A Europa está confrontada com um mercado de estimulantes sobrelotado, em que a cocaína, as anfetaminas, o </w:t>
      </w:r>
      <w:r>
        <w:rPr>
          <w:i/>
        </w:rPr>
        <w:t>ecstasy</w:t>
      </w:r>
      <w:r>
        <w:t xml:space="preserve"> e um </w:t>
      </w:r>
      <w:r w:rsidR="008C0D32">
        <w:t xml:space="preserve">crescente </w:t>
      </w:r>
      <w:r w:rsidR="00A56459">
        <w:t>número de</w:t>
      </w:r>
      <w:r>
        <w:t xml:space="preserve"> drogas sintéticas têm como alvo grupos de consumidores semelhantes. A cocaína continua a ser a droga estimulante mais consumida na Europa, embora os consumidores estejam maioritariamente concentrados num pequeno número de países da região ocidental da UE. Cerca de 3,4 milhões de adultos (</w:t>
      </w:r>
      <w:r w:rsidR="008C0D32">
        <w:t xml:space="preserve">entre os </w:t>
      </w:r>
      <w:r>
        <w:t>15</w:t>
      </w:r>
      <w:r w:rsidR="00E9241E">
        <w:t xml:space="preserve"> </w:t>
      </w:r>
      <w:r w:rsidR="008C0D32">
        <w:t xml:space="preserve">e os </w:t>
      </w:r>
      <w:r>
        <w:t>64 anos) consumiram cocaína no último ano, dos quais 2,3 milhões eram jovens adultos (</w:t>
      </w:r>
      <w:r w:rsidR="008C0D32">
        <w:t xml:space="preserve">entre os </w:t>
      </w:r>
      <w:r>
        <w:t>15</w:t>
      </w:r>
      <w:r w:rsidR="008C0D32">
        <w:t xml:space="preserve"> e os</w:t>
      </w:r>
      <w:r w:rsidR="00E9241E">
        <w:t xml:space="preserve"> </w:t>
      </w:r>
      <w:r>
        <w:t xml:space="preserve">34 anos). </w:t>
      </w:r>
      <w:r w:rsidR="008C0D32">
        <w:rPr>
          <w:color w:val="000000"/>
        </w:rPr>
        <w:t>Apenas alguns</w:t>
      </w:r>
      <w:r>
        <w:rPr>
          <w:color w:val="000000"/>
        </w:rPr>
        <w:t xml:space="preserve"> países comunica</w:t>
      </w:r>
      <w:r w:rsidR="00260884">
        <w:rPr>
          <w:color w:val="000000"/>
        </w:rPr>
        <w:t>ra</w:t>
      </w:r>
      <w:r>
        <w:rPr>
          <w:color w:val="000000"/>
        </w:rPr>
        <w:t xml:space="preserve">m uma prevalência superior a 3 % no consumo de </w:t>
      </w:r>
      <w:r w:rsidR="00A56459">
        <w:rPr>
          <w:color w:val="000000"/>
        </w:rPr>
        <w:t>cocaína entre</w:t>
      </w:r>
      <w:r>
        <w:rPr>
          <w:color w:val="000000"/>
        </w:rPr>
        <w:t xml:space="preserve"> os jovens adultos</w:t>
      </w:r>
      <w:r w:rsidR="008C0D32">
        <w:rPr>
          <w:color w:val="000000"/>
        </w:rPr>
        <w:t xml:space="preserve"> no último ano</w:t>
      </w:r>
      <w:r>
        <w:rPr>
          <w:color w:val="000000"/>
        </w:rPr>
        <w:t xml:space="preserve"> (Figura 2.4). Os dados mais recentes mostram que o consumo de cocaína tem diminuído, sendo que, dos países que publicaram inquéritos desde 2012, oito comunicaram estimativas mais baixas e três estimativas mais elevadas </w:t>
      </w:r>
      <w:r w:rsidR="008C0D32">
        <w:rPr>
          <w:color w:val="000000"/>
        </w:rPr>
        <w:t>em relação</w:t>
      </w:r>
      <w:r w:rsidR="006A214C">
        <w:rPr>
          <w:color w:val="000000"/>
        </w:rPr>
        <w:t xml:space="preserve"> </w:t>
      </w:r>
      <w:r w:rsidR="00733214">
        <w:rPr>
          <w:color w:val="000000"/>
        </w:rPr>
        <w:t>a</w:t>
      </w:r>
      <w:r w:rsidR="008D616F">
        <w:rPr>
          <w:color w:val="000000"/>
        </w:rPr>
        <w:t>o anterior</w:t>
      </w:r>
      <w:r>
        <w:rPr>
          <w:color w:val="000000"/>
        </w:rPr>
        <w:t xml:space="preserve"> inquérito comparável.</w:t>
      </w:r>
    </w:p>
    <w:p w:rsidR="009434EF" w:rsidRPr="00B44912" w:rsidRDefault="009C08C8" w:rsidP="005870C5">
      <w:pPr>
        <w:spacing w:after="260" w:line="260" w:lineRule="exact"/>
        <w:outlineLvl w:val="2"/>
        <w:rPr>
          <w:rFonts w:cs="Arial"/>
          <w:szCs w:val="20"/>
        </w:rPr>
      </w:pPr>
      <w:r>
        <w:lastRenderedPageBreak/>
        <w:t>Na Europa, o</w:t>
      </w:r>
      <w:r w:rsidR="009434EF">
        <w:t xml:space="preserve"> consumo de anfetaminas (</w:t>
      </w:r>
      <w:r w:rsidR="00F26374">
        <w:t>incluindo</w:t>
      </w:r>
      <w:r w:rsidR="009434EF">
        <w:t xml:space="preserve"> a anfetamina e a metanfetamina) </w:t>
      </w:r>
      <w:r w:rsidR="006C62F1">
        <w:t>permanece em geral</w:t>
      </w:r>
      <w:r w:rsidR="00F00553">
        <w:t xml:space="preserve"> </w:t>
      </w:r>
      <w:r w:rsidR="009434EF">
        <w:t xml:space="preserve"> inferior ao da cocaína, </w:t>
      </w:r>
      <w:r w:rsidR="00F26374">
        <w:t>com cerca de 1.6 milhões de adultos a reportarem</w:t>
      </w:r>
      <w:r w:rsidR="009434EF">
        <w:t xml:space="preserve"> o seu consumo no último ano</w:t>
      </w:r>
      <w:r w:rsidR="00F26374">
        <w:t>; sendo que</w:t>
      </w:r>
      <w:r w:rsidR="009434EF">
        <w:t xml:space="preserve"> 1,3 milhões são jovens adultos (</w:t>
      </w:r>
      <w:r w:rsidR="00F26374">
        <w:t xml:space="preserve">entre os </w:t>
      </w:r>
      <w:r w:rsidR="009434EF">
        <w:t>15</w:t>
      </w:r>
      <w:r w:rsidR="00F26374">
        <w:t xml:space="preserve"> e os </w:t>
      </w:r>
      <w:r w:rsidR="009434EF">
        <w:t xml:space="preserve">34 anos) (Figura 2.5). O relatório hoje apresentado </w:t>
      </w:r>
      <w:r w:rsidR="00463C10">
        <w:t xml:space="preserve">realça </w:t>
      </w:r>
      <w:r w:rsidR="009434EF">
        <w:t xml:space="preserve">a existência de novos padrões de consumo de metanfetamina. Na </w:t>
      </w:r>
      <w:r w:rsidR="009434EF">
        <w:rPr>
          <w:b/>
        </w:rPr>
        <w:t>República Checa</w:t>
      </w:r>
      <w:r w:rsidR="009434EF">
        <w:t xml:space="preserve">, por exemplo, verificou-se um </w:t>
      </w:r>
      <w:r w:rsidR="00F26374">
        <w:t xml:space="preserve">aumento </w:t>
      </w:r>
      <w:r w:rsidR="009434EF">
        <w:t>acentuado do seu consumo de alto risco (principalmente</w:t>
      </w:r>
      <w:r w:rsidR="00DC397A">
        <w:t xml:space="preserve"> consumo</w:t>
      </w:r>
      <w:r w:rsidR="009434EF">
        <w:t xml:space="preserve"> injetad</w:t>
      </w:r>
      <w:r w:rsidR="00DC397A">
        <w:t>o</w:t>
      </w:r>
      <w:r w:rsidR="009434EF">
        <w:t>), estimando-se que o número de consumidores tenha aumentado de cerca de 21 000 para mais de 34 000, entre 2007 e 2013. Em vários países europeus tem</w:t>
      </w:r>
      <w:r w:rsidR="00DC397A">
        <w:t xml:space="preserve"> também</w:t>
      </w:r>
      <w:r w:rsidR="009434EF">
        <w:t xml:space="preserve"> sido notificado o consumo injetado de metanfetamina, juntamente com outros estimulantes (por ex</w:t>
      </w:r>
      <w:r w:rsidR="00FD6E99">
        <w:t>.:</w:t>
      </w:r>
      <w:r w:rsidR="009434EF">
        <w:t>, catinonas sintéticas), em pequenos grupos de homens que têm relações sexuais com outros homens. Estas práticas, denominadas «</w:t>
      </w:r>
      <w:r w:rsidR="009434EF">
        <w:rPr>
          <w:i/>
        </w:rPr>
        <w:t>slamming</w:t>
      </w:r>
      <w:r w:rsidR="009434EF">
        <w:t>», suscitam preocupação devido ao risco existente tanto no consumo de droga como no comportamento sexual.</w:t>
      </w:r>
    </w:p>
    <w:p w:rsidR="000C1074" w:rsidRPr="002331A0" w:rsidRDefault="009434EF" w:rsidP="009434EF">
      <w:pPr>
        <w:spacing w:after="260" w:line="260" w:lineRule="exact"/>
        <w:rPr>
          <w:rFonts w:cs="Arial"/>
          <w:szCs w:val="20"/>
        </w:rPr>
      </w:pPr>
      <w:r>
        <w:t>Estima-se que 2,1 milhões de adultos (</w:t>
      </w:r>
      <w:r w:rsidR="00C91C3B">
        <w:t xml:space="preserve">entre os </w:t>
      </w:r>
      <w:r>
        <w:t>15</w:t>
      </w:r>
      <w:r w:rsidR="00D978B5">
        <w:t xml:space="preserve"> </w:t>
      </w:r>
      <w:r w:rsidR="00C91C3B">
        <w:t xml:space="preserve">e os </w:t>
      </w:r>
      <w:r>
        <w:t xml:space="preserve">64 anos) tenham consumido </w:t>
      </w:r>
      <w:r>
        <w:rPr>
          <w:i/>
        </w:rPr>
        <w:t>ecstasy</w:t>
      </w:r>
      <w:r>
        <w:t xml:space="preserve"> no último ano</w:t>
      </w:r>
      <w:r w:rsidR="00C91C3B">
        <w:t>;</w:t>
      </w:r>
      <w:r>
        <w:t xml:space="preserve"> 1,8 milhões dos quais eram jovens adultos (</w:t>
      </w:r>
      <w:r w:rsidR="00C91C3B">
        <w:t xml:space="preserve">entre os </w:t>
      </w:r>
      <w:r>
        <w:t>15</w:t>
      </w:r>
      <w:r w:rsidR="00D978B5">
        <w:t xml:space="preserve"> </w:t>
      </w:r>
      <w:r w:rsidR="00C91C3B">
        <w:t xml:space="preserve">e os </w:t>
      </w:r>
      <w:r>
        <w:t xml:space="preserve">34 anos) (Figura 2.6). Após um período em que os comprimidos vendidos como </w:t>
      </w:r>
      <w:r>
        <w:rPr>
          <w:i/>
        </w:rPr>
        <w:t>ecstasy</w:t>
      </w:r>
      <w:r>
        <w:t xml:space="preserve"> tiveram entre os consumidores a reputação de serem de má qualidade e </w:t>
      </w:r>
      <w:r w:rsidR="000B1B97">
        <w:t xml:space="preserve">estarem </w:t>
      </w:r>
      <w:r>
        <w:t xml:space="preserve">adulterados, há agora maior disponibilidade de pó e comprimidos de MDMA de elevada pureza (ver </w:t>
      </w:r>
      <w:r w:rsidR="00C1492F">
        <w:t xml:space="preserve">em baixo </w:t>
      </w:r>
      <w:r w:rsidR="0093777E">
        <w:t>parágrafo</w:t>
      </w:r>
      <w:r>
        <w:t xml:space="preserve"> relativ</w:t>
      </w:r>
      <w:r w:rsidR="0093777E">
        <w:t>o</w:t>
      </w:r>
      <w:r>
        <w:t xml:space="preserve"> à pureza).</w:t>
      </w:r>
    </w:p>
    <w:p w:rsidR="009434EF" w:rsidRPr="00B40F29" w:rsidRDefault="009434EF" w:rsidP="009434EF">
      <w:pPr>
        <w:spacing w:after="260" w:line="260" w:lineRule="exact"/>
        <w:rPr>
          <w:rFonts w:cs="Arial"/>
          <w:szCs w:val="20"/>
          <w:u w:val="single"/>
        </w:rPr>
      </w:pPr>
      <w:r>
        <w:t>As catinonas sintéticas (por ex</w:t>
      </w:r>
      <w:r w:rsidR="0093777E">
        <w:t>.: a</w:t>
      </w:r>
      <w:r>
        <w:t xml:space="preserve"> mefedrona,</w:t>
      </w:r>
      <w:r w:rsidR="003F778E">
        <w:t xml:space="preserve"> a</w:t>
      </w:r>
      <w:r>
        <w:t xml:space="preserve"> pentedrona e </w:t>
      </w:r>
      <w:r w:rsidR="00402A49">
        <w:t>o</w:t>
      </w:r>
      <w:r w:rsidR="003F778E">
        <w:t xml:space="preserve"> </w:t>
      </w:r>
      <w:r>
        <w:t xml:space="preserve">MDPV) </w:t>
      </w:r>
      <w:r w:rsidR="0093777E">
        <w:t>são agora comuns</w:t>
      </w:r>
      <w:r>
        <w:t xml:space="preserve"> no mercado de estimulantes ilícitos de alguns países europeus e </w:t>
      </w:r>
      <w:r w:rsidR="00D0247D">
        <w:t>são</w:t>
      </w:r>
      <w:r w:rsidR="003F778E">
        <w:t xml:space="preserve"> frequentemente consumidas</w:t>
      </w:r>
      <w:r>
        <w:t xml:space="preserve"> </w:t>
      </w:r>
      <w:r w:rsidR="00D0247D">
        <w:t xml:space="preserve">de forma indistinta com </w:t>
      </w:r>
      <w:r w:rsidR="0093777E">
        <w:t xml:space="preserve">a </w:t>
      </w:r>
      <w:r>
        <w:t xml:space="preserve">anfetamina e o </w:t>
      </w:r>
      <w:r>
        <w:rPr>
          <w:i/>
        </w:rPr>
        <w:t>ecstasy</w:t>
      </w:r>
      <w:r>
        <w:t xml:space="preserve">. O consumo de catinonas sintéticas injetadas, embora não esteja muito disseminado na Europa, constitui um problema </w:t>
      </w:r>
      <w:r w:rsidR="00C90F76">
        <w:t xml:space="preserve">preocupante e </w:t>
      </w:r>
      <w:r>
        <w:t xml:space="preserve">localizado em grupos de consumidores </w:t>
      </w:r>
      <w:r w:rsidR="005401BC">
        <w:t xml:space="preserve">problemáticos </w:t>
      </w:r>
      <w:r>
        <w:t xml:space="preserve">de droga </w:t>
      </w:r>
      <w:r w:rsidR="00C90F76">
        <w:t>em</w:t>
      </w:r>
      <w:r>
        <w:t xml:space="preserve"> alguns países. </w:t>
      </w:r>
      <w:r w:rsidR="00D978B5">
        <w:t xml:space="preserve">A </w:t>
      </w:r>
      <w:r>
        <w:t xml:space="preserve">procura de tratamento </w:t>
      </w:r>
      <w:r w:rsidR="00C90F76">
        <w:t>associado</w:t>
      </w:r>
      <w:r>
        <w:t xml:space="preserve"> ao consumo destas substâncias </w:t>
      </w:r>
      <w:r w:rsidR="00A95F3C">
        <w:t>aumentou</w:t>
      </w:r>
      <w:r w:rsidR="00C90F76">
        <w:t xml:space="preserve"> </w:t>
      </w:r>
      <w:r>
        <w:t xml:space="preserve">na </w:t>
      </w:r>
      <w:r>
        <w:rPr>
          <w:b/>
        </w:rPr>
        <w:t>Hungria</w:t>
      </w:r>
      <w:r>
        <w:t xml:space="preserve">, na </w:t>
      </w:r>
      <w:r>
        <w:rPr>
          <w:b/>
        </w:rPr>
        <w:t>Roménia</w:t>
      </w:r>
      <w:r>
        <w:t xml:space="preserve"> e no</w:t>
      </w:r>
      <w:r>
        <w:rPr>
          <w:b/>
        </w:rPr>
        <w:t xml:space="preserve"> Reino Unido</w:t>
      </w:r>
      <w:r>
        <w:t>.</w:t>
      </w:r>
    </w:p>
    <w:p w:rsidR="000C1074" w:rsidRDefault="004638D3" w:rsidP="004E7B44">
      <w:pPr>
        <w:pStyle w:val="newsContent"/>
      </w:pPr>
      <w:r>
        <w:rPr>
          <w:b/>
        </w:rPr>
        <w:t>M</w:t>
      </w:r>
      <w:r w:rsidR="007C5BE9">
        <w:rPr>
          <w:b/>
        </w:rPr>
        <w:t>aior potência e pureza das drogas suscitam preocupação</w:t>
      </w:r>
    </w:p>
    <w:p w:rsidR="007C5BE9" w:rsidRPr="00362CD8" w:rsidRDefault="007C5BE9" w:rsidP="007C5BE9">
      <w:pPr>
        <w:spacing w:after="260" w:line="260" w:lineRule="exact"/>
        <w:rPr>
          <w:rFonts w:cs="Arial"/>
          <w:szCs w:val="20"/>
        </w:rPr>
      </w:pPr>
      <w:r>
        <w:t xml:space="preserve">Uma </w:t>
      </w:r>
      <w:r w:rsidR="006E0210">
        <w:t>das principais conclusões</w:t>
      </w:r>
      <w:r w:rsidR="00481A50">
        <w:t xml:space="preserve"> </w:t>
      </w:r>
      <w:r>
        <w:t>do re</w:t>
      </w:r>
      <w:r w:rsidR="006A214C">
        <w:t xml:space="preserve">latório deste ano refere-se ao </w:t>
      </w:r>
      <w:r>
        <w:t xml:space="preserve">aumento </w:t>
      </w:r>
      <w:r w:rsidR="008B4FB2">
        <w:t xml:space="preserve">acentuado </w:t>
      </w:r>
      <w:r>
        <w:t>da potência e da pureza das drogas ilícitas mais consumidas na Europa, o qual suscita preocupações com a saúde d</w:t>
      </w:r>
      <w:r w:rsidR="003F3B91">
        <w:t>os</w:t>
      </w:r>
      <w:r>
        <w:t xml:space="preserve"> consumidores que, conscientemente ou não, podem estar a consumir produtos mais fortes (Capítulo 1). As tendências globais </w:t>
      </w:r>
      <w:r w:rsidR="006A214C">
        <w:t>observadas no período de 2006–</w:t>
      </w:r>
      <w:r>
        <w:t>13</w:t>
      </w:r>
      <w:r w:rsidR="004638D3">
        <w:t>, em países que comunicam com regularidade os seus dados, indicam</w:t>
      </w:r>
      <w:r>
        <w:t xml:space="preserve"> que a potência da </w:t>
      </w:r>
      <w:r>
        <w:rPr>
          <w:i/>
        </w:rPr>
        <w:t>cannabis</w:t>
      </w:r>
      <w:r>
        <w:t xml:space="preserve"> (teor de THC), a pureza da cocaína e o teor de MDMA nos comprimidos de </w:t>
      </w:r>
      <w:r>
        <w:rPr>
          <w:i/>
        </w:rPr>
        <w:t>ecstasy</w:t>
      </w:r>
      <w:r>
        <w:t xml:space="preserve"> aumentaram</w:t>
      </w:r>
      <w:r w:rsidR="004638D3">
        <w:t>.</w:t>
      </w:r>
      <w:r>
        <w:t xml:space="preserve"> A pureza da heroína aumentou</w:t>
      </w:r>
      <w:r w:rsidR="004638D3">
        <w:t xml:space="preserve"> também</w:t>
      </w:r>
      <w:r>
        <w:t xml:space="preserve"> em 2013. </w:t>
      </w:r>
      <w:r w:rsidR="006A214C">
        <w:t xml:space="preserve">    </w:t>
      </w:r>
      <w:r w:rsidR="00D978B5">
        <w:t xml:space="preserve"> </w:t>
      </w:r>
      <w:r>
        <w:t xml:space="preserve">A inovação técnica e a concorrência </w:t>
      </w:r>
      <w:r w:rsidR="004638D3">
        <w:t>d</w:t>
      </w:r>
      <w:r>
        <w:t xml:space="preserve">o mercado são dois dos fatores que </w:t>
      </w:r>
      <w:r w:rsidR="006A214C">
        <w:t>estarão a</w:t>
      </w:r>
      <w:r>
        <w:t xml:space="preserve"> impulsionar esta tendência.</w:t>
      </w:r>
    </w:p>
    <w:p w:rsidR="000C1074" w:rsidRDefault="00C0679C" w:rsidP="007C5BE9">
      <w:pPr>
        <w:spacing w:after="260" w:line="260" w:lineRule="exact"/>
        <w:rPr>
          <w:rFonts w:cs="Arial"/>
          <w:szCs w:val="20"/>
        </w:rPr>
      </w:pPr>
      <w:r>
        <w:t>Merecem destaque a</w:t>
      </w:r>
      <w:r w:rsidR="007C5BE9">
        <w:t xml:space="preserve">s preocupações </w:t>
      </w:r>
      <w:r>
        <w:t>relativas aos</w:t>
      </w:r>
      <w:r w:rsidR="007C5BE9">
        <w:t xml:space="preserve"> comprimidos de </w:t>
      </w:r>
      <w:r w:rsidR="007C5BE9">
        <w:rPr>
          <w:i/>
        </w:rPr>
        <w:t>ecstasy</w:t>
      </w:r>
      <w:r w:rsidR="007C5BE9">
        <w:t xml:space="preserve"> com níveis elevados de MDMA, frequentemente vendidos com formas e logótipos distintivos</w:t>
      </w:r>
      <w:r>
        <w:t>.</w:t>
      </w:r>
      <w:r w:rsidR="007C5BE9">
        <w:t xml:space="preserve"> No último ano, o </w:t>
      </w:r>
      <w:r w:rsidR="007C5BE9">
        <w:rPr>
          <w:b/>
        </w:rPr>
        <w:t>EMCDDA</w:t>
      </w:r>
      <w:r w:rsidR="007C5BE9">
        <w:t xml:space="preserve"> e a </w:t>
      </w:r>
      <w:r w:rsidR="007C5BE9">
        <w:rPr>
          <w:b/>
        </w:rPr>
        <w:t>Europol</w:t>
      </w:r>
      <w:r w:rsidR="007C5BE9">
        <w:t xml:space="preserve"> emitiram </w:t>
      </w:r>
      <w:r w:rsidR="00463C10">
        <w:t xml:space="preserve">vários </w:t>
      </w:r>
      <w:r w:rsidR="007C5BE9">
        <w:t xml:space="preserve">alertas de saúde pública relativos aos riscos </w:t>
      </w:r>
      <w:r>
        <w:t>associados</w:t>
      </w:r>
      <w:r w:rsidR="007C5BE9">
        <w:t xml:space="preserve"> </w:t>
      </w:r>
      <w:r>
        <w:t>a</w:t>
      </w:r>
      <w:r w:rsidR="007C5BE9">
        <w:t>o consumo des</w:t>
      </w:r>
      <w:r>
        <w:t>t</w:t>
      </w:r>
      <w:r w:rsidR="007C5BE9">
        <w:t>es produtos. Na sequência de uma série de mortes,</w:t>
      </w:r>
      <w:r w:rsidR="00436218">
        <w:t xml:space="preserve"> foram</w:t>
      </w:r>
      <w:r w:rsidR="007C5BE9">
        <w:t xml:space="preserve"> também emitidos alertas sobre comprimidos vendidos como </w:t>
      </w:r>
      <w:r w:rsidR="007C5BE9">
        <w:rPr>
          <w:i/>
        </w:rPr>
        <w:t>ecstasy</w:t>
      </w:r>
      <w:r w:rsidR="007C5BE9">
        <w:t xml:space="preserve">, </w:t>
      </w:r>
      <w:r w:rsidR="00436218">
        <w:t>contendo</w:t>
      </w:r>
      <w:r w:rsidR="007C5BE9">
        <w:t xml:space="preserve"> outras substâncias nocivas, como a PMMA.</w:t>
      </w:r>
    </w:p>
    <w:p w:rsidR="000C1074" w:rsidRDefault="000D1C68" w:rsidP="007C5BE9">
      <w:pPr>
        <w:spacing w:after="260" w:line="260" w:lineRule="exact"/>
        <w:rPr>
          <w:rFonts w:cs="Arial"/>
          <w:b/>
          <w:szCs w:val="20"/>
        </w:rPr>
      </w:pPr>
      <w:r>
        <w:rPr>
          <w:b/>
        </w:rPr>
        <w:t>«Novas drogas» detetadas ao ritmo de duas por semana</w:t>
      </w:r>
    </w:p>
    <w:p w:rsidR="00C175B5" w:rsidRPr="0080459C" w:rsidRDefault="00C175B5" w:rsidP="004E7B44">
      <w:pPr>
        <w:pStyle w:val="newsContent"/>
      </w:pPr>
      <w:r>
        <w:t xml:space="preserve">No último ano, </w:t>
      </w:r>
      <w:r w:rsidR="00515EE6">
        <w:t xml:space="preserve">foram </w:t>
      </w:r>
      <w:r w:rsidR="006A214C">
        <w:t>detectadas</w:t>
      </w:r>
      <w:r w:rsidR="00515EE6">
        <w:t xml:space="preserve"> </w:t>
      </w:r>
      <w:r w:rsidR="00D978B5">
        <w:t>na UE novas</w:t>
      </w:r>
      <w:r>
        <w:t xml:space="preserve"> substâncias psicoativas </w:t>
      </w:r>
      <w:r w:rsidR="00D978B5">
        <w:t>(NSP</w:t>
      </w:r>
      <w:r w:rsidR="00515EE6">
        <w:t xml:space="preserve"> </w:t>
      </w:r>
      <w:r>
        <w:t>ou «novas drogas», frequentemente vendidas como</w:t>
      </w:r>
      <w:r w:rsidR="00515EE6">
        <w:t xml:space="preserve"> </w:t>
      </w:r>
      <w:r w:rsidR="00515EE6" w:rsidRPr="00D978B5">
        <w:t>euforizantes legais</w:t>
      </w:r>
      <w:r>
        <w:t xml:space="preserve"> «</w:t>
      </w:r>
      <w:r>
        <w:rPr>
          <w:i/>
        </w:rPr>
        <w:t>legal highs</w:t>
      </w:r>
      <w:r>
        <w:t>»</w:t>
      </w:r>
      <w:r w:rsidR="00980598">
        <w:t>)</w:t>
      </w:r>
      <w:r>
        <w:t xml:space="preserve">, ao ritmo de cerca de duas por semana. </w:t>
      </w:r>
      <w:r w:rsidR="00FD4BB2">
        <w:t xml:space="preserve">Em 2014, foram notificadas </w:t>
      </w:r>
      <w:r w:rsidR="00D978B5">
        <w:t>pelo sistema</w:t>
      </w:r>
      <w:r>
        <w:rPr>
          <w:b/>
        </w:rPr>
        <w:t xml:space="preserve"> de </w:t>
      </w:r>
      <w:r w:rsidR="00FD4BB2">
        <w:rPr>
          <w:b/>
        </w:rPr>
        <w:t>a</w:t>
      </w:r>
      <w:r>
        <w:rPr>
          <w:b/>
        </w:rPr>
        <w:t xml:space="preserve">lerta </w:t>
      </w:r>
      <w:r w:rsidR="00FD4BB2">
        <w:rPr>
          <w:b/>
        </w:rPr>
        <w:t>r</w:t>
      </w:r>
      <w:r>
        <w:rPr>
          <w:b/>
        </w:rPr>
        <w:t>ápido da UE</w:t>
      </w:r>
      <w:r w:rsidR="00D978B5">
        <w:rPr>
          <w:b/>
        </w:rPr>
        <w:t xml:space="preserve"> (</w:t>
      </w:r>
      <w:r w:rsidR="00515EE6">
        <w:rPr>
          <w:b/>
        </w:rPr>
        <w:t>EWS)</w:t>
      </w:r>
      <w:r>
        <w:t xml:space="preserve"> </w:t>
      </w:r>
      <w:r w:rsidR="00FD4BB2">
        <w:t xml:space="preserve">um total de 101 novas </w:t>
      </w:r>
      <w:r w:rsidR="00D978B5">
        <w:t>substâncias (um</w:t>
      </w:r>
      <w:r>
        <w:t xml:space="preserve"> aumento </w:t>
      </w:r>
      <w:r w:rsidR="00032E94">
        <w:t>em relação</w:t>
      </w:r>
      <w:r>
        <w:t xml:space="preserve"> às 81 notificadas em 2013), mantendo-se assim, a tendência para o crescimento do número de substâncias notificadas </w:t>
      </w:r>
      <w:r w:rsidR="00D978B5">
        <w:t>anualmente (Figura</w:t>
      </w:r>
      <w:r>
        <w:t xml:space="preserve"> 1.12). </w:t>
      </w:r>
      <w:r w:rsidR="0067509A">
        <w:t>Este número</w:t>
      </w:r>
      <w:r w:rsidR="00912017">
        <w:t xml:space="preserve"> eleva para um total de mais de 450 </w:t>
      </w:r>
      <w:r w:rsidR="00D978B5">
        <w:t>substâncias que</w:t>
      </w:r>
      <w:r>
        <w:t xml:space="preserve"> a agência está a monitorizar, </w:t>
      </w:r>
      <w:r w:rsidR="000B0AED">
        <w:t xml:space="preserve">sendo que </w:t>
      </w:r>
      <w:r>
        <w:t xml:space="preserve">mais de metade </w:t>
      </w:r>
      <w:r w:rsidR="00D978B5">
        <w:t>foram identificadas</w:t>
      </w:r>
      <w:r>
        <w:t xml:space="preserve"> nos últimos três anos.</w:t>
      </w:r>
    </w:p>
    <w:p w:rsidR="006A214C" w:rsidRDefault="00C175B5" w:rsidP="004E7B44">
      <w:pPr>
        <w:pStyle w:val="newsContent"/>
      </w:pPr>
      <w:r>
        <w:t>Em 2014, a lista de substâncias notificadas foi de novo dominada por dois grupos:</w:t>
      </w:r>
      <w:r w:rsidR="007E7249">
        <w:t xml:space="preserve"> as</w:t>
      </w:r>
      <w:r>
        <w:t xml:space="preserve"> catinonas sintéticas (31 substâncias) e </w:t>
      </w:r>
      <w:r w:rsidR="003F751B">
        <w:t xml:space="preserve">os </w:t>
      </w:r>
      <w:r>
        <w:t>canabin</w:t>
      </w:r>
      <w:r w:rsidR="00894794">
        <w:t>ó</w:t>
      </w:r>
      <w:r>
        <w:t>ides sintéticos (30 substâncias)</w:t>
      </w:r>
      <w:r w:rsidR="00D978B5">
        <w:t xml:space="preserve"> —</w:t>
      </w:r>
      <w:r>
        <w:t xml:space="preserve"> muitas vezes vendid</w:t>
      </w:r>
      <w:r w:rsidR="00DE7EA9">
        <w:t>a</w:t>
      </w:r>
      <w:r>
        <w:t xml:space="preserve">s, respetivamente, como substitutos legais dos estimulantes e da </w:t>
      </w:r>
      <w:r>
        <w:rPr>
          <w:i/>
        </w:rPr>
        <w:t>cannabis</w:t>
      </w:r>
      <w:r>
        <w:t xml:space="preserve">. Trata-se dos dois maiores </w:t>
      </w:r>
    </w:p>
    <w:p w:rsidR="006A214C" w:rsidRDefault="006A214C">
      <w:pPr>
        <w:rPr>
          <w:rFonts w:cs="Arial"/>
          <w:szCs w:val="20"/>
        </w:rPr>
      </w:pPr>
      <w:r>
        <w:br w:type="page"/>
      </w:r>
    </w:p>
    <w:p w:rsidR="00C175B5" w:rsidRPr="00F613F0" w:rsidRDefault="00C175B5" w:rsidP="004E7B44">
      <w:pPr>
        <w:pStyle w:val="newsContent"/>
      </w:pPr>
      <w:r>
        <w:lastRenderedPageBreak/>
        <w:t xml:space="preserve">grupos monitorizados pelo </w:t>
      </w:r>
      <w:r w:rsidR="00775482">
        <w:rPr>
          <w:b/>
        </w:rPr>
        <w:t>s</w:t>
      </w:r>
      <w:r>
        <w:rPr>
          <w:b/>
        </w:rPr>
        <w:t xml:space="preserve">istema de </w:t>
      </w:r>
      <w:r w:rsidR="00775482">
        <w:rPr>
          <w:b/>
        </w:rPr>
        <w:t>a</w:t>
      </w:r>
      <w:r>
        <w:rPr>
          <w:b/>
        </w:rPr>
        <w:t xml:space="preserve">lerta </w:t>
      </w:r>
      <w:r w:rsidR="00775482">
        <w:rPr>
          <w:b/>
        </w:rPr>
        <w:t>r</w:t>
      </w:r>
      <w:r>
        <w:rPr>
          <w:b/>
        </w:rPr>
        <w:t>ápido</w:t>
      </w:r>
      <w:r w:rsidR="00894794">
        <w:rPr>
          <w:b/>
        </w:rPr>
        <w:t xml:space="preserve"> da EU (EWS)</w:t>
      </w:r>
      <w:r>
        <w:t xml:space="preserve"> e, em conjunto, representam quase dois terços das novas drogas notificadas em 2014. Os novos dados referentes às apreensões indicam que, em 2013, foram notificadas cerca de 35 000 apreensões de novas substâncias psicoativas na </w:t>
      </w:r>
      <w:r w:rsidR="00894794">
        <w:t>UE</w:t>
      </w:r>
      <w:r>
        <w:t xml:space="preserve"> (embora este número deva ser considerado como uma estimativa mínima, devido à ausência de uma comunicação sistemática de dados nesta área). Dessas substâncias, as mais apreendidas foram os canabin</w:t>
      </w:r>
      <w:r w:rsidR="00894794">
        <w:t>ó</w:t>
      </w:r>
      <w:r>
        <w:t>ides sintéticos e as catinonas sintéticas (Figura 1.2).</w:t>
      </w:r>
    </w:p>
    <w:p w:rsidR="00C175B5" w:rsidRPr="004E7B44" w:rsidRDefault="00C175B5" w:rsidP="004E7B44">
      <w:pPr>
        <w:pStyle w:val="newsContent"/>
      </w:pPr>
      <w:r>
        <w:t xml:space="preserve">Novos estudos e inquéritos começam agora </w:t>
      </w:r>
      <w:r w:rsidR="005822A5">
        <w:t>a revelar dados</w:t>
      </w:r>
      <w:r w:rsidR="00C645E3">
        <w:t xml:space="preserve"> importantes</w:t>
      </w:r>
      <w:r w:rsidR="00DE7EA9">
        <w:t xml:space="preserve"> </w:t>
      </w:r>
      <w:r>
        <w:t xml:space="preserve">sobre o consumo de novas substâncias psicoativas, sendo que nove países já incluem a sua prevalência nos inquéritos nacionais sobre a droga. </w:t>
      </w:r>
      <w:r w:rsidR="00DE7EA9">
        <w:t>Na maior parte dos países da EU o</w:t>
      </w:r>
      <w:r>
        <w:t xml:space="preserve"> consumo destas substâncias parece ter uma prevalência baixa</w:t>
      </w:r>
      <w:r w:rsidR="00DE7EA9">
        <w:t>.</w:t>
      </w:r>
      <w:r>
        <w:t xml:space="preserve"> </w:t>
      </w:r>
      <w:r w:rsidR="00DE7EA9">
        <w:t>M</w:t>
      </w:r>
      <w:r>
        <w:t>as, apesar d</w:t>
      </w:r>
      <w:r w:rsidR="00DE7EA9">
        <w:t xml:space="preserve">o </w:t>
      </w:r>
      <w:r w:rsidR="006A214C">
        <w:t>consumo limitado</w:t>
      </w:r>
      <w:r w:rsidR="00DE7EA9">
        <w:t xml:space="preserve"> destas substâncias</w:t>
      </w:r>
      <w:r>
        <w:t xml:space="preserve"> </w:t>
      </w:r>
      <w:r w:rsidR="00A1145A">
        <w:t xml:space="preserve">este </w:t>
      </w:r>
      <w:r>
        <w:t xml:space="preserve">pode ser preocupante devido à elevada toxicidade que algumas apresentam. As respostas </w:t>
      </w:r>
      <w:r w:rsidR="00463C10">
        <w:t xml:space="preserve">sociais e </w:t>
      </w:r>
      <w:r>
        <w:t xml:space="preserve">de saúde </w:t>
      </w:r>
      <w:r w:rsidR="00DB7ED2">
        <w:t>às NSP</w:t>
      </w:r>
      <w:r>
        <w:t xml:space="preserve"> estão a </w:t>
      </w:r>
      <w:r w:rsidR="00181C7C">
        <w:t>desenvolver</w:t>
      </w:r>
      <w:r>
        <w:t>-se e</w:t>
      </w:r>
      <w:r w:rsidR="00181C7C">
        <w:t xml:space="preserve"> refletem </w:t>
      </w:r>
      <w:r w:rsidR="006A214C">
        <w:t xml:space="preserve">a </w:t>
      </w:r>
      <w:r>
        <w:t>gama</w:t>
      </w:r>
      <w:r w:rsidR="00181C7C">
        <w:t xml:space="preserve"> completa</w:t>
      </w:r>
      <w:r>
        <w:t xml:space="preserve"> de respostas dadas às drogas tradicionais (por ex</w:t>
      </w:r>
      <w:r w:rsidR="00DB7ED2">
        <w:t>.:</w:t>
      </w:r>
      <w:r>
        <w:t>, educação sobre droga</w:t>
      </w:r>
      <w:r w:rsidR="00463C10">
        <w:t>s</w:t>
      </w:r>
      <w:r>
        <w:t>, intervenções</w:t>
      </w:r>
      <w:r w:rsidR="00DB7ED2">
        <w:t xml:space="preserve"> através</w:t>
      </w:r>
      <w:r w:rsidR="006A214C">
        <w:t xml:space="preserve"> </w:t>
      </w:r>
      <w:r w:rsidR="00DB7ED2">
        <w:t>d</w:t>
      </w:r>
      <w:r>
        <w:t>a Internet e programas de troca de agulhas e seringas).</w:t>
      </w:r>
    </w:p>
    <w:p w:rsidR="0001152D" w:rsidRPr="00AC750C" w:rsidRDefault="0001152D" w:rsidP="0001152D">
      <w:pPr>
        <w:spacing w:after="260" w:line="260" w:lineRule="exact"/>
        <w:rPr>
          <w:rFonts w:cs="Arial"/>
          <w:b/>
          <w:szCs w:val="20"/>
        </w:rPr>
      </w:pPr>
      <w:r>
        <w:rPr>
          <w:b/>
        </w:rPr>
        <w:t>A Internet e as aplicações informáticas: os mercados virtuais de droga emergentes</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A Internet desempenha um papel cada vez </w:t>
      </w:r>
      <w:r w:rsidR="00DB7ED2">
        <w:rPr>
          <w:rFonts w:ascii="Arial" w:hAnsi="Arial"/>
          <w:sz w:val="20"/>
        </w:rPr>
        <w:t>mais importante</w:t>
      </w:r>
      <w:r>
        <w:rPr>
          <w:rFonts w:ascii="Arial" w:hAnsi="Arial"/>
          <w:sz w:val="20"/>
        </w:rPr>
        <w:t xml:space="preserve"> </w:t>
      </w:r>
      <w:r w:rsidR="00DB7ED2">
        <w:rPr>
          <w:rFonts w:ascii="Arial" w:hAnsi="Arial"/>
          <w:sz w:val="20"/>
        </w:rPr>
        <w:t>na oferta</w:t>
      </w:r>
      <w:r>
        <w:rPr>
          <w:rFonts w:ascii="Arial" w:hAnsi="Arial"/>
          <w:sz w:val="20"/>
        </w:rPr>
        <w:t xml:space="preserve"> e na comercialização de drogas </w:t>
      </w:r>
      <w:r w:rsidR="00DB7ED2">
        <w:rPr>
          <w:rFonts w:ascii="Arial" w:hAnsi="Arial"/>
          <w:sz w:val="20"/>
        </w:rPr>
        <w:t>a</w:t>
      </w:r>
      <w:r>
        <w:rPr>
          <w:rFonts w:ascii="Arial" w:hAnsi="Arial"/>
          <w:sz w:val="20"/>
        </w:rPr>
        <w:t xml:space="preserve">os europeus, </w:t>
      </w:r>
      <w:r w:rsidR="006A214C">
        <w:rPr>
          <w:rFonts w:ascii="Arial" w:hAnsi="Arial"/>
          <w:sz w:val="20"/>
        </w:rPr>
        <w:t>disponibilizando</w:t>
      </w:r>
      <w:r>
        <w:rPr>
          <w:rFonts w:ascii="Arial" w:hAnsi="Arial"/>
          <w:sz w:val="20"/>
        </w:rPr>
        <w:t xml:space="preserve"> tanto as novas drogas </w:t>
      </w:r>
      <w:r w:rsidR="005F70E2">
        <w:rPr>
          <w:rFonts w:ascii="Arial" w:hAnsi="Arial"/>
          <w:sz w:val="20"/>
        </w:rPr>
        <w:t>psicoactivas (NSP)</w:t>
      </w:r>
      <w:r>
        <w:rPr>
          <w:rFonts w:ascii="Arial" w:hAnsi="Arial"/>
          <w:sz w:val="20"/>
        </w:rPr>
        <w:t xml:space="preserve"> como as drogas tradicionais</w:t>
      </w:r>
      <w:r w:rsidR="001E69FB">
        <w:rPr>
          <w:rFonts w:ascii="Arial" w:hAnsi="Arial"/>
          <w:sz w:val="20"/>
        </w:rPr>
        <w:t xml:space="preserve"> para venda em linha</w:t>
      </w:r>
      <w:r>
        <w:rPr>
          <w:rFonts w:ascii="Arial" w:hAnsi="Arial"/>
          <w:sz w:val="20"/>
        </w:rPr>
        <w:t>. A utilização da «Internet de superfície» (acessível através dos motores de busca comuns) para</w:t>
      </w:r>
      <w:r w:rsidR="00441940">
        <w:rPr>
          <w:rFonts w:ascii="Arial" w:hAnsi="Arial"/>
          <w:sz w:val="20"/>
        </w:rPr>
        <w:t xml:space="preserve"> a venda</w:t>
      </w:r>
      <w:r>
        <w:rPr>
          <w:rFonts w:ascii="Arial" w:hAnsi="Arial"/>
          <w:sz w:val="20"/>
        </w:rPr>
        <w:t xml:space="preserve"> </w:t>
      </w:r>
      <w:r w:rsidR="00441940">
        <w:rPr>
          <w:rFonts w:ascii="Arial" w:hAnsi="Arial"/>
          <w:sz w:val="20"/>
        </w:rPr>
        <w:t>de</w:t>
      </w:r>
      <w:r>
        <w:rPr>
          <w:rFonts w:ascii="Arial" w:hAnsi="Arial"/>
          <w:sz w:val="20"/>
        </w:rPr>
        <w:t xml:space="preserve"> novas drogas mereceu mais atenção na última década e a monitorização levada a cabo pelo </w:t>
      </w:r>
      <w:r>
        <w:rPr>
          <w:rFonts w:ascii="Arial" w:hAnsi="Arial"/>
          <w:b/>
          <w:sz w:val="20"/>
        </w:rPr>
        <w:t>EMCDDA</w:t>
      </w:r>
      <w:r>
        <w:rPr>
          <w:rFonts w:ascii="Arial" w:hAnsi="Arial"/>
          <w:sz w:val="20"/>
        </w:rPr>
        <w:t xml:space="preserve"> identificou cerca de 650 sítios </w:t>
      </w:r>
      <w:r>
        <w:rPr>
          <w:rFonts w:ascii="Arial" w:hAnsi="Arial"/>
          <w:i/>
          <w:sz w:val="20"/>
        </w:rPr>
        <w:t>Web</w:t>
      </w:r>
      <w:r>
        <w:rPr>
          <w:rFonts w:ascii="Arial" w:hAnsi="Arial"/>
          <w:sz w:val="20"/>
        </w:rPr>
        <w:t xml:space="preserve"> que vendem </w:t>
      </w:r>
      <w:r w:rsidR="00441940" w:rsidRPr="00D978B5">
        <w:rPr>
          <w:rFonts w:ascii="Arial" w:hAnsi="Arial"/>
          <w:sz w:val="20"/>
        </w:rPr>
        <w:t>euforizantes legais</w:t>
      </w:r>
      <w:r w:rsidR="00441940">
        <w:rPr>
          <w:rFonts w:ascii="Arial" w:hAnsi="Arial"/>
          <w:sz w:val="20"/>
        </w:rPr>
        <w:t xml:space="preserve"> </w:t>
      </w:r>
      <w:r w:rsidR="00D978B5">
        <w:rPr>
          <w:rFonts w:ascii="Arial" w:hAnsi="Arial"/>
          <w:sz w:val="20"/>
        </w:rPr>
        <w:t xml:space="preserve">        </w:t>
      </w:r>
      <w:r>
        <w:rPr>
          <w:rFonts w:ascii="Arial" w:hAnsi="Arial"/>
          <w:sz w:val="20"/>
        </w:rPr>
        <w:t>«</w:t>
      </w:r>
      <w:r>
        <w:rPr>
          <w:rFonts w:ascii="Arial" w:hAnsi="Arial"/>
          <w:i/>
          <w:sz w:val="20"/>
        </w:rPr>
        <w:t>legal highs</w:t>
      </w:r>
      <w:r>
        <w:rPr>
          <w:rFonts w:ascii="Arial" w:hAnsi="Arial"/>
          <w:sz w:val="20"/>
        </w:rPr>
        <w:t xml:space="preserve">» aos europeus. </w:t>
      </w:r>
      <w:r w:rsidR="00BE3D1A">
        <w:rPr>
          <w:rFonts w:ascii="Arial" w:hAnsi="Arial"/>
          <w:sz w:val="20"/>
        </w:rPr>
        <w:t xml:space="preserve">A </w:t>
      </w:r>
      <w:r>
        <w:rPr>
          <w:rFonts w:ascii="Arial" w:hAnsi="Arial"/>
          <w:sz w:val="20"/>
        </w:rPr>
        <w:t>venda de drogas ilícitas em «criptomercados» ou mercados em linha na «</w:t>
      </w:r>
      <w:r>
        <w:rPr>
          <w:rFonts w:ascii="Arial" w:hAnsi="Arial"/>
          <w:i/>
          <w:sz w:val="20"/>
        </w:rPr>
        <w:t>deep web</w:t>
      </w:r>
      <w:r>
        <w:rPr>
          <w:rFonts w:ascii="Arial" w:hAnsi="Arial"/>
          <w:sz w:val="20"/>
        </w:rPr>
        <w:t xml:space="preserve">» (acessíveis através de </w:t>
      </w:r>
      <w:r>
        <w:rPr>
          <w:rFonts w:ascii="Arial" w:hAnsi="Arial"/>
          <w:i/>
          <w:sz w:val="20"/>
        </w:rPr>
        <w:t>software</w:t>
      </w:r>
      <w:r>
        <w:rPr>
          <w:rFonts w:ascii="Arial" w:hAnsi="Arial"/>
          <w:sz w:val="20"/>
        </w:rPr>
        <w:t xml:space="preserve"> </w:t>
      </w:r>
      <w:r w:rsidR="00463C10">
        <w:rPr>
          <w:rFonts w:ascii="Arial" w:hAnsi="Arial"/>
          <w:sz w:val="20"/>
        </w:rPr>
        <w:t>criptado</w:t>
      </w:r>
      <w:r>
        <w:rPr>
          <w:rFonts w:ascii="Arial" w:hAnsi="Arial"/>
          <w:sz w:val="20"/>
        </w:rPr>
        <w:t>)</w:t>
      </w:r>
      <w:r w:rsidR="00BE3D1A">
        <w:rPr>
          <w:rFonts w:ascii="Arial" w:hAnsi="Arial"/>
          <w:sz w:val="20"/>
        </w:rPr>
        <w:t xml:space="preserve"> é um avanço preocupante</w:t>
      </w:r>
      <w:r>
        <w:rPr>
          <w:rFonts w:ascii="Arial" w:hAnsi="Arial"/>
          <w:sz w:val="20"/>
        </w:rPr>
        <w:t>. Por este meio, é possível trocar bens e serviços anonimamente, muitas vezes utilizando «criptomoedas» (por exemplo, Bitcoin) para ocultar as transações. Estão igualmente a surgir «mercados cinzentos», com sítios que operam tanto na Internet de superfície como na «</w:t>
      </w:r>
      <w:r>
        <w:rPr>
          <w:rFonts w:ascii="Arial" w:hAnsi="Arial"/>
          <w:i/>
          <w:sz w:val="20"/>
        </w:rPr>
        <w:t>deep web</w:t>
      </w:r>
      <w:r>
        <w:rPr>
          <w:rFonts w:ascii="Arial" w:hAnsi="Arial"/>
          <w:sz w:val="20"/>
        </w:rPr>
        <w:t xml:space="preserve">». O relatório </w:t>
      </w:r>
      <w:r w:rsidR="00CA39B3">
        <w:rPr>
          <w:rFonts w:ascii="Arial" w:hAnsi="Arial"/>
          <w:sz w:val="20"/>
        </w:rPr>
        <w:t>destaca</w:t>
      </w:r>
      <w:r>
        <w:rPr>
          <w:rFonts w:ascii="Arial" w:hAnsi="Arial"/>
          <w:sz w:val="20"/>
        </w:rPr>
        <w:t xml:space="preserve"> o papel ativo desempenhado pelas redes sociais e as aplicações informáticas nos mercados da droga, </w:t>
      </w:r>
      <w:r w:rsidR="007E020E">
        <w:rPr>
          <w:rFonts w:ascii="Arial" w:hAnsi="Arial"/>
          <w:sz w:val="20"/>
        </w:rPr>
        <w:t xml:space="preserve">quer </w:t>
      </w:r>
      <w:r>
        <w:rPr>
          <w:rFonts w:ascii="Arial" w:hAnsi="Arial"/>
          <w:sz w:val="20"/>
        </w:rPr>
        <w:t>se</w:t>
      </w:r>
      <w:r w:rsidR="007E020E">
        <w:rPr>
          <w:rFonts w:ascii="Arial" w:hAnsi="Arial"/>
          <w:sz w:val="20"/>
        </w:rPr>
        <w:t>jam</w:t>
      </w:r>
      <w:r>
        <w:rPr>
          <w:rFonts w:ascii="Arial" w:hAnsi="Arial"/>
          <w:sz w:val="20"/>
        </w:rPr>
        <w:t xml:space="preserve"> utilizadas diretamente na compra e venda de drogas, ou indiretamente na sua comercialização, na formação da opinião ou na partilha de experiências.</w:t>
      </w:r>
    </w:p>
    <w:p w:rsidR="000C1074" w:rsidRDefault="0001152D" w:rsidP="0002521E">
      <w:pPr>
        <w:spacing w:after="120"/>
        <w:rPr>
          <w:rFonts w:cs="Arial"/>
          <w:szCs w:val="20"/>
        </w:rPr>
      </w:pPr>
      <w:r>
        <w:t>«O crescimento dos mercados de droga em linha e virtuais constitui um grande desafio para a</w:t>
      </w:r>
      <w:r w:rsidR="008F5294">
        <w:t xml:space="preserve"> aplicação da lei e para a</w:t>
      </w:r>
      <w:r>
        <w:t xml:space="preserve">s políticas </w:t>
      </w:r>
      <w:r w:rsidR="008F5294">
        <w:t xml:space="preserve">de </w:t>
      </w:r>
      <w:r w:rsidR="006A214C">
        <w:t>luta contra</w:t>
      </w:r>
      <w:r>
        <w:t xml:space="preserve"> a droga», afirma o relatório</w:t>
      </w:r>
      <w:r w:rsidR="007E020E">
        <w:t>.</w:t>
      </w:r>
      <w:r>
        <w:t xml:space="preserve"> «Será necessário adaptar os modelos regulamentares existentes para que funcionem num contexto</w:t>
      </w:r>
      <w:r w:rsidR="00E9241E">
        <w:t xml:space="preserve"> </w:t>
      </w:r>
      <w:r w:rsidR="00CA39B3">
        <w:t>global</w:t>
      </w:r>
      <w:r>
        <w:t xml:space="preserve"> e virtual».</w:t>
      </w:r>
    </w:p>
    <w:p w:rsidR="0080459C" w:rsidRPr="0084714F" w:rsidRDefault="00EB603B" w:rsidP="00E17CFE">
      <w:pPr>
        <w:spacing w:afterLines="80" w:after="192"/>
        <w:rPr>
          <w:rStyle w:val="header-line-3"/>
          <w:rFonts w:cs="Arial"/>
          <w:szCs w:val="20"/>
        </w:rPr>
      </w:pPr>
      <w:r>
        <w:rPr>
          <w:rStyle w:val="header-line-3"/>
        </w:rPr>
        <w:t>-----</w:t>
      </w:r>
    </w:p>
    <w:p w:rsidR="000C1074" w:rsidRDefault="00DB5716" w:rsidP="00627B4D">
      <w:pPr>
        <w:spacing w:afterLines="80" w:after="192"/>
        <w:rPr>
          <w:rStyle w:val="header-line-3"/>
          <w:rFonts w:cs="Arial"/>
          <w:color w:val="FF0000"/>
          <w:szCs w:val="20"/>
          <w:highlight w:val="yellow"/>
        </w:rPr>
      </w:pPr>
      <w:r>
        <w:rPr>
          <w:rStyle w:val="header-line-3"/>
          <w:b/>
        </w:rPr>
        <w:t>João Goulão, Presidente do Conselho de Administração do EMCDDA</w:t>
      </w:r>
      <w:r>
        <w:rPr>
          <w:rStyle w:val="header-line-3"/>
        </w:rPr>
        <w:t xml:space="preserve">, conclui: «Esta vigésima análise do fenómeno da droga na Europa </w:t>
      </w:r>
      <w:r w:rsidR="00980598">
        <w:rPr>
          <w:rStyle w:val="header-line-3"/>
        </w:rPr>
        <w:t>revela</w:t>
      </w:r>
      <w:r>
        <w:rPr>
          <w:rStyle w:val="header-line-3"/>
        </w:rPr>
        <w:t xml:space="preserve"> </w:t>
      </w:r>
      <w:r w:rsidR="00D9052E">
        <w:rPr>
          <w:rStyle w:val="header-line-3"/>
        </w:rPr>
        <w:t>as mudanças que ocorreram</w:t>
      </w:r>
      <w:r>
        <w:rPr>
          <w:rStyle w:val="header-line-3"/>
        </w:rPr>
        <w:t xml:space="preserve"> desde o primeiro relatório do </w:t>
      </w:r>
      <w:r w:rsidRPr="00373D09">
        <w:rPr>
          <w:rStyle w:val="header-line-3"/>
          <w:b/>
        </w:rPr>
        <w:t>EMCDDA</w:t>
      </w:r>
      <w:r>
        <w:rPr>
          <w:rStyle w:val="header-line-3"/>
        </w:rPr>
        <w:t>, publicado em 1996, e</w:t>
      </w:r>
      <w:r w:rsidR="00D9052E">
        <w:rPr>
          <w:rStyle w:val="header-line-3"/>
        </w:rPr>
        <w:t xml:space="preserve"> mostra</w:t>
      </w:r>
      <w:r>
        <w:rPr>
          <w:rStyle w:val="header-line-3"/>
        </w:rPr>
        <w:t xml:space="preserve"> até que ponto a agência </w:t>
      </w:r>
      <w:r w:rsidR="00D9052E">
        <w:rPr>
          <w:rStyle w:val="header-line-3"/>
        </w:rPr>
        <w:t>melhorou o</w:t>
      </w:r>
      <w:r>
        <w:rPr>
          <w:rStyle w:val="header-line-3"/>
        </w:rPr>
        <w:t xml:space="preserve"> </w:t>
      </w:r>
      <w:r w:rsidR="00D9052E">
        <w:rPr>
          <w:rStyle w:val="header-line-3"/>
        </w:rPr>
        <w:t>seu</w:t>
      </w:r>
      <w:r>
        <w:rPr>
          <w:rStyle w:val="header-line-3"/>
        </w:rPr>
        <w:t xml:space="preserve"> co</w:t>
      </w:r>
      <w:r w:rsidR="00D9052E">
        <w:rPr>
          <w:rStyle w:val="header-line-3"/>
        </w:rPr>
        <w:t>nhecimento</w:t>
      </w:r>
      <w:r>
        <w:rPr>
          <w:rStyle w:val="header-line-3"/>
        </w:rPr>
        <w:t xml:space="preserve"> </w:t>
      </w:r>
      <w:r w:rsidR="00D9052E">
        <w:rPr>
          <w:rStyle w:val="header-line-3"/>
        </w:rPr>
        <w:t>n</w:t>
      </w:r>
      <w:r>
        <w:rPr>
          <w:rStyle w:val="header-line-3"/>
        </w:rPr>
        <w:t>est</w:t>
      </w:r>
      <w:r w:rsidR="00D9052E">
        <w:rPr>
          <w:rStyle w:val="header-line-3"/>
        </w:rPr>
        <w:t>a</w:t>
      </w:r>
      <w:r>
        <w:rPr>
          <w:rStyle w:val="header-line-3"/>
        </w:rPr>
        <w:t xml:space="preserve"> </w:t>
      </w:r>
      <w:r w:rsidR="006A214C">
        <w:rPr>
          <w:rStyle w:val="header-line-3"/>
        </w:rPr>
        <w:t xml:space="preserve"> </w:t>
      </w:r>
      <w:r w:rsidR="00013220">
        <w:rPr>
          <w:rStyle w:val="header-line-3"/>
        </w:rPr>
        <w:t>questão</w:t>
      </w:r>
      <w:r>
        <w:rPr>
          <w:rStyle w:val="header-line-3"/>
        </w:rPr>
        <w:t>. A complexidade do fenómeno da droga é agora muito maior,</w:t>
      </w:r>
      <w:r w:rsidR="00696365">
        <w:rPr>
          <w:rStyle w:val="header-line-3"/>
        </w:rPr>
        <w:t xml:space="preserve"> com</w:t>
      </w:r>
      <w:r>
        <w:rPr>
          <w:rStyle w:val="header-line-3"/>
        </w:rPr>
        <w:t xml:space="preserve"> </w:t>
      </w:r>
      <w:r w:rsidR="00463C10">
        <w:rPr>
          <w:rStyle w:val="header-line-3"/>
        </w:rPr>
        <w:t xml:space="preserve">muitas </w:t>
      </w:r>
      <w:r>
        <w:rPr>
          <w:rStyle w:val="header-line-3"/>
        </w:rPr>
        <w:t>das substâncias</w:t>
      </w:r>
      <w:r w:rsidR="00980598">
        <w:rPr>
          <w:rStyle w:val="header-line-3"/>
        </w:rPr>
        <w:t xml:space="preserve"> que</w:t>
      </w:r>
      <w:r>
        <w:rPr>
          <w:rStyle w:val="header-line-3"/>
        </w:rPr>
        <w:t xml:space="preserve"> </w:t>
      </w:r>
      <w:r w:rsidR="00E9241E">
        <w:rPr>
          <w:rStyle w:val="header-line-3"/>
        </w:rPr>
        <w:t xml:space="preserve">estão </w:t>
      </w:r>
      <w:r>
        <w:rPr>
          <w:rStyle w:val="header-line-3"/>
        </w:rPr>
        <w:t xml:space="preserve">hoje </w:t>
      </w:r>
      <w:r w:rsidR="005171E8">
        <w:rPr>
          <w:rStyle w:val="header-line-3"/>
        </w:rPr>
        <w:t>em destaque</w:t>
      </w:r>
      <w:r>
        <w:rPr>
          <w:rStyle w:val="header-line-3"/>
        </w:rPr>
        <w:t xml:space="preserve"> </w:t>
      </w:r>
      <w:r w:rsidR="00696365">
        <w:rPr>
          <w:rStyle w:val="header-line-3"/>
        </w:rPr>
        <w:t>a s</w:t>
      </w:r>
      <w:r>
        <w:rPr>
          <w:rStyle w:val="header-line-3"/>
        </w:rPr>
        <w:t>er</w:t>
      </w:r>
      <w:r w:rsidR="00696365">
        <w:rPr>
          <w:rStyle w:val="header-line-3"/>
        </w:rPr>
        <w:t>e</w:t>
      </w:r>
      <w:r>
        <w:rPr>
          <w:rStyle w:val="header-line-3"/>
        </w:rPr>
        <w:t>m praticamente desconhecidas dos consumidores há duas décadas</w:t>
      </w:r>
      <w:r w:rsidR="00D03AFD">
        <w:rPr>
          <w:rStyle w:val="header-line-3"/>
        </w:rPr>
        <w:t xml:space="preserve"> atrás</w:t>
      </w:r>
      <w:r>
        <w:rPr>
          <w:rStyle w:val="header-line-3"/>
        </w:rPr>
        <w:t xml:space="preserve">. As fronteiras entre as drogas antigas e as novas drogas </w:t>
      </w:r>
      <w:r w:rsidR="00E9241E">
        <w:rPr>
          <w:rStyle w:val="header-line-3"/>
        </w:rPr>
        <w:t>estão</w:t>
      </w:r>
      <w:r w:rsidR="00E9241E">
        <w:rPr>
          <w:rStyle w:val="header-line-3"/>
        </w:rPr>
        <w:t xml:space="preserve"> </w:t>
      </w:r>
      <w:r>
        <w:rPr>
          <w:rStyle w:val="header-line-3"/>
        </w:rPr>
        <w:t>também a tornar-se mais difíceis de definir, visto que as novas substâncias</w:t>
      </w:r>
      <w:r w:rsidR="00696365">
        <w:rPr>
          <w:rStyle w:val="header-line-3"/>
        </w:rPr>
        <w:t xml:space="preserve"> </w:t>
      </w:r>
      <w:r>
        <w:rPr>
          <w:rStyle w:val="header-line-3"/>
        </w:rPr>
        <w:t>imita</w:t>
      </w:r>
      <w:r w:rsidR="00696365">
        <w:rPr>
          <w:rStyle w:val="header-line-3"/>
        </w:rPr>
        <w:t>m</w:t>
      </w:r>
      <w:r w:rsidR="00B973EE">
        <w:rPr>
          <w:rStyle w:val="header-line-3"/>
        </w:rPr>
        <w:t xml:space="preserve"> cada vez mais</w:t>
      </w:r>
      <w:r>
        <w:rPr>
          <w:rStyle w:val="header-line-3"/>
        </w:rPr>
        <w:t xml:space="preserve"> as drogas controladas. Esta perspetiva anual sobre o problema</w:t>
      </w:r>
      <w:r w:rsidR="00CF1A7A">
        <w:rPr>
          <w:rStyle w:val="header-line-3"/>
        </w:rPr>
        <w:t xml:space="preserve"> da droga na Europa fornece uma base valiosa</w:t>
      </w:r>
      <w:r>
        <w:rPr>
          <w:rStyle w:val="header-line-3"/>
        </w:rPr>
        <w:t xml:space="preserve"> para fundamentar os debates</w:t>
      </w:r>
      <w:r w:rsidR="00BB7F52">
        <w:rPr>
          <w:rStyle w:val="header-line-3"/>
        </w:rPr>
        <w:t xml:space="preserve"> atuais</w:t>
      </w:r>
      <w:r>
        <w:rPr>
          <w:rStyle w:val="header-line-3"/>
        </w:rPr>
        <w:t xml:space="preserve"> sobre a política de </w:t>
      </w:r>
      <w:r w:rsidR="00B973EE">
        <w:rPr>
          <w:rStyle w:val="header-line-3"/>
        </w:rPr>
        <w:t xml:space="preserve">luta contra a </w:t>
      </w:r>
      <w:r w:rsidR="006A214C">
        <w:rPr>
          <w:rStyle w:val="header-line-3"/>
        </w:rPr>
        <w:t>droga,</w:t>
      </w:r>
      <w:r>
        <w:rPr>
          <w:rStyle w:val="header-line-3"/>
        </w:rPr>
        <w:t xml:space="preserve"> além de fornecer </w:t>
      </w:r>
      <w:r w:rsidR="009610E8">
        <w:rPr>
          <w:rStyle w:val="header-line-3"/>
        </w:rPr>
        <w:t xml:space="preserve">uma visão </w:t>
      </w:r>
      <w:r>
        <w:rPr>
          <w:rStyle w:val="header-line-3"/>
        </w:rPr>
        <w:t>importante sobre</w:t>
      </w:r>
      <w:r w:rsidR="006A214C">
        <w:rPr>
          <w:rStyle w:val="header-line-3"/>
        </w:rPr>
        <w:t xml:space="preserve"> as políticas </w:t>
      </w:r>
      <w:r w:rsidR="00980598">
        <w:rPr>
          <w:rStyle w:val="header-line-3"/>
        </w:rPr>
        <w:t xml:space="preserve">de </w:t>
      </w:r>
      <w:r w:rsidR="00B65567">
        <w:rPr>
          <w:rStyle w:val="header-line-3"/>
        </w:rPr>
        <w:t>que iremos</w:t>
      </w:r>
      <w:r w:rsidR="00980598">
        <w:rPr>
          <w:rStyle w:val="header-line-3"/>
        </w:rPr>
        <w:t xml:space="preserve"> necessitar</w:t>
      </w:r>
      <w:r>
        <w:rPr>
          <w:rStyle w:val="header-line-3"/>
        </w:rPr>
        <w:t xml:space="preserve"> </w:t>
      </w:r>
      <w:r w:rsidR="005F4424">
        <w:rPr>
          <w:rStyle w:val="header-line-3"/>
        </w:rPr>
        <w:t>amanhã</w:t>
      </w:r>
      <w:r>
        <w:rPr>
          <w:rStyle w:val="header-line-3"/>
        </w:rPr>
        <w:t>».</w:t>
      </w:r>
      <w:bookmarkStart w:id="0" w:name="_GoBack"/>
      <w:bookmarkEnd w:id="0"/>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Notas</w:t>
      </w:r>
    </w:p>
    <w:p w:rsidR="000C1074" w:rsidRPr="00D978B5" w:rsidRDefault="008C53EC" w:rsidP="00184E73">
      <w:pPr>
        <w:spacing w:after="0" w:line="240" w:lineRule="auto"/>
        <w:rPr>
          <w:rFonts w:cs="Arial"/>
          <w:sz w:val="16"/>
          <w:szCs w:val="16"/>
        </w:rPr>
      </w:pPr>
      <w:r w:rsidRPr="00D978B5">
        <w:rPr>
          <w:rStyle w:val="header-line-3"/>
          <w:sz w:val="16"/>
          <w:szCs w:val="16"/>
        </w:rPr>
        <w:t>(</w:t>
      </w:r>
      <w:r w:rsidRPr="00D978B5">
        <w:rPr>
          <w:rStyle w:val="header-line-3"/>
          <w:sz w:val="16"/>
          <w:szCs w:val="16"/>
          <w:vertAlign w:val="superscript"/>
        </w:rPr>
        <w:t>1</w:t>
      </w:r>
      <w:r w:rsidRPr="00D978B5">
        <w:rPr>
          <w:rStyle w:val="header-line-3"/>
          <w:sz w:val="16"/>
          <w:szCs w:val="16"/>
        </w:rPr>
        <w:t xml:space="preserve">) </w:t>
      </w:r>
      <w:r w:rsidRPr="00D978B5">
        <w:rPr>
          <w:sz w:val="16"/>
          <w:szCs w:val="16"/>
        </w:rPr>
        <w:t xml:space="preserve">O pacote completo do </w:t>
      </w:r>
      <w:r w:rsidRPr="00D978B5">
        <w:rPr>
          <w:b/>
          <w:i/>
          <w:sz w:val="16"/>
          <w:szCs w:val="16"/>
        </w:rPr>
        <w:t>Relatório Europeu sobre Drogas 2015</w:t>
      </w:r>
      <w:r w:rsidRPr="00D978B5">
        <w:rPr>
          <w:sz w:val="16"/>
          <w:szCs w:val="16"/>
        </w:rPr>
        <w:t xml:space="preserve"> está disponível em </w:t>
      </w:r>
      <w:hyperlink r:id="rId10">
        <w:r w:rsidRPr="00D978B5">
          <w:rPr>
            <w:rStyle w:val="Hyperlink"/>
            <w:sz w:val="16"/>
            <w:szCs w:val="16"/>
          </w:rPr>
          <w:t>www.emcdda.europa.eu/edr2015</w:t>
        </w:r>
      </w:hyperlink>
    </w:p>
    <w:p w:rsidR="000C1074" w:rsidRPr="00D978B5" w:rsidRDefault="000A4F68" w:rsidP="00184E73">
      <w:pPr>
        <w:spacing w:after="0" w:line="240" w:lineRule="auto"/>
        <w:rPr>
          <w:rFonts w:cs="Arial"/>
          <w:sz w:val="16"/>
          <w:szCs w:val="16"/>
        </w:rPr>
      </w:pPr>
      <w:r w:rsidRPr="00D978B5">
        <w:rPr>
          <w:sz w:val="16"/>
          <w:szCs w:val="16"/>
        </w:rPr>
        <w:t>Os dados apresentados no relatório referem-se a 2013 ou ao último ano com informações disponíveis.</w:t>
      </w:r>
    </w:p>
    <w:p w:rsidR="000C1074" w:rsidRPr="00D978B5" w:rsidRDefault="008C53EC" w:rsidP="00184E73">
      <w:pPr>
        <w:spacing w:after="0" w:line="240" w:lineRule="auto"/>
        <w:rPr>
          <w:rFonts w:cs="Arial"/>
          <w:sz w:val="16"/>
          <w:szCs w:val="16"/>
          <w:highlight w:val="yellow"/>
        </w:rPr>
      </w:pPr>
      <w:r w:rsidRPr="00D978B5">
        <w:rPr>
          <w:rStyle w:val="header-line-3"/>
          <w:sz w:val="16"/>
          <w:szCs w:val="16"/>
        </w:rPr>
        <w:t>(</w:t>
      </w:r>
      <w:r w:rsidRPr="00D978B5">
        <w:rPr>
          <w:rStyle w:val="header-line-3"/>
          <w:sz w:val="16"/>
          <w:szCs w:val="16"/>
          <w:vertAlign w:val="superscript"/>
        </w:rPr>
        <w:t>2</w:t>
      </w:r>
      <w:r w:rsidRPr="00D978B5">
        <w:rPr>
          <w:rStyle w:val="header-line-3"/>
          <w:sz w:val="16"/>
          <w:szCs w:val="16"/>
        </w:rPr>
        <w:t xml:space="preserve">) </w:t>
      </w:r>
      <w:hyperlink r:id="rId11">
        <w:r w:rsidRPr="00D978B5">
          <w:rPr>
            <w:rStyle w:val="Hyperlink"/>
            <w:sz w:val="16"/>
            <w:szCs w:val="16"/>
          </w:rPr>
          <w:t>www.unodc.org/documents/wdr2014/World_Drug_Report_2014_web.pdf</w:t>
        </w:r>
      </w:hyperlink>
    </w:p>
    <w:p w:rsidR="008C53EC" w:rsidRPr="00D978B5" w:rsidRDefault="00E9241E" w:rsidP="00184E73">
      <w:pPr>
        <w:spacing w:after="0" w:line="240" w:lineRule="auto"/>
        <w:rPr>
          <w:rFonts w:cs="Arial"/>
          <w:sz w:val="16"/>
          <w:szCs w:val="16"/>
        </w:rPr>
      </w:pPr>
      <w:hyperlink r:id="rId12">
        <w:r w:rsidR="00117596" w:rsidRPr="00D978B5">
          <w:rPr>
            <w:rStyle w:val="Hyperlink"/>
            <w:sz w:val="16"/>
            <w:szCs w:val="16"/>
          </w:rPr>
          <w:t>www.unodc.org/documents/crop-monitoring/Afghanistan/Afghan-opium-survey-2014.pdf</w:t>
        </w:r>
      </w:hyperlink>
    </w:p>
    <w:p w:rsidR="000C1074" w:rsidRPr="00D978B5" w:rsidRDefault="0002128C" w:rsidP="00184E73">
      <w:pPr>
        <w:spacing w:after="0" w:line="240" w:lineRule="auto"/>
        <w:rPr>
          <w:rStyle w:val="Hyperlink"/>
          <w:rFonts w:cs="Arial"/>
          <w:sz w:val="16"/>
          <w:szCs w:val="16"/>
        </w:rPr>
      </w:pPr>
      <w:r w:rsidRPr="00D978B5">
        <w:rPr>
          <w:rStyle w:val="header-line-3"/>
          <w:sz w:val="16"/>
          <w:szCs w:val="16"/>
        </w:rPr>
        <w:t>(</w:t>
      </w:r>
      <w:r w:rsidRPr="00D978B5">
        <w:rPr>
          <w:rStyle w:val="header-line-3"/>
          <w:sz w:val="16"/>
          <w:szCs w:val="16"/>
          <w:vertAlign w:val="superscript"/>
        </w:rPr>
        <w:t>3</w:t>
      </w:r>
      <w:r w:rsidRPr="00D978B5">
        <w:rPr>
          <w:rStyle w:val="header-line-3"/>
          <w:sz w:val="16"/>
          <w:szCs w:val="16"/>
        </w:rPr>
        <w:t xml:space="preserve">) </w:t>
      </w:r>
      <w:hyperlink r:id="rId13">
        <w:r w:rsidRPr="00D978B5">
          <w:rPr>
            <w:rStyle w:val="Hyperlink"/>
            <w:sz w:val="16"/>
            <w:szCs w:val="16"/>
          </w:rPr>
          <w:t>www.emcdda.europa.eu/news/2015/naloxone</w:t>
        </w:r>
      </w:hyperlink>
    </w:p>
    <w:p w:rsidR="00EC5A9C" w:rsidRPr="00D978B5" w:rsidRDefault="0060343A" w:rsidP="00184E73">
      <w:pPr>
        <w:spacing w:after="0" w:line="240" w:lineRule="auto"/>
        <w:rPr>
          <w:rStyle w:val="Hyperlink"/>
          <w:rFonts w:cs="Arial"/>
          <w:sz w:val="16"/>
          <w:szCs w:val="16"/>
        </w:rPr>
      </w:pPr>
      <w:r w:rsidRPr="00D978B5">
        <w:rPr>
          <w:rStyle w:val="header-line-3"/>
          <w:sz w:val="16"/>
          <w:szCs w:val="16"/>
        </w:rPr>
        <w:t>(</w:t>
      </w:r>
      <w:r w:rsidRPr="00D978B5">
        <w:rPr>
          <w:rStyle w:val="header-line-3"/>
          <w:sz w:val="16"/>
          <w:szCs w:val="16"/>
          <w:vertAlign w:val="superscript"/>
        </w:rPr>
        <w:t>4</w:t>
      </w:r>
      <w:r w:rsidRPr="00D978B5">
        <w:rPr>
          <w:rStyle w:val="header-line-3"/>
          <w:sz w:val="16"/>
          <w:szCs w:val="16"/>
        </w:rPr>
        <w:t xml:space="preserve">) </w:t>
      </w:r>
      <w:hyperlink r:id="rId14">
        <w:r w:rsidRPr="00D978B5">
          <w:rPr>
            <w:rStyle w:val="Hyperlink"/>
            <w:sz w:val="16"/>
            <w:szCs w:val="16"/>
          </w:rPr>
          <w:t>www.emcdda.europa.eu/news/2015/treatment-of-cannabis-related-disorders-in-Europe</w:t>
        </w:r>
      </w:hyperlink>
    </w:p>
    <w:sectPr w:rsidR="00EC5A9C" w:rsidRPr="00D978B5"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3E" w:rsidRDefault="0027303E" w:rsidP="009A28FB">
      <w:pPr>
        <w:spacing w:after="0" w:line="240" w:lineRule="auto"/>
      </w:pPr>
      <w:r>
        <w:separator/>
      </w:r>
    </w:p>
  </w:endnote>
  <w:endnote w:type="continuationSeparator" w:id="0">
    <w:p w:rsidR="0027303E" w:rsidRDefault="0027303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373D09" w:rsidTr="002F4635">
      <w:tc>
        <w:tcPr>
          <w:tcW w:w="1444" w:type="dxa"/>
        </w:tcPr>
        <w:p w:rsidR="00373D09" w:rsidRDefault="00373D09" w:rsidP="00D37865">
          <w:pPr>
            <w:pStyle w:val="newsCoordinates"/>
          </w:pPr>
          <w:r>
            <w:rPr>
              <w:noProof/>
              <w:lang w:val="en-GB" w:eastAsia="en-GB" w:bidi="ar-SA"/>
            </w:rPr>
            <mc:AlternateContent>
              <mc:Choice Requires="wps">
                <w:drawing>
                  <wp:anchor distT="0" distB="0" distL="114299" distR="114299" simplePos="0" relativeHeight="251663360" behindDoc="1" locked="0" layoutInCell="1" allowOverlap="1">
                    <wp:simplePos x="0" y="0"/>
                    <wp:positionH relativeFrom="page">
                      <wp:posOffset>35559</wp:posOffset>
                    </wp:positionH>
                    <wp:positionV relativeFrom="page">
                      <wp:posOffset>15240</wp:posOffset>
                    </wp:positionV>
                    <wp:extent cx="0" cy="10795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95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" strokecolor="#009" strokeweight="1.5pt">
                    <o:lock v:ext="edit" shapetype="f"/>
                    <w10:wrap anchorx="page" anchory="page"/>
                  </v:line>
                </w:pict>
              </mc:Fallback>
            </mc:AlternateContent>
          </w:r>
          <w:proofErr w:type="gramStart"/>
          <w:r>
            <w:t>emcdda.europa.eu</w:t>
          </w:r>
          <w:proofErr w:type="gramEnd"/>
          <w:r>
            <w:t xml:space="preserve"> </w:t>
          </w:r>
        </w:p>
      </w:tc>
      <w:tc>
        <w:tcPr>
          <w:tcW w:w="3294" w:type="dxa"/>
          <w:vAlign w:val="bottom"/>
        </w:tcPr>
        <w:p w:rsidR="00373D09" w:rsidRDefault="00373D09" w:rsidP="00BF1E3B">
          <w:pPr>
            <w:pStyle w:val="newsReference"/>
            <w:jc w:val="right"/>
          </w:pPr>
          <w:r>
            <w:fldChar w:fldCharType="begin"/>
          </w:r>
          <w:r>
            <w:instrText xml:space="preserve"> PAGE   \* MERGEFORMAT </w:instrText>
          </w:r>
          <w:r>
            <w:fldChar w:fldCharType="separate"/>
          </w:r>
          <w:r w:rsidR="00E9241E">
            <w:rPr>
              <w:noProof/>
            </w:rPr>
            <w:t>6</w:t>
          </w:r>
          <w:r>
            <w:rPr>
              <w:noProof/>
            </w:rPr>
            <w:fldChar w:fldCharType="end"/>
          </w:r>
        </w:p>
      </w:tc>
    </w:tr>
  </w:tbl>
  <w:p w:rsidR="00373D09" w:rsidRDefault="0037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373D09" w:rsidTr="00794A50">
      <w:tc>
        <w:tcPr>
          <w:tcW w:w="7196" w:type="dxa"/>
        </w:tcPr>
        <w:p w:rsidR="00373D09" w:rsidRDefault="00373D09" w:rsidP="00031350">
          <w:pPr>
            <w:pStyle w:val="newsCoordinates"/>
          </w:pPr>
          <w:r>
            <w:rPr>
              <w:noProof/>
              <w:lang w:val="en-GB" w:eastAsia="en-GB" w:bidi="ar-SA"/>
            </w:rPr>
            <mc:AlternateContent>
              <mc:Choice Requires="wps">
                <w:drawing>
                  <wp:anchor distT="0" distB="0" distL="114299" distR="114299" simplePos="0" relativeHeight="251665408" behindDoc="1" locked="0" layoutInCell="1" allowOverlap="1" wp14:anchorId="5D5CB55A" wp14:editId="48A63595">
                    <wp:simplePos x="0" y="0"/>
                    <wp:positionH relativeFrom="page">
                      <wp:posOffset>32384</wp:posOffset>
                    </wp:positionH>
                    <wp:positionV relativeFrom="page">
                      <wp:posOffset>-14605</wp:posOffset>
                    </wp:positionV>
                    <wp:extent cx="0" cy="4318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" strokecolor="#009" strokeweight="1.5pt">
                    <o:lock v:ext="edit" shapetype="f"/>
                    <w10:wrap anchorx="page" anchory="page"/>
                  </v:line>
                </w:pict>
              </mc:Fallback>
            </mc:AlternateContent>
          </w:r>
          <w:r>
            <w:t xml:space="preserve">Contacto: </w:t>
          </w:r>
          <w:proofErr w:type="spellStart"/>
          <w:r>
            <w:t>Kathy</w:t>
          </w:r>
          <w:proofErr w:type="spellEnd"/>
          <w:r>
            <w:t xml:space="preserve"> </w:t>
          </w:r>
          <w:proofErr w:type="spellStart"/>
          <w:r>
            <w:t>Robertson</w:t>
          </w:r>
          <w:proofErr w:type="spellEnd"/>
          <w:r>
            <w:t>, Relações media</w:t>
          </w:r>
        </w:p>
        <w:p w:rsidR="00373D09" w:rsidRDefault="00373D09" w:rsidP="00031350">
          <w:pPr>
            <w:pStyle w:val="newsCoordinates"/>
          </w:pPr>
          <w:r>
            <w:t>Praça Europa 1, Cais do Sodré, 1249-289 Lisboa, Portugal</w:t>
          </w:r>
        </w:p>
        <w:p w:rsidR="00373D09" w:rsidRPr="000C1074" w:rsidRDefault="00373D09" w:rsidP="00031350">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2869" w:type="dxa"/>
          <w:vAlign w:val="bottom"/>
        </w:tcPr>
        <w:p w:rsidR="00373D09" w:rsidRDefault="00373D09" w:rsidP="000A4F68">
          <w:pPr>
            <w:pStyle w:val="newsReference"/>
            <w:jc w:val="right"/>
          </w:pPr>
          <w:r>
            <w:t>PT — N.º 4/2015</w:t>
          </w:r>
        </w:p>
      </w:tc>
    </w:tr>
  </w:tbl>
  <w:p w:rsidR="00373D09" w:rsidRDefault="0037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3E" w:rsidRDefault="0027303E" w:rsidP="009A28FB">
      <w:pPr>
        <w:spacing w:after="0" w:line="240" w:lineRule="auto"/>
      </w:pPr>
      <w:r>
        <w:separator/>
      </w:r>
    </w:p>
  </w:footnote>
  <w:footnote w:type="continuationSeparator" w:id="0">
    <w:p w:rsidR="0027303E" w:rsidRDefault="0027303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373D09" w:rsidTr="00794A50">
      <w:tc>
        <w:tcPr>
          <w:tcW w:w="7196" w:type="dxa"/>
        </w:tcPr>
        <w:p w:rsidR="00373D09" w:rsidRDefault="00373D09" w:rsidP="00692DFC">
          <w:pPr>
            <w:pStyle w:val="newsEmbargo"/>
          </w:pPr>
          <w:r>
            <w:rPr>
              <w:noProof/>
              <w:lang w:val="en-GB" w:eastAsia="en-GB" w:bidi="ar-SA"/>
            </w:rPr>
            <mc:AlternateContent>
              <mc:Choice Requires="wps">
                <w:drawing>
                  <wp:anchor distT="0" distB="0" distL="114299" distR="114299" simplePos="0" relativeHeight="251661312" behindDoc="1" locked="0" layoutInCell="1" allowOverlap="1" wp14:anchorId="1CC60783" wp14:editId="741AE9CE">
                    <wp:simplePos x="0" y="0"/>
                    <wp:positionH relativeFrom="page">
                      <wp:posOffset>35559</wp:posOffset>
                    </wp:positionH>
                    <wp:positionV relativeFrom="page">
                      <wp:posOffset>-1270</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" strokecolor="#009" strokeweight="1.5pt">
                    <o:lock v:ext="edit" shapetype="f"/>
                    <w10:wrap anchorx="page" anchory="page"/>
                  </v:line>
                </w:pict>
              </mc:Fallback>
            </mc:AlternateContent>
          </w:r>
          <w:r>
            <w:t xml:space="preserve">Relatório Europeu sobre Drogas 2015 </w:t>
          </w:r>
          <w:r>
            <w:rPr>
              <w:noProof/>
              <w:sz w:val="18"/>
            </w:rPr>
            <w:t>I</w:t>
          </w:r>
          <w:r>
            <w:t xml:space="preserve"> sob </w:t>
          </w:r>
          <w:r>
            <w:rPr>
              <w:b/>
              <w:noProof/>
              <w:color w:val="FF0000"/>
            </w:rPr>
            <w:t>EMBARGO até às 10:00 UTC/hora de Lisboa</w:t>
          </w:r>
        </w:p>
      </w:tc>
      <w:tc>
        <w:tcPr>
          <w:tcW w:w="2869" w:type="dxa"/>
          <w:vAlign w:val="bottom"/>
        </w:tcPr>
        <w:p w:rsidR="00373D09" w:rsidRDefault="00373D09" w:rsidP="00DD095D">
          <w:pPr>
            <w:pStyle w:val="newsReference"/>
            <w:jc w:val="right"/>
          </w:pPr>
          <w:r>
            <w:t>4.6.2015</w:t>
          </w:r>
        </w:p>
      </w:tc>
    </w:tr>
  </w:tbl>
  <w:p w:rsidR="00373D09" w:rsidRDefault="0037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3220"/>
    <w:rsid w:val="00014E8E"/>
    <w:rsid w:val="00017CF2"/>
    <w:rsid w:val="0002128C"/>
    <w:rsid w:val="0002521E"/>
    <w:rsid w:val="0002642F"/>
    <w:rsid w:val="00030F8E"/>
    <w:rsid w:val="00031350"/>
    <w:rsid w:val="00032E94"/>
    <w:rsid w:val="000341E6"/>
    <w:rsid w:val="00036DAA"/>
    <w:rsid w:val="00042704"/>
    <w:rsid w:val="0004569C"/>
    <w:rsid w:val="000457B2"/>
    <w:rsid w:val="00046EE8"/>
    <w:rsid w:val="00047566"/>
    <w:rsid w:val="000475FD"/>
    <w:rsid w:val="00050E92"/>
    <w:rsid w:val="000535B7"/>
    <w:rsid w:val="00064F33"/>
    <w:rsid w:val="0006522C"/>
    <w:rsid w:val="000676BA"/>
    <w:rsid w:val="00067C0A"/>
    <w:rsid w:val="00067DD3"/>
    <w:rsid w:val="0008340F"/>
    <w:rsid w:val="00085FBA"/>
    <w:rsid w:val="00086B22"/>
    <w:rsid w:val="000940B9"/>
    <w:rsid w:val="00094B2A"/>
    <w:rsid w:val="00096E65"/>
    <w:rsid w:val="000A1C65"/>
    <w:rsid w:val="000A4F68"/>
    <w:rsid w:val="000B0AED"/>
    <w:rsid w:val="000B1B97"/>
    <w:rsid w:val="000B2DDF"/>
    <w:rsid w:val="000C00EF"/>
    <w:rsid w:val="000C1074"/>
    <w:rsid w:val="000C1799"/>
    <w:rsid w:val="000C3FA2"/>
    <w:rsid w:val="000C6200"/>
    <w:rsid w:val="000D0ADE"/>
    <w:rsid w:val="000D1A4E"/>
    <w:rsid w:val="000D1C68"/>
    <w:rsid w:val="000D371F"/>
    <w:rsid w:val="000D3B2D"/>
    <w:rsid w:val="000D6DB7"/>
    <w:rsid w:val="000E0F3F"/>
    <w:rsid w:val="000F2A75"/>
    <w:rsid w:val="000F4492"/>
    <w:rsid w:val="000F6700"/>
    <w:rsid w:val="000F7D57"/>
    <w:rsid w:val="00100F42"/>
    <w:rsid w:val="00101B89"/>
    <w:rsid w:val="00105BFC"/>
    <w:rsid w:val="00105FE2"/>
    <w:rsid w:val="00107C96"/>
    <w:rsid w:val="00107CE0"/>
    <w:rsid w:val="00110BD2"/>
    <w:rsid w:val="001119A8"/>
    <w:rsid w:val="00111DD7"/>
    <w:rsid w:val="001127AF"/>
    <w:rsid w:val="0011337F"/>
    <w:rsid w:val="00113F76"/>
    <w:rsid w:val="001165FD"/>
    <w:rsid w:val="00117596"/>
    <w:rsid w:val="00121121"/>
    <w:rsid w:val="001414E3"/>
    <w:rsid w:val="001518D5"/>
    <w:rsid w:val="00155E2E"/>
    <w:rsid w:val="00156CE8"/>
    <w:rsid w:val="001575A4"/>
    <w:rsid w:val="00161BC1"/>
    <w:rsid w:val="001622F3"/>
    <w:rsid w:val="00164F37"/>
    <w:rsid w:val="00165BBB"/>
    <w:rsid w:val="00172DB0"/>
    <w:rsid w:val="0017713E"/>
    <w:rsid w:val="0017757B"/>
    <w:rsid w:val="001800D0"/>
    <w:rsid w:val="00181C7C"/>
    <w:rsid w:val="00182270"/>
    <w:rsid w:val="00184B92"/>
    <w:rsid w:val="00184E73"/>
    <w:rsid w:val="00193596"/>
    <w:rsid w:val="00194867"/>
    <w:rsid w:val="00196CAB"/>
    <w:rsid w:val="001A18C6"/>
    <w:rsid w:val="001A1E56"/>
    <w:rsid w:val="001A3338"/>
    <w:rsid w:val="001A579D"/>
    <w:rsid w:val="001A69E6"/>
    <w:rsid w:val="001B17B3"/>
    <w:rsid w:val="001B188F"/>
    <w:rsid w:val="001B5593"/>
    <w:rsid w:val="001B792F"/>
    <w:rsid w:val="001C1D39"/>
    <w:rsid w:val="001C1FE3"/>
    <w:rsid w:val="001C383B"/>
    <w:rsid w:val="001C795A"/>
    <w:rsid w:val="001D1595"/>
    <w:rsid w:val="001D18F4"/>
    <w:rsid w:val="001D22AF"/>
    <w:rsid w:val="001D43CB"/>
    <w:rsid w:val="001D4B78"/>
    <w:rsid w:val="001D5C26"/>
    <w:rsid w:val="001D6720"/>
    <w:rsid w:val="001E178F"/>
    <w:rsid w:val="001E69FB"/>
    <w:rsid w:val="001E7122"/>
    <w:rsid w:val="001F067B"/>
    <w:rsid w:val="001F1D05"/>
    <w:rsid w:val="001F2A80"/>
    <w:rsid w:val="001F3812"/>
    <w:rsid w:val="001F4003"/>
    <w:rsid w:val="001F44C6"/>
    <w:rsid w:val="001F5B61"/>
    <w:rsid w:val="001F70B4"/>
    <w:rsid w:val="001F76C7"/>
    <w:rsid w:val="0021417F"/>
    <w:rsid w:val="002142A8"/>
    <w:rsid w:val="00220E2D"/>
    <w:rsid w:val="00221191"/>
    <w:rsid w:val="002228DE"/>
    <w:rsid w:val="00223753"/>
    <w:rsid w:val="00224BE2"/>
    <w:rsid w:val="00226E8D"/>
    <w:rsid w:val="002331A0"/>
    <w:rsid w:val="00240151"/>
    <w:rsid w:val="0024179D"/>
    <w:rsid w:val="00246D13"/>
    <w:rsid w:val="00250AD6"/>
    <w:rsid w:val="002545D9"/>
    <w:rsid w:val="002557B0"/>
    <w:rsid w:val="0025628C"/>
    <w:rsid w:val="00260884"/>
    <w:rsid w:val="00261883"/>
    <w:rsid w:val="002646E4"/>
    <w:rsid w:val="002662DA"/>
    <w:rsid w:val="0027189B"/>
    <w:rsid w:val="00271C5B"/>
    <w:rsid w:val="0027252D"/>
    <w:rsid w:val="0027303E"/>
    <w:rsid w:val="002730DF"/>
    <w:rsid w:val="00273CDE"/>
    <w:rsid w:val="00275AED"/>
    <w:rsid w:val="00275F30"/>
    <w:rsid w:val="0027733D"/>
    <w:rsid w:val="00277F89"/>
    <w:rsid w:val="0028141E"/>
    <w:rsid w:val="00283951"/>
    <w:rsid w:val="002919EA"/>
    <w:rsid w:val="002935C1"/>
    <w:rsid w:val="002948E2"/>
    <w:rsid w:val="00294B1A"/>
    <w:rsid w:val="00295E0B"/>
    <w:rsid w:val="00296408"/>
    <w:rsid w:val="00297B50"/>
    <w:rsid w:val="002A2566"/>
    <w:rsid w:val="002A3971"/>
    <w:rsid w:val="002A3C24"/>
    <w:rsid w:val="002A6038"/>
    <w:rsid w:val="002A61F7"/>
    <w:rsid w:val="002A652C"/>
    <w:rsid w:val="002A7504"/>
    <w:rsid w:val="002B05CE"/>
    <w:rsid w:val="002B225D"/>
    <w:rsid w:val="002B45AC"/>
    <w:rsid w:val="002B4631"/>
    <w:rsid w:val="002B57E1"/>
    <w:rsid w:val="002B76D8"/>
    <w:rsid w:val="002C0766"/>
    <w:rsid w:val="002C14B6"/>
    <w:rsid w:val="002C457A"/>
    <w:rsid w:val="002C6982"/>
    <w:rsid w:val="002E139D"/>
    <w:rsid w:val="002E1D4E"/>
    <w:rsid w:val="002E5C77"/>
    <w:rsid w:val="002E6E4B"/>
    <w:rsid w:val="002E7B7E"/>
    <w:rsid w:val="002F041B"/>
    <w:rsid w:val="002F13E4"/>
    <w:rsid w:val="002F15DC"/>
    <w:rsid w:val="002F1DC5"/>
    <w:rsid w:val="002F4635"/>
    <w:rsid w:val="00300989"/>
    <w:rsid w:val="00302024"/>
    <w:rsid w:val="00304ED3"/>
    <w:rsid w:val="00306152"/>
    <w:rsid w:val="00313B77"/>
    <w:rsid w:val="00316019"/>
    <w:rsid w:val="0032347B"/>
    <w:rsid w:val="0033158E"/>
    <w:rsid w:val="00334B9B"/>
    <w:rsid w:val="003366A1"/>
    <w:rsid w:val="003423CF"/>
    <w:rsid w:val="00343BBF"/>
    <w:rsid w:val="00346A2D"/>
    <w:rsid w:val="00352A65"/>
    <w:rsid w:val="00356C18"/>
    <w:rsid w:val="0036121D"/>
    <w:rsid w:val="003621BA"/>
    <w:rsid w:val="00362CD8"/>
    <w:rsid w:val="003728ED"/>
    <w:rsid w:val="00372F54"/>
    <w:rsid w:val="00373D09"/>
    <w:rsid w:val="00380C21"/>
    <w:rsid w:val="003849C1"/>
    <w:rsid w:val="00387D02"/>
    <w:rsid w:val="00392E6E"/>
    <w:rsid w:val="003953B8"/>
    <w:rsid w:val="00396377"/>
    <w:rsid w:val="00397BE5"/>
    <w:rsid w:val="003B1D7B"/>
    <w:rsid w:val="003B2845"/>
    <w:rsid w:val="003B41B1"/>
    <w:rsid w:val="003B70B8"/>
    <w:rsid w:val="003B7A42"/>
    <w:rsid w:val="003C0395"/>
    <w:rsid w:val="003C21DD"/>
    <w:rsid w:val="003C2E80"/>
    <w:rsid w:val="003C52DA"/>
    <w:rsid w:val="003C6E5F"/>
    <w:rsid w:val="003D0B37"/>
    <w:rsid w:val="003D2A4C"/>
    <w:rsid w:val="003D4C63"/>
    <w:rsid w:val="003E0568"/>
    <w:rsid w:val="003E4D3C"/>
    <w:rsid w:val="003F26CE"/>
    <w:rsid w:val="003F3B91"/>
    <w:rsid w:val="003F751B"/>
    <w:rsid w:val="003F778E"/>
    <w:rsid w:val="00402A49"/>
    <w:rsid w:val="00410873"/>
    <w:rsid w:val="00410CA5"/>
    <w:rsid w:val="004137B0"/>
    <w:rsid w:val="00416CB0"/>
    <w:rsid w:val="0041722A"/>
    <w:rsid w:val="004204A7"/>
    <w:rsid w:val="004221D3"/>
    <w:rsid w:val="00422FCF"/>
    <w:rsid w:val="00433158"/>
    <w:rsid w:val="0043414B"/>
    <w:rsid w:val="00435B19"/>
    <w:rsid w:val="00436218"/>
    <w:rsid w:val="00436BB4"/>
    <w:rsid w:val="0044111C"/>
    <w:rsid w:val="00441940"/>
    <w:rsid w:val="00445080"/>
    <w:rsid w:val="00446E8A"/>
    <w:rsid w:val="0045053C"/>
    <w:rsid w:val="00453A6F"/>
    <w:rsid w:val="0045468D"/>
    <w:rsid w:val="004560DA"/>
    <w:rsid w:val="00457242"/>
    <w:rsid w:val="00457495"/>
    <w:rsid w:val="00457F87"/>
    <w:rsid w:val="004616FC"/>
    <w:rsid w:val="00463747"/>
    <w:rsid w:val="004638D3"/>
    <w:rsid w:val="00463C10"/>
    <w:rsid w:val="00464316"/>
    <w:rsid w:val="00466EF3"/>
    <w:rsid w:val="00470469"/>
    <w:rsid w:val="0047107C"/>
    <w:rsid w:val="00472386"/>
    <w:rsid w:val="00476147"/>
    <w:rsid w:val="00481A50"/>
    <w:rsid w:val="0048433A"/>
    <w:rsid w:val="004847FB"/>
    <w:rsid w:val="004851A4"/>
    <w:rsid w:val="00486797"/>
    <w:rsid w:val="00496E01"/>
    <w:rsid w:val="004A1615"/>
    <w:rsid w:val="004A259A"/>
    <w:rsid w:val="004A5D08"/>
    <w:rsid w:val="004A7686"/>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15EE6"/>
    <w:rsid w:val="005171E8"/>
    <w:rsid w:val="00520EF1"/>
    <w:rsid w:val="005210D3"/>
    <w:rsid w:val="0052228C"/>
    <w:rsid w:val="005262F0"/>
    <w:rsid w:val="00532C1E"/>
    <w:rsid w:val="005338AE"/>
    <w:rsid w:val="00534FDD"/>
    <w:rsid w:val="00535117"/>
    <w:rsid w:val="005401BC"/>
    <w:rsid w:val="00540BE4"/>
    <w:rsid w:val="00542CEE"/>
    <w:rsid w:val="005432B9"/>
    <w:rsid w:val="00543F3E"/>
    <w:rsid w:val="00546D90"/>
    <w:rsid w:val="005518FF"/>
    <w:rsid w:val="005546C3"/>
    <w:rsid w:val="00554E99"/>
    <w:rsid w:val="00557061"/>
    <w:rsid w:val="00562415"/>
    <w:rsid w:val="005630CC"/>
    <w:rsid w:val="0056402A"/>
    <w:rsid w:val="00567518"/>
    <w:rsid w:val="005716D6"/>
    <w:rsid w:val="005822A5"/>
    <w:rsid w:val="00582C1E"/>
    <w:rsid w:val="005850A9"/>
    <w:rsid w:val="005870C5"/>
    <w:rsid w:val="005924B7"/>
    <w:rsid w:val="005A0DC8"/>
    <w:rsid w:val="005A2CDF"/>
    <w:rsid w:val="005A527F"/>
    <w:rsid w:val="005A66D8"/>
    <w:rsid w:val="005B05A0"/>
    <w:rsid w:val="005B0882"/>
    <w:rsid w:val="005B1B63"/>
    <w:rsid w:val="005C1394"/>
    <w:rsid w:val="005C4033"/>
    <w:rsid w:val="005C40D1"/>
    <w:rsid w:val="005C55AC"/>
    <w:rsid w:val="005C7DB9"/>
    <w:rsid w:val="005D6630"/>
    <w:rsid w:val="005E69A2"/>
    <w:rsid w:val="005F4424"/>
    <w:rsid w:val="005F70E2"/>
    <w:rsid w:val="0060242D"/>
    <w:rsid w:val="0060343A"/>
    <w:rsid w:val="00605AC6"/>
    <w:rsid w:val="00605DD5"/>
    <w:rsid w:val="00605FE0"/>
    <w:rsid w:val="006116D9"/>
    <w:rsid w:val="0061505E"/>
    <w:rsid w:val="0061677E"/>
    <w:rsid w:val="00620411"/>
    <w:rsid w:val="00621210"/>
    <w:rsid w:val="00621C22"/>
    <w:rsid w:val="006224F9"/>
    <w:rsid w:val="00623A55"/>
    <w:rsid w:val="00626900"/>
    <w:rsid w:val="00627B4D"/>
    <w:rsid w:val="006304FE"/>
    <w:rsid w:val="0063235A"/>
    <w:rsid w:val="006328A3"/>
    <w:rsid w:val="0063370E"/>
    <w:rsid w:val="00634F35"/>
    <w:rsid w:val="0063677C"/>
    <w:rsid w:val="00636FDC"/>
    <w:rsid w:val="00640D05"/>
    <w:rsid w:val="00642E25"/>
    <w:rsid w:val="00644F00"/>
    <w:rsid w:val="00646888"/>
    <w:rsid w:val="00646DD0"/>
    <w:rsid w:val="00656F97"/>
    <w:rsid w:val="00662A1B"/>
    <w:rsid w:val="00664312"/>
    <w:rsid w:val="00666A63"/>
    <w:rsid w:val="0067480A"/>
    <w:rsid w:val="0067509A"/>
    <w:rsid w:val="00683B65"/>
    <w:rsid w:val="00692DFC"/>
    <w:rsid w:val="00692FCC"/>
    <w:rsid w:val="006950E8"/>
    <w:rsid w:val="0069581A"/>
    <w:rsid w:val="00696365"/>
    <w:rsid w:val="006966F7"/>
    <w:rsid w:val="00697DC6"/>
    <w:rsid w:val="006A1A74"/>
    <w:rsid w:val="006A214C"/>
    <w:rsid w:val="006A4A9F"/>
    <w:rsid w:val="006B01D4"/>
    <w:rsid w:val="006B27C3"/>
    <w:rsid w:val="006B599C"/>
    <w:rsid w:val="006B5AAD"/>
    <w:rsid w:val="006C35F4"/>
    <w:rsid w:val="006C59B0"/>
    <w:rsid w:val="006C62F1"/>
    <w:rsid w:val="006D5289"/>
    <w:rsid w:val="006D664F"/>
    <w:rsid w:val="006E0210"/>
    <w:rsid w:val="006E035E"/>
    <w:rsid w:val="006E187F"/>
    <w:rsid w:val="006E4951"/>
    <w:rsid w:val="006E7456"/>
    <w:rsid w:val="006E7F04"/>
    <w:rsid w:val="006F18A0"/>
    <w:rsid w:val="006F28AB"/>
    <w:rsid w:val="006F3DE0"/>
    <w:rsid w:val="006F4E96"/>
    <w:rsid w:val="007050A1"/>
    <w:rsid w:val="00705646"/>
    <w:rsid w:val="0071598F"/>
    <w:rsid w:val="00717FF3"/>
    <w:rsid w:val="0072365E"/>
    <w:rsid w:val="00724454"/>
    <w:rsid w:val="00730132"/>
    <w:rsid w:val="00733214"/>
    <w:rsid w:val="007352AD"/>
    <w:rsid w:val="00735442"/>
    <w:rsid w:val="00736408"/>
    <w:rsid w:val="007450CB"/>
    <w:rsid w:val="007473D9"/>
    <w:rsid w:val="00753C9D"/>
    <w:rsid w:val="007547D4"/>
    <w:rsid w:val="00754D07"/>
    <w:rsid w:val="007550F3"/>
    <w:rsid w:val="00755601"/>
    <w:rsid w:val="00760F82"/>
    <w:rsid w:val="00763314"/>
    <w:rsid w:val="00764747"/>
    <w:rsid w:val="00767BEF"/>
    <w:rsid w:val="00771E5A"/>
    <w:rsid w:val="00773814"/>
    <w:rsid w:val="007741E8"/>
    <w:rsid w:val="00775482"/>
    <w:rsid w:val="00776161"/>
    <w:rsid w:val="00776C34"/>
    <w:rsid w:val="007770EB"/>
    <w:rsid w:val="007779A2"/>
    <w:rsid w:val="007814B9"/>
    <w:rsid w:val="0078292B"/>
    <w:rsid w:val="00783014"/>
    <w:rsid w:val="00784911"/>
    <w:rsid w:val="007854E3"/>
    <w:rsid w:val="00791747"/>
    <w:rsid w:val="00791F09"/>
    <w:rsid w:val="00794A50"/>
    <w:rsid w:val="007956DF"/>
    <w:rsid w:val="007958ED"/>
    <w:rsid w:val="007A07A7"/>
    <w:rsid w:val="007A1A26"/>
    <w:rsid w:val="007A6112"/>
    <w:rsid w:val="007A6CA7"/>
    <w:rsid w:val="007B0E03"/>
    <w:rsid w:val="007B1CCD"/>
    <w:rsid w:val="007B4942"/>
    <w:rsid w:val="007C23FC"/>
    <w:rsid w:val="007C4953"/>
    <w:rsid w:val="007C5BE9"/>
    <w:rsid w:val="007E020E"/>
    <w:rsid w:val="007E171E"/>
    <w:rsid w:val="007E209A"/>
    <w:rsid w:val="007E7249"/>
    <w:rsid w:val="007F03EB"/>
    <w:rsid w:val="007F2B3B"/>
    <w:rsid w:val="007F673B"/>
    <w:rsid w:val="00802C85"/>
    <w:rsid w:val="0080459C"/>
    <w:rsid w:val="00805BF9"/>
    <w:rsid w:val="008073F2"/>
    <w:rsid w:val="00813FB5"/>
    <w:rsid w:val="0082137D"/>
    <w:rsid w:val="0082389D"/>
    <w:rsid w:val="00824119"/>
    <w:rsid w:val="00824A01"/>
    <w:rsid w:val="00827FD7"/>
    <w:rsid w:val="00830695"/>
    <w:rsid w:val="00831DFF"/>
    <w:rsid w:val="0083228A"/>
    <w:rsid w:val="00841E86"/>
    <w:rsid w:val="00842B37"/>
    <w:rsid w:val="00844C8B"/>
    <w:rsid w:val="0084714F"/>
    <w:rsid w:val="008529CD"/>
    <w:rsid w:val="00857DF0"/>
    <w:rsid w:val="00860797"/>
    <w:rsid w:val="00863DB6"/>
    <w:rsid w:val="008666C2"/>
    <w:rsid w:val="008711B4"/>
    <w:rsid w:val="00874568"/>
    <w:rsid w:val="00874F64"/>
    <w:rsid w:val="00880BCB"/>
    <w:rsid w:val="00881730"/>
    <w:rsid w:val="00884599"/>
    <w:rsid w:val="0089193D"/>
    <w:rsid w:val="0089226E"/>
    <w:rsid w:val="00894794"/>
    <w:rsid w:val="008A1563"/>
    <w:rsid w:val="008A3DFC"/>
    <w:rsid w:val="008B4FB2"/>
    <w:rsid w:val="008B765A"/>
    <w:rsid w:val="008C06D1"/>
    <w:rsid w:val="008C0D32"/>
    <w:rsid w:val="008C1172"/>
    <w:rsid w:val="008C39A8"/>
    <w:rsid w:val="008C53EC"/>
    <w:rsid w:val="008D1D9C"/>
    <w:rsid w:val="008D437D"/>
    <w:rsid w:val="008D4BAC"/>
    <w:rsid w:val="008D54B3"/>
    <w:rsid w:val="008D616F"/>
    <w:rsid w:val="008E02FE"/>
    <w:rsid w:val="008E0611"/>
    <w:rsid w:val="008E15DC"/>
    <w:rsid w:val="008E4A06"/>
    <w:rsid w:val="008E65C2"/>
    <w:rsid w:val="008F1374"/>
    <w:rsid w:val="008F177B"/>
    <w:rsid w:val="008F399E"/>
    <w:rsid w:val="008F5294"/>
    <w:rsid w:val="008F5C8B"/>
    <w:rsid w:val="008F7EFB"/>
    <w:rsid w:val="00902192"/>
    <w:rsid w:val="00902300"/>
    <w:rsid w:val="00907ED9"/>
    <w:rsid w:val="00911592"/>
    <w:rsid w:val="00912017"/>
    <w:rsid w:val="00913348"/>
    <w:rsid w:val="00914776"/>
    <w:rsid w:val="00916556"/>
    <w:rsid w:val="00916EB9"/>
    <w:rsid w:val="0092217A"/>
    <w:rsid w:val="00925F49"/>
    <w:rsid w:val="00926C5F"/>
    <w:rsid w:val="009307CE"/>
    <w:rsid w:val="00931D2D"/>
    <w:rsid w:val="00933B23"/>
    <w:rsid w:val="0093492E"/>
    <w:rsid w:val="0093680B"/>
    <w:rsid w:val="009370DA"/>
    <w:rsid w:val="0093775D"/>
    <w:rsid w:val="0093777E"/>
    <w:rsid w:val="00941F43"/>
    <w:rsid w:val="009434EF"/>
    <w:rsid w:val="00951E0B"/>
    <w:rsid w:val="0095472E"/>
    <w:rsid w:val="00955F0C"/>
    <w:rsid w:val="009562C5"/>
    <w:rsid w:val="009610E8"/>
    <w:rsid w:val="0097400D"/>
    <w:rsid w:val="009749D3"/>
    <w:rsid w:val="00974A27"/>
    <w:rsid w:val="00980598"/>
    <w:rsid w:val="00984544"/>
    <w:rsid w:val="00984FCF"/>
    <w:rsid w:val="00987558"/>
    <w:rsid w:val="00992D9C"/>
    <w:rsid w:val="00996773"/>
    <w:rsid w:val="009A28FB"/>
    <w:rsid w:val="009A7E53"/>
    <w:rsid w:val="009C08C8"/>
    <w:rsid w:val="009D5CDC"/>
    <w:rsid w:val="009D6255"/>
    <w:rsid w:val="009E17D2"/>
    <w:rsid w:val="009E2487"/>
    <w:rsid w:val="009E38C9"/>
    <w:rsid w:val="009F02D9"/>
    <w:rsid w:val="009F2AD1"/>
    <w:rsid w:val="009F3555"/>
    <w:rsid w:val="009F389E"/>
    <w:rsid w:val="009F38B8"/>
    <w:rsid w:val="009F407E"/>
    <w:rsid w:val="009F4FB0"/>
    <w:rsid w:val="009F5145"/>
    <w:rsid w:val="009F6E84"/>
    <w:rsid w:val="00A03F8C"/>
    <w:rsid w:val="00A06142"/>
    <w:rsid w:val="00A0788A"/>
    <w:rsid w:val="00A108BC"/>
    <w:rsid w:val="00A1145A"/>
    <w:rsid w:val="00A133E9"/>
    <w:rsid w:val="00A13D42"/>
    <w:rsid w:val="00A15C9B"/>
    <w:rsid w:val="00A16B77"/>
    <w:rsid w:val="00A26486"/>
    <w:rsid w:val="00A3087A"/>
    <w:rsid w:val="00A311EF"/>
    <w:rsid w:val="00A3254D"/>
    <w:rsid w:val="00A32EF2"/>
    <w:rsid w:val="00A360D8"/>
    <w:rsid w:val="00A37D57"/>
    <w:rsid w:val="00A4004A"/>
    <w:rsid w:val="00A41A51"/>
    <w:rsid w:val="00A424D4"/>
    <w:rsid w:val="00A42C57"/>
    <w:rsid w:val="00A461C0"/>
    <w:rsid w:val="00A47B45"/>
    <w:rsid w:val="00A53D93"/>
    <w:rsid w:val="00A56459"/>
    <w:rsid w:val="00A661E2"/>
    <w:rsid w:val="00A71431"/>
    <w:rsid w:val="00A7204F"/>
    <w:rsid w:val="00A73AE7"/>
    <w:rsid w:val="00A770AD"/>
    <w:rsid w:val="00A805C1"/>
    <w:rsid w:val="00A830C1"/>
    <w:rsid w:val="00A8385C"/>
    <w:rsid w:val="00A856B7"/>
    <w:rsid w:val="00A86D66"/>
    <w:rsid w:val="00A951CF"/>
    <w:rsid w:val="00A95F3C"/>
    <w:rsid w:val="00AA06B1"/>
    <w:rsid w:val="00AA6A2B"/>
    <w:rsid w:val="00AB06F8"/>
    <w:rsid w:val="00AB07FD"/>
    <w:rsid w:val="00AB3CF0"/>
    <w:rsid w:val="00AB3EE9"/>
    <w:rsid w:val="00AB769E"/>
    <w:rsid w:val="00AC4EF8"/>
    <w:rsid w:val="00AD159F"/>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09EF"/>
    <w:rsid w:val="00B249BB"/>
    <w:rsid w:val="00B25554"/>
    <w:rsid w:val="00B25772"/>
    <w:rsid w:val="00B26499"/>
    <w:rsid w:val="00B26AFA"/>
    <w:rsid w:val="00B272F1"/>
    <w:rsid w:val="00B40F29"/>
    <w:rsid w:val="00B432C8"/>
    <w:rsid w:val="00B44912"/>
    <w:rsid w:val="00B51E08"/>
    <w:rsid w:val="00B57464"/>
    <w:rsid w:val="00B57DDE"/>
    <w:rsid w:val="00B61036"/>
    <w:rsid w:val="00B65567"/>
    <w:rsid w:val="00B65666"/>
    <w:rsid w:val="00B66555"/>
    <w:rsid w:val="00B66DDC"/>
    <w:rsid w:val="00B711CD"/>
    <w:rsid w:val="00B72DD3"/>
    <w:rsid w:val="00B7335C"/>
    <w:rsid w:val="00B737E6"/>
    <w:rsid w:val="00B73B34"/>
    <w:rsid w:val="00B776AD"/>
    <w:rsid w:val="00B907C8"/>
    <w:rsid w:val="00B95414"/>
    <w:rsid w:val="00B96281"/>
    <w:rsid w:val="00B973EE"/>
    <w:rsid w:val="00B97655"/>
    <w:rsid w:val="00B97BC5"/>
    <w:rsid w:val="00BA15CB"/>
    <w:rsid w:val="00BA170A"/>
    <w:rsid w:val="00BA71FB"/>
    <w:rsid w:val="00BA728B"/>
    <w:rsid w:val="00BB2BEE"/>
    <w:rsid w:val="00BB370A"/>
    <w:rsid w:val="00BB60CF"/>
    <w:rsid w:val="00BB7F52"/>
    <w:rsid w:val="00BC2240"/>
    <w:rsid w:val="00BC4B5F"/>
    <w:rsid w:val="00BC616E"/>
    <w:rsid w:val="00BD2DD8"/>
    <w:rsid w:val="00BE17DE"/>
    <w:rsid w:val="00BE28E2"/>
    <w:rsid w:val="00BE3D1A"/>
    <w:rsid w:val="00BE51BC"/>
    <w:rsid w:val="00BF1DBA"/>
    <w:rsid w:val="00BF1E3B"/>
    <w:rsid w:val="00BF6EE5"/>
    <w:rsid w:val="00C024B9"/>
    <w:rsid w:val="00C03D93"/>
    <w:rsid w:val="00C05226"/>
    <w:rsid w:val="00C0679C"/>
    <w:rsid w:val="00C13291"/>
    <w:rsid w:val="00C1492F"/>
    <w:rsid w:val="00C14966"/>
    <w:rsid w:val="00C175B5"/>
    <w:rsid w:val="00C205A8"/>
    <w:rsid w:val="00C2440C"/>
    <w:rsid w:val="00C340B5"/>
    <w:rsid w:val="00C350D6"/>
    <w:rsid w:val="00C36154"/>
    <w:rsid w:val="00C36BC1"/>
    <w:rsid w:val="00C374B1"/>
    <w:rsid w:val="00C4778C"/>
    <w:rsid w:val="00C47E5C"/>
    <w:rsid w:val="00C52720"/>
    <w:rsid w:val="00C540EA"/>
    <w:rsid w:val="00C62010"/>
    <w:rsid w:val="00C628C4"/>
    <w:rsid w:val="00C6303A"/>
    <w:rsid w:val="00C63254"/>
    <w:rsid w:val="00C645E3"/>
    <w:rsid w:val="00C76B0A"/>
    <w:rsid w:val="00C83467"/>
    <w:rsid w:val="00C84047"/>
    <w:rsid w:val="00C84BDF"/>
    <w:rsid w:val="00C854D3"/>
    <w:rsid w:val="00C85AAA"/>
    <w:rsid w:val="00C85E25"/>
    <w:rsid w:val="00C874C0"/>
    <w:rsid w:val="00C90F76"/>
    <w:rsid w:val="00C915FE"/>
    <w:rsid w:val="00C91C3B"/>
    <w:rsid w:val="00C929E0"/>
    <w:rsid w:val="00C940A4"/>
    <w:rsid w:val="00C94998"/>
    <w:rsid w:val="00C94A01"/>
    <w:rsid w:val="00CA0825"/>
    <w:rsid w:val="00CA2FF5"/>
    <w:rsid w:val="00CA39B3"/>
    <w:rsid w:val="00CA43D8"/>
    <w:rsid w:val="00CB32D7"/>
    <w:rsid w:val="00CB49DA"/>
    <w:rsid w:val="00CB5F04"/>
    <w:rsid w:val="00CC1F19"/>
    <w:rsid w:val="00CC3108"/>
    <w:rsid w:val="00CC4FDA"/>
    <w:rsid w:val="00CC6A8B"/>
    <w:rsid w:val="00CD3EA5"/>
    <w:rsid w:val="00CD3FFC"/>
    <w:rsid w:val="00CD786D"/>
    <w:rsid w:val="00CE161F"/>
    <w:rsid w:val="00CE24C4"/>
    <w:rsid w:val="00CE3C57"/>
    <w:rsid w:val="00CE4CEB"/>
    <w:rsid w:val="00CF1A7A"/>
    <w:rsid w:val="00CF432D"/>
    <w:rsid w:val="00D0019A"/>
    <w:rsid w:val="00D01335"/>
    <w:rsid w:val="00D0247D"/>
    <w:rsid w:val="00D02CF3"/>
    <w:rsid w:val="00D03355"/>
    <w:rsid w:val="00D03AFD"/>
    <w:rsid w:val="00D03EC6"/>
    <w:rsid w:val="00D0422C"/>
    <w:rsid w:val="00D05380"/>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06A5"/>
    <w:rsid w:val="00D65832"/>
    <w:rsid w:val="00D67E7B"/>
    <w:rsid w:val="00D83011"/>
    <w:rsid w:val="00D84AE3"/>
    <w:rsid w:val="00D86FBD"/>
    <w:rsid w:val="00D9012C"/>
    <w:rsid w:val="00D9052E"/>
    <w:rsid w:val="00D90A1D"/>
    <w:rsid w:val="00D92A34"/>
    <w:rsid w:val="00D9408A"/>
    <w:rsid w:val="00D978B5"/>
    <w:rsid w:val="00DA1D8E"/>
    <w:rsid w:val="00DA26B0"/>
    <w:rsid w:val="00DB33D2"/>
    <w:rsid w:val="00DB5716"/>
    <w:rsid w:val="00DB7ED2"/>
    <w:rsid w:val="00DC16DB"/>
    <w:rsid w:val="00DC1D26"/>
    <w:rsid w:val="00DC2E98"/>
    <w:rsid w:val="00DC397A"/>
    <w:rsid w:val="00DC6D6C"/>
    <w:rsid w:val="00DD095D"/>
    <w:rsid w:val="00DD2021"/>
    <w:rsid w:val="00DD4F95"/>
    <w:rsid w:val="00DD547A"/>
    <w:rsid w:val="00DD5674"/>
    <w:rsid w:val="00DE1589"/>
    <w:rsid w:val="00DE511A"/>
    <w:rsid w:val="00DE7E29"/>
    <w:rsid w:val="00DE7EA9"/>
    <w:rsid w:val="00DF0372"/>
    <w:rsid w:val="00DF4A60"/>
    <w:rsid w:val="00E02F97"/>
    <w:rsid w:val="00E0326C"/>
    <w:rsid w:val="00E11205"/>
    <w:rsid w:val="00E13334"/>
    <w:rsid w:val="00E16EF2"/>
    <w:rsid w:val="00E17CFE"/>
    <w:rsid w:val="00E23E1B"/>
    <w:rsid w:val="00E30B08"/>
    <w:rsid w:val="00E31C66"/>
    <w:rsid w:val="00E321BA"/>
    <w:rsid w:val="00E329E8"/>
    <w:rsid w:val="00E331BD"/>
    <w:rsid w:val="00E40B83"/>
    <w:rsid w:val="00E42045"/>
    <w:rsid w:val="00E42D8B"/>
    <w:rsid w:val="00E42F45"/>
    <w:rsid w:val="00E45914"/>
    <w:rsid w:val="00E51BDC"/>
    <w:rsid w:val="00E522AE"/>
    <w:rsid w:val="00E5288D"/>
    <w:rsid w:val="00E529A8"/>
    <w:rsid w:val="00E53EF6"/>
    <w:rsid w:val="00E547B6"/>
    <w:rsid w:val="00E57C9D"/>
    <w:rsid w:val="00E6405A"/>
    <w:rsid w:val="00E66CCD"/>
    <w:rsid w:val="00E71191"/>
    <w:rsid w:val="00E81F3D"/>
    <w:rsid w:val="00E8301B"/>
    <w:rsid w:val="00E83FC3"/>
    <w:rsid w:val="00E84D58"/>
    <w:rsid w:val="00E851A1"/>
    <w:rsid w:val="00E9226F"/>
    <w:rsid w:val="00E9241E"/>
    <w:rsid w:val="00EA0906"/>
    <w:rsid w:val="00EA2412"/>
    <w:rsid w:val="00EA3584"/>
    <w:rsid w:val="00EB5B38"/>
    <w:rsid w:val="00EB603B"/>
    <w:rsid w:val="00EC2D32"/>
    <w:rsid w:val="00EC4D3E"/>
    <w:rsid w:val="00EC5A9C"/>
    <w:rsid w:val="00ED3F0D"/>
    <w:rsid w:val="00EE0ECF"/>
    <w:rsid w:val="00EE23CC"/>
    <w:rsid w:val="00EF0AC9"/>
    <w:rsid w:val="00EF39B3"/>
    <w:rsid w:val="00EF6088"/>
    <w:rsid w:val="00EF7C66"/>
    <w:rsid w:val="00F00553"/>
    <w:rsid w:val="00F0248E"/>
    <w:rsid w:val="00F04A5A"/>
    <w:rsid w:val="00F0504A"/>
    <w:rsid w:val="00F06CDE"/>
    <w:rsid w:val="00F078D7"/>
    <w:rsid w:val="00F10934"/>
    <w:rsid w:val="00F139B1"/>
    <w:rsid w:val="00F1487A"/>
    <w:rsid w:val="00F17B86"/>
    <w:rsid w:val="00F21CA9"/>
    <w:rsid w:val="00F226FE"/>
    <w:rsid w:val="00F24096"/>
    <w:rsid w:val="00F26374"/>
    <w:rsid w:val="00F34A82"/>
    <w:rsid w:val="00F35664"/>
    <w:rsid w:val="00F40746"/>
    <w:rsid w:val="00F414EF"/>
    <w:rsid w:val="00F4152C"/>
    <w:rsid w:val="00F442E1"/>
    <w:rsid w:val="00F47542"/>
    <w:rsid w:val="00F51893"/>
    <w:rsid w:val="00F54A1E"/>
    <w:rsid w:val="00F57B5A"/>
    <w:rsid w:val="00F613F0"/>
    <w:rsid w:val="00F6333E"/>
    <w:rsid w:val="00F64D52"/>
    <w:rsid w:val="00F75C23"/>
    <w:rsid w:val="00F7610F"/>
    <w:rsid w:val="00F76DAF"/>
    <w:rsid w:val="00F854F6"/>
    <w:rsid w:val="00F93AB5"/>
    <w:rsid w:val="00FA0F3D"/>
    <w:rsid w:val="00FA2A93"/>
    <w:rsid w:val="00FA2B81"/>
    <w:rsid w:val="00FA51A2"/>
    <w:rsid w:val="00FA606A"/>
    <w:rsid w:val="00FB2A43"/>
    <w:rsid w:val="00FB351B"/>
    <w:rsid w:val="00FB5E5C"/>
    <w:rsid w:val="00FC0187"/>
    <w:rsid w:val="00FC0378"/>
    <w:rsid w:val="00FC24C0"/>
    <w:rsid w:val="00FC25A0"/>
    <w:rsid w:val="00FC7816"/>
    <w:rsid w:val="00FD4BB2"/>
    <w:rsid w:val="00FD65C5"/>
    <w:rsid w:val="00FD660A"/>
    <w:rsid w:val="00FD688A"/>
    <w:rsid w:val="00FD6AD0"/>
    <w:rsid w:val="00FD6E99"/>
    <w:rsid w:val="00FD70AF"/>
    <w:rsid w:val="00FE359B"/>
    <w:rsid w:val="00FE3721"/>
    <w:rsid w:val="00FE4789"/>
    <w:rsid w:val="00FF06DC"/>
    <w:rsid w:val="00FF1C0F"/>
    <w:rsid w:val="00FF3539"/>
    <w:rsid w:val="00FF3C76"/>
    <w:rsid w:val="00FF60EB"/>
    <w:rsid w:val="00FF7F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F10934"/>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F10934"/>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F10934"/>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F10934"/>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C1F3-A2AD-4ECE-B51D-0D1FE5B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3693</Words>
  <Characters>21052</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8</cp:revision>
  <cp:lastPrinted>2015-05-20T13:25:00Z</cp:lastPrinted>
  <dcterms:created xsi:type="dcterms:W3CDTF">2015-05-20T12:56:00Z</dcterms:created>
  <dcterms:modified xsi:type="dcterms:W3CDTF">2015-05-20T13:55:00Z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