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9F4479" w:rsidP="00EE23CC">
            <w:r w:rsidRPr="00C47553">
              <w:rPr>
                <w:noProof/>
                <w:lang w:val="en-GB" w:eastAsia="en-GB" w:bidi="ar-SA"/>
              </w:rPr>
              <w:drawing>
                <wp:inline distT="0" distB="0" distL="0" distR="0" wp14:anchorId="2552C4F7" wp14:editId="735B037B">
                  <wp:extent cx="2767980"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980"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9F4479" w:rsidP="001F70B4">
            <w:r w:rsidRPr="00C47553">
              <w:rPr>
                <w:noProof/>
                <w:lang w:val="en-GB" w:eastAsia="en-GB" w:bidi="ar-SA"/>
              </w:rPr>
              <w:drawing>
                <wp:inline distT="0" distB="0" distL="0" distR="0" wp14:anchorId="01FDA567" wp14:editId="7ABF02A8">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09457A" w:rsidRDefault="00B15FA6" w:rsidP="0009457A">
      <w:pPr>
        <w:pStyle w:val="newsTitle"/>
      </w:pPr>
      <w:r w:rsidRPr="0009457A">
        <w:t>Europees Drugsrapport 2015 — 20 jaar monitoring</w:t>
      </w:r>
    </w:p>
    <w:p w:rsidR="000C1074" w:rsidRPr="00E52701" w:rsidRDefault="0045053C" w:rsidP="00E52701">
      <w:pPr>
        <w:pStyle w:val="newsSubTitle"/>
        <w:rPr>
          <w:sz w:val="21"/>
          <w:szCs w:val="21"/>
        </w:rPr>
      </w:pPr>
      <w:r w:rsidRPr="00E52701">
        <w:rPr>
          <w:sz w:val="21"/>
          <w:szCs w:val="21"/>
        </w:rPr>
        <w:t>EMCDDA onderzoekt nieuwe dynamieken en dimensies van het drugsprobleem in Europa</w:t>
      </w:r>
    </w:p>
    <w:p w:rsidR="000C1074" w:rsidRDefault="0008340F" w:rsidP="004E7B44">
      <w:pPr>
        <w:pStyle w:val="newsContent"/>
        <w:rPr>
          <w:rFonts w:eastAsia="Times New Roman"/>
        </w:rPr>
      </w:pPr>
      <w:r>
        <w:t xml:space="preserve">(4.6.2015, </w:t>
      </w:r>
      <w:r>
        <w:rPr>
          <w:caps/>
        </w:rPr>
        <w:t xml:space="preserve">Lissabon </w:t>
      </w:r>
      <w:r>
        <w:rPr>
          <w:b/>
          <w:color w:val="FF0000"/>
        </w:rPr>
        <w:t>EMBARGO 10:00 WET/tijd in Lissabon</w:t>
      </w:r>
      <w:r>
        <w:t xml:space="preserve">) Veranderende dynamieken in de heroïnemarkt, de meest recente </w:t>
      </w:r>
      <w:r w:rsidR="001A1C15">
        <w:t>gevolgen</w:t>
      </w:r>
      <w:r>
        <w:t xml:space="preserve"> van cannabisgebruik en nieuwe kenmerken en dimensies van de wereld van de stimulerende middelen en ‘nieuwe drugs’ zijn enkele van de onderwerpen die het </w:t>
      </w:r>
      <w:r>
        <w:rPr>
          <w:b/>
        </w:rPr>
        <w:t>Europees Waarnemingscentrum voor drugs en drugsverslaving (EMCDDA)</w:t>
      </w:r>
      <w:r>
        <w:t xml:space="preserve"> belicht in het </w:t>
      </w:r>
      <w:r>
        <w:rPr>
          <w:b/>
          <w:i/>
        </w:rPr>
        <w:t>Europees Drugsrapport 2015:</w:t>
      </w:r>
      <w:r>
        <w:t xml:space="preserve"> </w:t>
      </w:r>
      <w:r>
        <w:rPr>
          <w:b/>
          <w:i/>
        </w:rPr>
        <w:t xml:space="preserve">Trends en </w:t>
      </w:r>
      <w:r w:rsidR="00E52701">
        <w:rPr>
          <w:b/>
          <w:i/>
        </w:rPr>
        <w:t>O</w:t>
      </w:r>
      <w:r>
        <w:rPr>
          <w:b/>
          <w:i/>
        </w:rPr>
        <w:t>ntwikkelingen</w:t>
      </w:r>
      <w:r>
        <w:t xml:space="preserve">, dat het </w:t>
      </w:r>
      <w:r w:rsidR="0009457A">
        <w:t>a</w:t>
      </w:r>
      <w:r>
        <w:t>gentschap vandaag in Lissabon uitbrengt (</w:t>
      </w:r>
      <w:r>
        <w:rPr>
          <w:vertAlign w:val="superscript"/>
        </w:rPr>
        <w:t>1</w:t>
      </w:r>
      <w:r>
        <w:t xml:space="preserve">). In zijn jaarlijks verslag kijkt het </w:t>
      </w:r>
      <w:r w:rsidR="0009457A">
        <w:t>a</w:t>
      </w:r>
      <w:r>
        <w:t>gentschap terug op 20 jaar monitoring en onderzoekt het de mondiale invloeden en lokale vertakkingen van het steeds veranderende drugsprobleem in Europa.</w:t>
      </w:r>
    </w:p>
    <w:p w:rsidR="000C1074" w:rsidRDefault="00362CD8" w:rsidP="00362CD8">
      <w:pPr>
        <w:spacing w:after="260" w:line="260" w:lineRule="exact"/>
        <w:rPr>
          <w:rFonts w:eastAsia="Times New Roman" w:cs="Arial"/>
          <w:szCs w:val="20"/>
        </w:rPr>
      </w:pPr>
      <w:r>
        <w:rPr>
          <w:b/>
        </w:rPr>
        <w:t>Dimitris Avramopoulos, Europees commissaris voor Migratie, Binnenlandse Zaken en Burgerschap</w:t>
      </w:r>
      <w:r>
        <w:t>, stelt: "Het rapport laat zien dat we worden geconfronteerd met een snel veranderende, geglobaliseerde</w:t>
      </w:r>
      <w:r>
        <w:rPr>
          <w:b/>
        </w:rPr>
        <w:t xml:space="preserve"> </w:t>
      </w:r>
      <w:r>
        <w:t xml:space="preserve">drugsmarkt. We moeten daarom </w:t>
      </w:r>
      <w:r w:rsidR="001A1C15">
        <w:t>eensgezind</w:t>
      </w:r>
      <w:r>
        <w:t>, snel en vastberaden zijn in onze reactie op de bedreiging die drugs zijn.</w:t>
      </w:r>
      <w:r>
        <w:rPr>
          <w:b/>
        </w:rPr>
        <w:t xml:space="preserve"> </w:t>
      </w:r>
      <w:r>
        <w:t>Wat mij in het bijzonder zorgen baart, is dat het internet steeds meer een nieuw handelskanaal wordt, zowel voor gecontroleerde als voor ongecontroleerde psychoactieve stoffen."</w:t>
      </w:r>
    </w:p>
    <w:p w:rsidR="000C1074" w:rsidRPr="0009457A" w:rsidRDefault="00362CD8" w:rsidP="00362CD8">
      <w:r w:rsidRPr="0009457A">
        <w:rPr>
          <w:b/>
        </w:rPr>
        <w:t>Commissaris Avramopoulos</w:t>
      </w:r>
      <w:r w:rsidRPr="0009457A">
        <w:t xml:space="preserve"> vervolgt: "Europa speelt een toonaangevende rol in het aanpakken van het </w:t>
      </w:r>
      <w:r w:rsidR="00630257" w:rsidRPr="0009457A">
        <w:t xml:space="preserve">fenomeen </w:t>
      </w:r>
      <w:r w:rsidRPr="0009457A">
        <w:t xml:space="preserve">'nieuwe drugs' en zal dit voor het welzijn en de veiligheid van onze burgers blijven doen. </w:t>
      </w:r>
      <w:r w:rsidR="00E52701" w:rsidRPr="0009457A">
        <w:t xml:space="preserve">  </w:t>
      </w:r>
      <w:r w:rsidRPr="0009457A">
        <w:t>In 2014 zijn 101 nieuwe ongecontroleerde psychoactieve stoffen gemeld, wat een uitdaging is voor onze bestaande controlemechanismen. Ik kijk uit naar de komende EU-wetgeving op dit gebied, waarover momenteel wordt onderhandeld. Deze zal onze reacties verder versterken en zal ons betere instrumenten verschaffen om deze stoffen sneller en doeltreffender aan te pakken."</w:t>
      </w:r>
    </w:p>
    <w:p w:rsidR="000C1074" w:rsidRDefault="004E5A93" w:rsidP="004E5A93">
      <w:pPr>
        <w:spacing w:after="260" w:line="260" w:lineRule="exact"/>
        <w:rPr>
          <w:rFonts w:cs="Arial"/>
          <w:b/>
          <w:szCs w:val="20"/>
        </w:rPr>
      </w:pPr>
      <w:r>
        <w:rPr>
          <w:b/>
        </w:rPr>
        <w:t>Heroïnegebruik neemt af, maar marktveranderingen vragen om nauwlettende monitoring</w:t>
      </w:r>
    </w:p>
    <w:p w:rsidR="000C1074" w:rsidRPr="0043414B" w:rsidRDefault="00D67E7B" w:rsidP="00D67E7B">
      <w:pPr>
        <w:spacing w:before="100" w:beforeAutospacing="1" w:after="100" w:afterAutospacing="1"/>
        <w:rPr>
          <w:rFonts w:cs="Arial"/>
          <w:szCs w:val="20"/>
        </w:rPr>
      </w:pPr>
      <w:r>
        <w:t xml:space="preserve">Een groot deel van de drugsgerelateerde gezondheids- en maatschappelijke kosten in Europa wordt nog steeds veroorzaakt door problemen in verband met heroïne, maar de jongste trends op dit gebied zijn ‘betrekkelijk positief’ volgens het </w:t>
      </w:r>
      <w:r>
        <w:rPr>
          <w:b/>
        </w:rPr>
        <w:t>EMCDDA</w:t>
      </w:r>
      <w:r>
        <w:t xml:space="preserve">, dat melding maakt van een ‘algemene stagnatie in de vraag naar deze drug’. </w:t>
      </w:r>
      <w:r w:rsidR="00BE2EB2">
        <w:t>M</w:t>
      </w:r>
      <w:r>
        <w:t>inder mensen</w:t>
      </w:r>
      <w:r w:rsidR="00BE2EB2">
        <w:t xml:space="preserve"> gaan nu</w:t>
      </w:r>
      <w:r>
        <w:t xml:space="preserve"> </w:t>
      </w:r>
      <w:r w:rsidR="00F03796">
        <w:t>naar de</w:t>
      </w:r>
      <w:r>
        <w:t xml:space="preserve"> </w:t>
      </w:r>
      <w:r w:rsidR="00F03796">
        <w:t>verslavingszorg</w:t>
      </w:r>
      <w:r w:rsidR="00BE2EB2">
        <w:t xml:space="preserve"> voor de eerste maal</w:t>
      </w:r>
      <w:r>
        <w:t xml:space="preserve"> wegens problemen met heroïne: 23 000 in 2013 vergeleken met 59 000 in 2007. Er wordt bovendien geschat dat meer dan de helft (700 000) van de 1,3 miljoen problematische opioïdengebruikers (d.w.z. langdurige, verslaafde gebruikers) in Europa nu een substitutiebehandeling voor opioïden volgt (figuur 3.6).</w:t>
      </w:r>
    </w:p>
    <w:p w:rsidR="000C1074" w:rsidRDefault="004E5A93" w:rsidP="00C929E0">
      <w:pPr>
        <w:spacing w:before="100" w:beforeAutospacing="1" w:after="260" w:line="260" w:lineRule="exact"/>
        <w:rPr>
          <w:rFonts w:eastAsia="Times New Roman" w:cs="Arial"/>
          <w:szCs w:val="20"/>
        </w:rPr>
      </w:pPr>
      <w:r>
        <w:t xml:space="preserve">De gegevens over gerapporteerde inbeslagnames, die de trends in het aanbod van heroïne helpen begrijpen, laten eveneens een daling zien. De hoeveelheid heroïne die in 2013 in de EU in beslag werd genomen (5,6 ton), was een van de kleinste die in het afgelopen decennium werd gerapporteerd — de helft van de hoeveelheid die in 2002 in beslag werd genomen (10 ton). Het aantal heroïnevangsten is eveneens gedaald van om en nabij de 45 000 in 2002 tot 32 000 in 2013 (figuur 1.6). Maar tegen deze positieve achtergrond signaleert het </w:t>
      </w:r>
      <w:r>
        <w:rPr>
          <w:b/>
        </w:rPr>
        <w:t>EMCDDA</w:t>
      </w:r>
      <w:r>
        <w:t xml:space="preserve"> ook een aantal veranderingen </w:t>
      </w:r>
      <w:r w:rsidR="00CF6288">
        <w:t xml:space="preserve">op </w:t>
      </w:r>
      <w:r>
        <w:t>de markt die vragen om nauwlettende monitoring.</w:t>
      </w:r>
    </w:p>
    <w:p w:rsidR="000C1074" w:rsidRDefault="004E5A93" w:rsidP="004E5A93">
      <w:pPr>
        <w:spacing w:before="100" w:beforeAutospacing="1" w:after="260" w:line="260" w:lineRule="exact"/>
        <w:rPr>
          <w:rFonts w:eastAsia="Times New Roman" w:cs="Arial"/>
          <w:szCs w:val="20"/>
        </w:rPr>
      </w:pPr>
      <w:r>
        <w:t xml:space="preserve">Volgens de meest recente schattingen van de </w:t>
      </w:r>
      <w:r>
        <w:rPr>
          <w:b/>
        </w:rPr>
        <w:t>VN</w:t>
      </w:r>
      <w:r>
        <w:t xml:space="preserve"> (</w:t>
      </w:r>
      <w:r>
        <w:rPr>
          <w:vertAlign w:val="superscript"/>
        </w:rPr>
        <w:t>2</w:t>
      </w:r>
      <w:r>
        <w:t xml:space="preserve">) is bijvoorbeeld de opiumproductie in </w:t>
      </w:r>
      <w:r>
        <w:rPr>
          <w:b/>
        </w:rPr>
        <w:t>Afghanistan</w:t>
      </w:r>
      <w:r>
        <w:t xml:space="preserve"> in 2013 en 2014 sterk toegenomen. Dit land is leverancier van de meeste heroïne die in Europa wordt </w:t>
      </w:r>
      <w:r>
        <w:lastRenderedPageBreak/>
        <w:t xml:space="preserve">gebruikt. Een potentieel domino-effect hiervan zou grotere beschikbaarheid van heroïne op de Europese markt kunnen zijn. Ook wordt de aandacht gevestigd op tekenen van marktinnovatie, waaronder de ontdekking van heroïneverwerkende laboratoria binnen Europa, voor het eerst sinds de jaren zeventig. </w:t>
      </w:r>
      <w:r w:rsidR="0009457A">
        <w:t xml:space="preserve">         </w:t>
      </w:r>
      <w:r>
        <w:t xml:space="preserve">In 2013 en 2014 werden in </w:t>
      </w:r>
      <w:r>
        <w:rPr>
          <w:b/>
        </w:rPr>
        <w:t>Spanje</w:t>
      </w:r>
      <w:r>
        <w:t xml:space="preserve"> twee laboratoria ontdekt waar morfine werd omgezet in heroïne.</w:t>
      </w:r>
    </w:p>
    <w:p w:rsidR="000C1074" w:rsidRDefault="004E5A93" w:rsidP="004E5A93">
      <w:pPr>
        <w:spacing w:before="100" w:beforeAutospacing="1" w:after="260" w:line="260" w:lineRule="exact"/>
        <w:rPr>
          <w:rFonts w:eastAsia="SimSun" w:cs="Arial"/>
          <w:szCs w:val="20"/>
        </w:rPr>
      </w:pPr>
      <w:r>
        <w:t xml:space="preserve">Ook wordt de aandacht gevestigd op veranderingen in de smokkel van heroïne naar Europa. Hoewel de traditionele </w:t>
      </w:r>
      <w:r>
        <w:rPr>
          <w:b/>
        </w:rPr>
        <w:t>‘Balkanroute’</w:t>
      </w:r>
      <w:r>
        <w:t xml:space="preserve"> belangrijk blijft, zijn er tekenen dat de </w:t>
      </w:r>
      <w:r>
        <w:rPr>
          <w:b/>
        </w:rPr>
        <w:t>‘zuidelijke route’</w:t>
      </w:r>
      <w:r>
        <w:t xml:space="preserve"> aan populariteit wint. (Deze route begint in Iran en Pakistan en bereikt Europa direct of indirect via landen op het Arabisch schiereiland en in het oosten, zuiden en westen van Afrika.) Een nieuwe analyse die vandaag naar buiten wordt gebracht over de smokkel van opioïden vanuit </w:t>
      </w:r>
      <w:r>
        <w:rPr>
          <w:b/>
        </w:rPr>
        <w:t xml:space="preserve">Azië </w:t>
      </w:r>
      <w:r>
        <w:t>naar</w:t>
      </w:r>
      <w:r>
        <w:rPr>
          <w:b/>
        </w:rPr>
        <w:t xml:space="preserve"> Europa</w:t>
      </w:r>
      <w:r>
        <w:t xml:space="preserve">, wijst op een diversificatie van de verhandelde producten (bijv. morfinebase en opium, naast heroïne) en van de gebruikte vervoersmiddelen en aanvoerroutes (zie </w:t>
      </w:r>
      <w:r w:rsidR="0009457A">
        <w:t>‘</w:t>
      </w:r>
      <w:r>
        <w:t>Perspectieven op drugs</w:t>
      </w:r>
      <w:r w:rsidR="0009457A">
        <w:t>’</w:t>
      </w:r>
      <w:r w:rsidR="00E52701">
        <w:t xml:space="preserve"> — </w:t>
      </w:r>
      <w:r w:rsidR="00E52701" w:rsidRPr="00E52701">
        <w:rPr>
          <w:i/>
        </w:rPr>
        <w:t>Perspectives on Drugs</w:t>
      </w:r>
      <w:r>
        <w:t>/POD).</w:t>
      </w:r>
    </w:p>
    <w:p w:rsidR="000C1074" w:rsidRDefault="004E5A93" w:rsidP="004E5A93">
      <w:pPr>
        <w:spacing w:before="100" w:beforeAutospacing="1" w:after="260" w:line="260" w:lineRule="exact"/>
        <w:rPr>
          <w:rFonts w:cs="Arial"/>
          <w:szCs w:val="20"/>
        </w:rPr>
      </w:pPr>
      <w:r>
        <w:rPr>
          <w:b/>
        </w:rPr>
        <w:t>EMCDDA-directeur Wolfgang Götz</w:t>
      </w:r>
      <w:r>
        <w:t xml:space="preserve"> stelt vandaag</w:t>
      </w:r>
      <w:r w:rsidRPr="0009457A">
        <w:t>: "</w:t>
      </w:r>
      <w:r>
        <w:t xml:space="preserve">Veranderingen in de activiteiten op het gebied van wetshandhaving, instabiliteit en gewapende conflicten, en de meervoudige en snelle verbindingen die de globalisering heeft gebracht, zijn slechts enkele factoren die de smokkelroutes kunnen wijzigen. </w:t>
      </w:r>
      <w:r w:rsidR="00BE2EB2">
        <w:t>Hedendage</w:t>
      </w:r>
      <w:r>
        <w:t xml:space="preserve"> zien we een duidelijke toename van de opiumproductie in Afghanistan en een diversificatie van zowel de verhandelde producten als de gebruikte smokkelmethoden en -routes. Dit wordt nog verergerd door het feit dat cruciale fasen van de heroïneproductie nu in Europa worden uitgevoerd. </w:t>
      </w:r>
      <w:r w:rsidR="00CF2955">
        <w:t xml:space="preserve">      </w:t>
      </w:r>
      <w:r>
        <w:t>Elke mogelijkheid van een heropleving van heroïneproblemen is zorgwekkend, en nauwlettende monitoring van de situatie is essentiee</w:t>
      </w:r>
      <w:r w:rsidRPr="0009457A">
        <w:t>l."</w:t>
      </w:r>
    </w:p>
    <w:p w:rsidR="000C1074" w:rsidRDefault="00D67E7B" w:rsidP="004E5A93">
      <w:pPr>
        <w:spacing w:before="100" w:beforeAutospacing="1" w:after="260" w:line="260" w:lineRule="exact"/>
        <w:rPr>
          <w:rFonts w:cs="Arial"/>
        </w:rPr>
      </w:pPr>
      <w:r>
        <w:t>Andere opioïden, naast heroïne, die in 2013 door de rechtshandhavingsinstanties in Europese landen in beslag werden genomen, zijn onder andere opium, ruwe opiumpreparaten (bijv. ‘kompot’), genees</w:t>
      </w:r>
      <w:r w:rsidR="00E52701">
        <w:t>-</w:t>
      </w:r>
      <w:r>
        <w:t>middelen (morfine, methadon, buprenorfine, fentanyl en tramadol) en nieuwe synthetische opioïden.</w:t>
      </w:r>
    </w:p>
    <w:p w:rsidR="005C1394" w:rsidRPr="005C1394" w:rsidRDefault="00194867" w:rsidP="005C1394">
      <w:pPr>
        <w:spacing w:after="260" w:line="260" w:lineRule="exact"/>
        <w:rPr>
          <w:rFonts w:cs="Arial"/>
          <w:b/>
          <w:szCs w:val="20"/>
        </w:rPr>
      </w:pPr>
      <w:r>
        <w:rPr>
          <w:b/>
        </w:rPr>
        <w:t>Oudere opioïdengebruikers hebben hulpverlening op maat nodig</w:t>
      </w:r>
    </w:p>
    <w:p w:rsidR="000C1074" w:rsidRDefault="005C40D1" w:rsidP="005C1394">
      <w:pPr>
        <w:spacing w:after="260" w:line="260" w:lineRule="exact"/>
        <w:rPr>
          <w:rFonts w:cs="Arial"/>
          <w:szCs w:val="20"/>
        </w:rPr>
      </w:pPr>
      <w:r>
        <w:t xml:space="preserve">Opioïdenverslaving is vaak chronisch, en het is tegenwoordig voor </w:t>
      </w:r>
      <w:r w:rsidR="00492D6D">
        <w:t>de verslavingszorg</w:t>
      </w:r>
      <w:r w:rsidR="0082465E">
        <w:t xml:space="preserve"> en de maatschappelijke opvang </w:t>
      </w:r>
      <w:r>
        <w:t xml:space="preserve">in toenemende mate een uitdaging om langdurige opioïdengebruikers </w:t>
      </w:r>
      <w:r w:rsidR="00DD2E1E">
        <w:t xml:space="preserve">de </w:t>
      </w:r>
      <w:r>
        <w:t xml:space="preserve">passende behandeling en zorg te bieden. Uit het rapport blijkt dat de gemiddelde leeftijd van degenen die zich voor opioïdengebruik laten behandelen, stijgt. De mediane leeftijd is tussen 2006 en 2013 met vijf jaar gestegen (figuur 2.11). Een aanzienlijk aantal opioïdengebruikers in Europa met een voorgeschiedenis van langdurig polydrugsgebruik is nu in de veertig of vijftig. Een voorgeschiedenis van slechte lichamelijke en geestelijke gezondheid, slechte leefomstandigheden, infecties en het misbruik van meerdere stoffen (waaronder alcohol en tabak) maken deze groep vatbaar voor een scala van chronische gezondheidsproblemen (bijv. </w:t>
      </w:r>
      <w:r w:rsidR="0082465E">
        <w:t>hart- en vaatziekten</w:t>
      </w:r>
      <w:r>
        <w:t xml:space="preserve">, </w:t>
      </w:r>
      <w:r w:rsidR="0082465E">
        <w:t>longziekten</w:t>
      </w:r>
      <w:r>
        <w:t xml:space="preserve">, </w:t>
      </w:r>
      <w:r w:rsidR="0082465E">
        <w:t>leverziekten</w:t>
      </w:r>
      <w:r>
        <w:t>).</w:t>
      </w:r>
    </w:p>
    <w:p w:rsidR="000C1074" w:rsidRDefault="005C1394" w:rsidP="0002521E">
      <w:pPr>
        <w:rPr>
          <w:rFonts w:ascii="Times New Roman" w:eastAsia="Times New Roman" w:hAnsi="Times New Roman" w:cs="Times New Roman"/>
          <w:sz w:val="24"/>
          <w:szCs w:val="24"/>
        </w:rPr>
      </w:pPr>
      <w:r>
        <w:t>"Er zijn klinische richt</w:t>
      </w:r>
      <w:r w:rsidR="00453225">
        <w:t>lijnen</w:t>
      </w:r>
      <w:r>
        <w:t xml:space="preserve"> nodig die rekening houden met de demografische verschuiving in de groep opioïdengebruikers met een hoog risico in Europa", stelt het rapport. Deze richt</w:t>
      </w:r>
      <w:r w:rsidR="00453225">
        <w:t>lijnen</w:t>
      </w:r>
      <w:r>
        <w:t xml:space="preserve"> zouden effectieve klinische praktijken moeten ondersteunen en </w:t>
      </w:r>
      <w:r w:rsidR="00453225">
        <w:t>thema’s</w:t>
      </w:r>
      <w:r>
        <w:t xml:space="preserve"> moeten </w:t>
      </w:r>
      <w:r w:rsidR="006F68EB">
        <w:t xml:space="preserve">omvatten </w:t>
      </w:r>
      <w:r>
        <w:t xml:space="preserve">zoals interacties tussen drugs, thuis toe te dienen doseringen van substitutiemedicatie (bijv. methadon, buprenorfine), pijnbestrijding en behandeling van infecties. Slechts enkele landen rapporteren de beschikbaarheid van gerichte programma's voor oudere drugsgebruikers. Deze groep wordt doorgaans geïntegreerd in de bestaande  verslavingszorg (figuur 3.10). </w:t>
      </w:r>
      <w:r>
        <w:rPr>
          <w:b/>
        </w:rPr>
        <w:t>Nederland</w:t>
      </w:r>
      <w:r>
        <w:t xml:space="preserve"> is een van de weinige landen waar </w:t>
      </w:r>
      <w:r w:rsidR="000F05A3">
        <w:t xml:space="preserve">bejaardentehuizen </w:t>
      </w:r>
      <w:r>
        <w:t>zijn opgezet die rekening houden met de behoeften van oudere drugsgebruikers.</w:t>
      </w:r>
    </w:p>
    <w:p w:rsidR="000C1074" w:rsidRDefault="00105FE2" w:rsidP="00435B19">
      <w:pPr>
        <w:spacing w:after="260" w:line="260" w:lineRule="exact"/>
        <w:rPr>
          <w:rFonts w:cs="Arial"/>
          <w:b/>
          <w:szCs w:val="20"/>
        </w:rPr>
      </w:pPr>
      <w:r>
        <w:rPr>
          <w:b/>
        </w:rPr>
        <w:t xml:space="preserve">Behandelingen van hepatitis C worden beter en nieuwe hiv-diagnoses </w:t>
      </w:r>
      <w:r w:rsidR="00CF6288">
        <w:rPr>
          <w:b/>
        </w:rPr>
        <w:t>zorgen voor stabilisering</w:t>
      </w:r>
    </w:p>
    <w:p w:rsidR="007F03EB" w:rsidRPr="00EA3584" w:rsidRDefault="00B96281" w:rsidP="00FC0378">
      <w:pPr>
        <w:spacing w:after="260" w:line="260" w:lineRule="exact"/>
        <w:rPr>
          <w:rFonts w:eastAsia="Times New Roman" w:cs="Arial"/>
          <w:szCs w:val="20"/>
        </w:rPr>
      </w:pPr>
      <w:r>
        <w:t>Hepatitis C wordt overgedragen door gemeenschappelijk gebruik van naalden, spuiten en ander injectiemateriaal, en is in Europa de meest voorkomende infectieziekte onder mensen die drugs injecteren. Uit nationale steekproeven onder deze groep blijkt dat 14 % tot 84 % met het hepatitis C-virus besmet was in de periode 2012–2013 (figuur 2.14). Een hepatitis C-infectie is vaak asymptomatisch en kan decennia lang onopgemerkt blijven. Veel geïnfecteerden ontwikkelen daarna chronische hepatitis en lopen het risico leverziekten te ontwikkelen (bijv. cirrose, kanker).</w:t>
      </w:r>
    </w:p>
    <w:p w:rsidR="000C1074" w:rsidRDefault="00D10437" w:rsidP="002B76D8">
      <w:pPr>
        <w:spacing w:after="260" w:line="260" w:lineRule="exact"/>
        <w:rPr>
          <w:rFonts w:eastAsia="Times New Roman" w:cs="Arial"/>
          <w:szCs w:val="20"/>
        </w:rPr>
      </w:pPr>
      <w:r>
        <w:lastRenderedPageBreak/>
        <w:t xml:space="preserve">Een toenemend aantal landen heeft specifieke strategieën voor hepatitis C ingevoerd of bereidt deze voor. Deze hebben </w:t>
      </w:r>
      <w:r w:rsidR="006F68EB">
        <w:t xml:space="preserve">als </w:t>
      </w:r>
      <w:r>
        <w:t xml:space="preserve">doel om met name de toegang tot hepatitis C-tests te waarborgen. Hoewel er nieuwe antivirale geneesmiddelen beschikbaar zijn — die </w:t>
      </w:r>
      <w:r w:rsidR="00CF6288">
        <w:t xml:space="preserve">een verdere evolutie van </w:t>
      </w:r>
      <w:r>
        <w:t xml:space="preserve">de ziekte </w:t>
      </w:r>
      <w:r w:rsidR="00CF6288">
        <w:t>verhinderen</w:t>
      </w:r>
      <w:r>
        <w:t xml:space="preserve"> of volledig herstel mogelijk maken — wordt het bereik van deze nieuwe behandelingen beperkt door het ontbreken van een diagnose en de hoge kosten van geneesmiddelen.</w:t>
      </w:r>
    </w:p>
    <w:p w:rsidR="000C1074" w:rsidRDefault="00105FE2" w:rsidP="002B76D8">
      <w:pPr>
        <w:spacing w:after="260" w:line="260" w:lineRule="exact"/>
        <w:rPr>
          <w:rFonts w:cs="Arial"/>
          <w:szCs w:val="20"/>
        </w:rPr>
      </w:pPr>
      <w:r>
        <w:t xml:space="preserve">Uit de meest recente gegevens blijkt dat de toename van het aantal nieuwe hiv-diagnoses die worden toegeschreven aan het injecteren van drugs in Europa, als gevolg van uitbraken in </w:t>
      </w:r>
      <w:r>
        <w:rPr>
          <w:b/>
        </w:rPr>
        <w:t>Griekenland</w:t>
      </w:r>
      <w:r>
        <w:t xml:space="preserve"> en </w:t>
      </w:r>
      <w:r>
        <w:rPr>
          <w:b/>
        </w:rPr>
        <w:t>Roemenië</w:t>
      </w:r>
      <w:r>
        <w:t xml:space="preserve"> in 2011–2012, nu</w:t>
      </w:r>
      <w:r w:rsidR="00CF6288">
        <w:t xml:space="preserve"> een halt zijn toegeroepen</w:t>
      </w:r>
      <w:r>
        <w:t xml:space="preserve"> en dat het algemene totaal van de EU is gedaald tot de niveaus van vóór de uitbraak (figuur 2.13). De voorlopige cijfers voor 2013 laten </w:t>
      </w:r>
      <w:proofErr w:type="gramStart"/>
      <w:r>
        <w:t>1</w:t>
      </w:r>
      <w:proofErr w:type="gramEnd"/>
      <w:r>
        <w:t xml:space="preserve"> 458 nieuw gemelde hiv-infecties zien, tegenover 1 974 in 2012. Daarmee wordt de opwaartse trend sinds 2010 omgebogen. Ondanks de vooruitgang op dit gebied onderstreept het </w:t>
      </w:r>
      <w:r>
        <w:rPr>
          <w:b/>
        </w:rPr>
        <w:t xml:space="preserve">EMCDDA </w:t>
      </w:r>
      <w:r>
        <w:t>dat voortdurende waakzaamheid geboden is en dat het niveau van de hulpverlening adequaat moet zijn.</w:t>
      </w:r>
    </w:p>
    <w:p w:rsidR="000C1074" w:rsidRDefault="009F3555" w:rsidP="00E522AE">
      <w:r>
        <w:rPr>
          <w:b/>
        </w:rPr>
        <w:t>Aanpak van drugsoverdos</w:t>
      </w:r>
      <w:r w:rsidR="004D7331">
        <w:rPr>
          <w:b/>
        </w:rPr>
        <w:t>eringen</w:t>
      </w:r>
      <w:r>
        <w:rPr>
          <w:b/>
        </w:rPr>
        <w:t xml:space="preserve"> — een uitdaging voor het volksgezondheidsbeleid</w:t>
      </w:r>
    </w:p>
    <w:p w:rsidR="000C1074" w:rsidRPr="004A1615" w:rsidRDefault="00AD2A0A" w:rsidP="00AD2A0A">
      <w:pPr>
        <w:spacing w:after="260" w:line="260" w:lineRule="exact"/>
        <w:rPr>
          <w:rFonts w:cs="Arial"/>
          <w:szCs w:val="20"/>
        </w:rPr>
      </w:pPr>
      <w:r>
        <w:t>Het terugdringen van fatale drugsoverdos</w:t>
      </w:r>
      <w:r w:rsidR="004D7331">
        <w:t>eringen</w:t>
      </w:r>
      <w:r>
        <w:t xml:space="preserve"> en andere drugsgerelateerde sterfte (bijv. aan drugs gerelateerde ziekten, ongelukken en zelfmoord) blijft </w:t>
      </w:r>
      <w:r w:rsidR="0079766B">
        <w:t xml:space="preserve">hedendage nog altijd </w:t>
      </w:r>
      <w:r>
        <w:t>een belangrijke uitdaging voor het volksgezondheidsbeleid. Naar schatting waren er in 2013 in de Europese Unie ten minste 6 100 sterfgevallen door een overdosis. Hierbij ging het voornamelijk om overdos</w:t>
      </w:r>
      <w:r w:rsidR="004D7331">
        <w:t>eringen van</w:t>
      </w:r>
      <w:r>
        <w:t xml:space="preserve"> heroïne en andere opioïden.</w:t>
      </w:r>
    </w:p>
    <w:p w:rsidR="000D3B2D" w:rsidRPr="006304FE" w:rsidRDefault="000D3B2D" w:rsidP="000D3B2D">
      <w:pPr>
        <w:spacing w:after="260" w:line="260" w:lineRule="exact"/>
        <w:rPr>
          <w:rFonts w:cs="Arial"/>
          <w:szCs w:val="20"/>
        </w:rPr>
      </w:pPr>
      <w:r>
        <w:t xml:space="preserve">Een nieuwe analyse die bij het rapport van vandaag is gevoegd, belicht misbruik van benzodiazepinen onder opioïdengebruikers met een verhoogd risico, die deze geneesmiddelen mogelijk gebruiken als zelfmedicatie of om de effecten van opioïden te versterken (zie POD). De analyse laat zien hoe het gecombineerde gebruik van opioïden en benzodiazepinen en andere </w:t>
      </w:r>
      <w:r w:rsidR="00CF6288">
        <w:t>onderdrukkende</w:t>
      </w:r>
      <w:r w:rsidR="008F1475">
        <w:t xml:space="preserve"> middelen</w:t>
      </w:r>
      <w:r>
        <w:t xml:space="preserve"> (bijv. </w:t>
      </w:r>
      <w:proofErr w:type="gramStart"/>
      <w:r>
        <w:t>alcohol</w:t>
      </w:r>
      <w:proofErr w:type="gramEnd"/>
      <w:r>
        <w:t>) het risico op sterfte door een overdosis verhoogt. Richt</w:t>
      </w:r>
      <w:r w:rsidR="008F1475">
        <w:t>lijnen</w:t>
      </w:r>
      <w:r>
        <w:t xml:space="preserve"> </w:t>
      </w:r>
      <w:r w:rsidR="008F1475">
        <w:t>voor</w:t>
      </w:r>
      <w:r>
        <w:t xml:space="preserve"> het voorschrijven van middelen en de klinische praktijk kunnen een belangrijke rol spelen in het beheersen van dit complexe probleem.</w:t>
      </w:r>
    </w:p>
    <w:p w:rsidR="000C1074" w:rsidRPr="006304FE" w:rsidRDefault="00AD2A0A" w:rsidP="00AD2A0A">
      <w:pPr>
        <w:spacing w:after="260" w:line="260" w:lineRule="exact"/>
        <w:rPr>
          <w:rFonts w:cs="Arial"/>
          <w:szCs w:val="20"/>
        </w:rPr>
      </w:pPr>
      <w:r>
        <w:t>Interventies gericht op het voorkomen van overdos</w:t>
      </w:r>
      <w:r w:rsidR="00B449B0">
        <w:t>eringen</w:t>
      </w:r>
      <w:r>
        <w:t xml:space="preserve"> omvatten gerichte strategieën, voorlichting over risico's en trainingen in het reageren op een overdosis, met inbegrip van de verspreiding van naloxon</w:t>
      </w:r>
      <w:r w:rsidR="00E52701">
        <w:t>e</w:t>
      </w:r>
      <w:r>
        <w:t xml:space="preserve"> om thuis toe te dienen (</w:t>
      </w:r>
      <w:r>
        <w:rPr>
          <w:vertAlign w:val="superscript"/>
        </w:rPr>
        <w:t>3</w:t>
      </w:r>
      <w:r>
        <w:t xml:space="preserve">). In sommige landen zijn reeds lang ‘gebruikersruimten’ </w:t>
      </w:r>
      <w:r w:rsidR="00B449B0">
        <w:t>opgericht</w:t>
      </w:r>
      <w:r>
        <w:t>. Momenteel bieden zes landen</w:t>
      </w:r>
      <w:r w:rsidR="0079766B">
        <w:t>,</w:t>
      </w:r>
      <w:r>
        <w:t xml:space="preserve"> die aan het </w:t>
      </w:r>
      <w:r>
        <w:rPr>
          <w:b/>
        </w:rPr>
        <w:t>EMCDDA</w:t>
      </w:r>
      <w:r>
        <w:t xml:space="preserve"> rapporteren, deze diensten</w:t>
      </w:r>
      <w:r w:rsidR="0079766B">
        <w:t xml:space="preserve"> aan</w:t>
      </w:r>
      <w:r>
        <w:t>, met in totaal circa 70 faciliteiten (</w:t>
      </w:r>
      <w:r>
        <w:rPr>
          <w:b/>
        </w:rPr>
        <w:t>Denemarken, Duitsland, Spanje, Luxemburg, Nederland, Noorwegen</w:t>
      </w:r>
      <w:r>
        <w:t xml:space="preserve">), terwijl </w:t>
      </w:r>
      <w:r>
        <w:rPr>
          <w:b/>
        </w:rPr>
        <w:t>Frankrijk</w:t>
      </w:r>
      <w:r>
        <w:t xml:space="preserve"> onlangs een experimentele proef met gebruikersruimte</w:t>
      </w:r>
      <w:r w:rsidR="0079766B">
        <w:t>n</w:t>
      </w:r>
      <w:r>
        <w:t xml:space="preserve"> heeft goedgekeurd. Bij de analyse van dit jaar is een beoordeling van de diensten in een dergelijke setting gevoegd (zie POD) die laat zien hoe gebruikersruimten een ‘lokaal antwoord’ op ‘lokale problemen’ zijn. Gebruikersruimten kunnen onder andere een rol spelen in het terugdringen van schadelijke gevolgen van drugsgebruik (met inbegrip van sterfgevallen door een overdosis) en zijn nuttige ruimten waar gezondheidsdiensten in contact kunnen komen met moeilijk bereikbare drugsgebruikers.</w:t>
      </w:r>
    </w:p>
    <w:p w:rsidR="000C1074" w:rsidRDefault="0089193D" w:rsidP="00226E8D">
      <w:pPr>
        <w:rPr>
          <w:rFonts w:cs="Arial"/>
          <w:b/>
          <w:szCs w:val="20"/>
        </w:rPr>
      </w:pPr>
      <w:r>
        <w:rPr>
          <w:b/>
        </w:rPr>
        <w:t xml:space="preserve">Toenemend belang van cannabis in </w:t>
      </w:r>
      <w:r w:rsidR="00DB4D2E">
        <w:rPr>
          <w:b/>
        </w:rPr>
        <w:t>de verslavingszorg</w:t>
      </w:r>
      <w:r>
        <w:rPr>
          <w:b/>
        </w:rPr>
        <w:t xml:space="preserve"> in Europa</w:t>
      </w:r>
    </w:p>
    <w:p w:rsidR="000C1074" w:rsidRDefault="0089193D" w:rsidP="004E7B44">
      <w:pPr>
        <w:pStyle w:val="newsContent"/>
        <w:rPr>
          <w:noProof/>
        </w:rPr>
      </w:pPr>
      <w:r>
        <w:t>Cannabis blijft de meest gebruikte illegale drug in Europa, met een geschat aantal van 19,3 miljoen volwassenen (15–64 jaar)</w:t>
      </w:r>
      <w:r w:rsidR="0023572C">
        <w:t>, onder wie 14,6 miljoen jongvolwassenen (15–34 jaar),</w:t>
      </w:r>
      <w:r>
        <w:t xml:space="preserve"> die melden het middel in het voorgaande jaar te hebben gebruikt. Naar schatting gebruikt circa 1 % van alle volwassenen dagelijks of bijna dagelijks.</w:t>
      </w:r>
    </w:p>
    <w:p w:rsidR="00275AED" w:rsidRPr="002331A0" w:rsidRDefault="006C789D" w:rsidP="00275AED">
      <w:pPr>
        <w:spacing w:after="260" w:line="260" w:lineRule="exact"/>
        <w:rPr>
          <w:rFonts w:cs="Arial"/>
          <w:szCs w:val="20"/>
        </w:rPr>
      </w:pPr>
      <w:r>
        <w:t>Bevolkingsenquêtes</w:t>
      </w:r>
      <w:r w:rsidR="0079766B">
        <w:t xml:space="preserve"> </w:t>
      </w:r>
      <w:r w:rsidR="00621C22">
        <w:t>in drie landen (</w:t>
      </w:r>
      <w:r w:rsidR="00621C22">
        <w:rPr>
          <w:b/>
        </w:rPr>
        <w:t xml:space="preserve">Duitsland, Spanje </w:t>
      </w:r>
      <w:r w:rsidR="00621C22">
        <w:t>en het</w:t>
      </w:r>
      <w:r w:rsidR="00621C22">
        <w:rPr>
          <w:b/>
        </w:rPr>
        <w:t xml:space="preserve"> Verenigd Koninkrijk</w:t>
      </w:r>
      <w:r w:rsidR="00621C22">
        <w:t>) melden een dalende of stabiele prevalentie van cannabisgebruik in de afgelopen tien jaar. Daarentegen wordt</w:t>
      </w:r>
      <w:r w:rsidR="00621C22">
        <w:rPr>
          <w:i/>
        </w:rPr>
        <w:t xml:space="preserve"> </w:t>
      </w:r>
      <w:r w:rsidR="00621C22">
        <w:t xml:space="preserve">een toename van het gebruik waargenomen in </w:t>
      </w:r>
      <w:r w:rsidR="00621C22">
        <w:rPr>
          <w:b/>
        </w:rPr>
        <w:t>Bulgarije</w:t>
      </w:r>
      <w:r w:rsidR="00621C22">
        <w:t xml:space="preserve">, </w:t>
      </w:r>
      <w:r w:rsidR="00621C22">
        <w:rPr>
          <w:b/>
        </w:rPr>
        <w:t>Frankrijk</w:t>
      </w:r>
      <w:r w:rsidR="00621C22">
        <w:t xml:space="preserve"> en </w:t>
      </w:r>
      <w:r w:rsidR="00621C22">
        <w:rPr>
          <w:b/>
        </w:rPr>
        <w:t xml:space="preserve">vier </w:t>
      </w:r>
      <w:r w:rsidR="00621C22">
        <w:t>Noord-Europese landen (</w:t>
      </w:r>
      <w:r w:rsidR="00621C22">
        <w:rPr>
          <w:b/>
        </w:rPr>
        <w:t>Denemarken, Finland, Zweden, Noorwegen</w:t>
      </w:r>
      <w:r w:rsidR="00621C22">
        <w:t>). Over het geheel genomen laten de meest recente</w:t>
      </w:r>
      <w:r w:rsidR="0079766B">
        <w:t xml:space="preserve"> onderzoeksresultaten</w:t>
      </w:r>
      <w:r w:rsidR="00621C22">
        <w:t xml:space="preserve"> uiteenlopende trends in cannabisgebruik in het afgelopen jaar onder jongvolwassenen zien (figuur 2.1).</w:t>
      </w:r>
    </w:p>
    <w:p w:rsidR="000C1074" w:rsidRDefault="00275AED" w:rsidP="0009457A">
      <w:pPr>
        <w:pStyle w:val="newsContent"/>
        <w:ind w:right="-142"/>
      </w:pPr>
      <w:r>
        <w:t xml:space="preserve">De hoge prevalentie van de drug wordt weerspiegeld in de aantallen die zich melden voor  gespecialiseerde </w:t>
      </w:r>
      <w:r w:rsidR="00DB4D2E">
        <w:t>verslavingszorg</w:t>
      </w:r>
      <w:r>
        <w:t xml:space="preserve">, waarbij de grootste groep die zich voor het eerst voor behandeling aanmeldt nu cannabis als hun belangrijkste probleemdrug noemt. Het totale aantal personen dat zich voor </w:t>
      </w:r>
      <w:r>
        <w:lastRenderedPageBreak/>
        <w:t xml:space="preserve">het eerst aanmeldt voor de behandeling van cannabisproblemen in Europa, steeg van 45 000 in 2006 naar 61 000 in 2013. Hoewel cannabiscliënten die zich voor een behandeling melden, het meest op eigen initiatief komen (34 %), wordt in de analyse opgemerkt dat ongeveer een kwart van degenen die een behandeling voor primair cannabisgebruik </w:t>
      </w:r>
      <w:r w:rsidR="0079766B">
        <w:t>begonnen</w:t>
      </w:r>
      <w:r>
        <w:t xml:space="preserve"> (23 000), werd verwezen vanuit het strafrechtelijk systeem. Er is ondersteunend bewijsmateriaal voor het gebruik van psychosociale interventies in de behandeling van problemen rond drugsgebruik, en deze interventies worden algemeen toegepast in de behandeling van problemen in verband met cannabis. Deze benaderingen worden vandaag onderzocht in een bij het rapport gevoegde analyse (zie POD) en in een recente </w:t>
      </w:r>
      <w:r>
        <w:rPr>
          <w:i/>
        </w:rPr>
        <w:t>Insights</w:t>
      </w:r>
      <w:r>
        <w:t xml:space="preserve">-publicatie van het </w:t>
      </w:r>
      <w:r>
        <w:rPr>
          <w:b/>
        </w:rPr>
        <w:t>EMCDDA</w:t>
      </w:r>
      <w:r>
        <w:t xml:space="preserve"> (</w:t>
      </w:r>
      <w:r>
        <w:rPr>
          <w:vertAlign w:val="superscript"/>
        </w:rPr>
        <w:t>4</w:t>
      </w:r>
      <w:r>
        <w:t>).</w:t>
      </w:r>
    </w:p>
    <w:p w:rsidR="00F6333E" w:rsidRDefault="00F6333E" w:rsidP="00F6333E">
      <w:pPr>
        <w:spacing w:after="260" w:line="260" w:lineRule="exact"/>
        <w:rPr>
          <w:rFonts w:cs="Arial"/>
          <w:szCs w:val="20"/>
        </w:rPr>
      </w:pPr>
      <w:r>
        <w:t xml:space="preserve">Hoewel het zelden voorkomt, kunnen er na het consumeren van cannabis acute </w:t>
      </w:r>
      <w:r w:rsidR="00D21D94">
        <w:t xml:space="preserve">noodsituaties </w:t>
      </w:r>
      <w:r>
        <w:t xml:space="preserve">ontstaan, met name na het gebruik van grote hoeveelheden (zie de paragraaf over zuiverheid hieronder). Uit een recent onderzoek dat werd uitgevoerd in eerstehulpsettings, blijkt dat </w:t>
      </w:r>
      <w:r w:rsidR="00FB5246">
        <w:t xml:space="preserve">het </w:t>
      </w:r>
      <w:r>
        <w:t>aantal cannabisgerelateerde spoedgevallen tussen 2008 en 2012 in 11 van de 13 geanalyseerde Europese landen zijn toegenomen.</w:t>
      </w:r>
    </w:p>
    <w:p w:rsidR="000C1074" w:rsidRDefault="00F6333E" w:rsidP="00F6333E">
      <w:pPr>
        <w:pStyle w:val="CommentText"/>
        <w:spacing w:after="260" w:line="260" w:lineRule="exact"/>
        <w:rPr>
          <w:rFonts w:cs="Arial"/>
        </w:rPr>
      </w:pPr>
      <w:r>
        <w:t>Het rapport van vandaag haalt de belangrijke rol van cannabis in de drugsgerelateerde misdaad</w:t>
      </w:r>
      <w:r w:rsidR="00C70B5D">
        <w:t>-</w:t>
      </w:r>
      <w:r>
        <w:t>statistieken naar voren. De drug is verantwoordelijk voor 80% van het aantal drugsinbeslagnames en ruim 60% van alle in Europa gemelde drugsmisdrijven betreft cannabisgebruik of -bezit voor eigen gebruik (zie figuur 1).</w:t>
      </w:r>
    </w:p>
    <w:p w:rsidR="000C1074" w:rsidRDefault="00226E8D" w:rsidP="00F6333E">
      <w:pPr>
        <w:spacing w:before="100" w:beforeAutospacing="1" w:after="260" w:line="260" w:lineRule="exact"/>
        <w:rPr>
          <w:rFonts w:cs="Arial"/>
          <w:szCs w:val="20"/>
        </w:rPr>
      </w:pPr>
      <w:r>
        <w:t>In 2009 overtrof het aantal inbeslagnames van cannabisbladeren</w:t>
      </w:r>
      <w:r w:rsidR="00ED25AE">
        <w:t xml:space="preserve"> (wiet, marihuana)</w:t>
      </w:r>
      <w:r>
        <w:t xml:space="preserve"> in Europa dat van cannabishars</w:t>
      </w:r>
      <w:r w:rsidR="00ED25AE">
        <w:t xml:space="preserve"> (hasj)</w:t>
      </w:r>
      <w:r>
        <w:t>,</w:t>
      </w:r>
      <w:r w:rsidR="00ED25AE">
        <w:t xml:space="preserve"> </w:t>
      </w:r>
      <w:r>
        <w:t xml:space="preserve">en die aantallen zijn steeds verder uit elkaar gaan liggen (figuur 1.3). In 2013 ging het bij 431 000 van de 671 000 gemelde inbeslagnames van cannabis in de Europese Unie om </w:t>
      </w:r>
      <w:r w:rsidR="00FB5246">
        <w:t>marihuana</w:t>
      </w:r>
      <w:r>
        <w:t xml:space="preserve"> en bij 240 000 om hasj. Deze trend wordt waarschijnlijk in hoge mate veroorzaakt door de toegenomen beschikbaarheid van binnenlands geproduceerde </w:t>
      </w:r>
      <w:r w:rsidR="00FB5246">
        <w:t xml:space="preserve">marihuana </w:t>
      </w:r>
      <w:r>
        <w:t>binnen Europa en wordt weer</w:t>
      </w:r>
      <w:r w:rsidR="00C70B5D">
        <w:t>-</w:t>
      </w:r>
      <w:r>
        <w:t xml:space="preserve">spiegeld in de steeds grotere aantallen inbeslagnames van cannabisplanten. </w:t>
      </w:r>
      <w:r>
        <w:rPr>
          <w:color w:val="000000"/>
        </w:rPr>
        <w:t>De hoeveelheid onder</w:t>
      </w:r>
      <w:r w:rsidR="00C70B5D">
        <w:rPr>
          <w:color w:val="000000"/>
        </w:rPr>
        <w:t>-</w:t>
      </w:r>
      <w:r>
        <w:rPr>
          <w:color w:val="000000"/>
        </w:rPr>
        <w:t xml:space="preserve">schepte </w:t>
      </w:r>
      <w:r w:rsidR="00FB5246">
        <w:rPr>
          <w:color w:val="000000"/>
        </w:rPr>
        <w:t xml:space="preserve">hasj </w:t>
      </w:r>
      <w:r>
        <w:rPr>
          <w:color w:val="000000"/>
        </w:rPr>
        <w:t xml:space="preserve">in de EU is nog steeds veel groter dan die van </w:t>
      </w:r>
      <w:r w:rsidR="00FB5246">
        <w:rPr>
          <w:color w:val="000000"/>
        </w:rPr>
        <w:t xml:space="preserve">marihuana </w:t>
      </w:r>
      <w:r>
        <w:rPr>
          <w:color w:val="000000"/>
        </w:rPr>
        <w:t>(460 ton tegenover 130 ton).</w:t>
      </w:r>
    </w:p>
    <w:p w:rsidR="000C1074" w:rsidRDefault="00F6333E" w:rsidP="00F6333E">
      <w:pPr>
        <w:spacing w:before="100" w:beforeAutospacing="1" w:after="260" w:line="260" w:lineRule="exact"/>
        <w:rPr>
          <w:rFonts w:cs="Arial"/>
          <w:szCs w:val="20"/>
        </w:rPr>
      </w:pPr>
      <w:r>
        <w:t xml:space="preserve">Er zijn tot nu toe meer dan 130 synthetische cannabinoïden – verkocht als legale vervanging </w:t>
      </w:r>
      <w:r w:rsidR="00BE1225">
        <w:t xml:space="preserve">voor </w:t>
      </w:r>
      <w:r>
        <w:t xml:space="preserve">cannabis – ontdekt door het </w:t>
      </w:r>
      <w:r>
        <w:rPr>
          <w:b/>
        </w:rPr>
        <w:t xml:space="preserve">EU-Early </w:t>
      </w:r>
      <w:r w:rsidR="00CF2955">
        <w:rPr>
          <w:b/>
        </w:rPr>
        <w:t>W</w:t>
      </w:r>
      <w:r>
        <w:rPr>
          <w:b/>
        </w:rPr>
        <w:t xml:space="preserve">arning </w:t>
      </w:r>
      <w:r w:rsidR="00CF2955">
        <w:rPr>
          <w:b/>
        </w:rPr>
        <w:t>System (</w:t>
      </w:r>
      <w:r>
        <w:rPr>
          <w:b/>
        </w:rPr>
        <w:t>EWS)</w:t>
      </w:r>
      <w:r>
        <w:t xml:space="preserve"> en deze voegen een nieuwe dimensie toe aan de cannabismarkt. Het gebruik van deze stoffen kan nadelige gevolgen</w:t>
      </w:r>
      <w:r w:rsidR="003B14C2">
        <w:t xml:space="preserve"> hebben</w:t>
      </w:r>
      <w:r>
        <w:t xml:space="preserve"> voor de gezondheid (bijv. nierbeschadiging, </w:t>
      </w:r>
      <w:r w:rsidR="003B14C2">
        <w:t>longziekten, hart- en vaatziekten</w:t>
      </w:r>
      <w:r>
        <w:t>, convulsies). Recente sterfgevallen en acute vergiftigingen in Europa, en</w:t>
      </w:r>
      <w:r w:rsidR="005F084A">
        <w:t xml:space="preserve"> op</w:t>
      </w:r>
      <w:r>
        <w:t xml:space="preserve"> internationaal</w:t>
      </w:r>
      <w:r w:rsidR="005F084A">
        <w:t xml:space="preserve"> vlak</w:t>
      </w:r>
      <w:r>
        <w:t xml:space="preserve">, die verband hielden met deze stoffen, hebben het </w:t>
      </w:r>
      <w:r>
        <w:rPr>
          <w:b/>
        </w:rPr>
        <w:t>EMCDDA</w:t>
      </w:r>
      <w:r>
        <w:t xml:space="preserve"> ertoe gebracht waarschuwingen voor de volksgezondheid </w:t>
      </w:r>
      <w:r w:rsidR="00BE1225">
        <w:t>uit te sturen</w:t>
      </w:r>
      <w:r>
        <w:t>.</w:t>
      </w:r>
    </w:p>
    <w:p w:rsidR="000C1074" w:rsidRDefault="00050E92" w:rsidP="009434EF">
      <w:pPr>
        <w:spacing w:after="0" w:line="240" w:lineRule="auto"/>
        <w:outlineLvl w:val="2"/>
        <w:rPr>
          <w:rFonts w:eastAsia="Times New Roman" w:cs="Arial"/>
          <w:b/>
          <w:szCs w:val="20"/>
        </w:rPr>
      </w:pPr>
      <w:r>
        <w:rPr>
          <w:b/>
        </w:rPr>
        <w:t xml:space="preserve">Concurrentie op een </w:t>
      </w:r>
      <w:r w:rsidR="00897C9B">
        <w:rPr>
          <w:b/>
        </w:rPr>
        <w:t xml:space="preserve">drukke </w:t>
      </w:r>
      <w:r>
        <w:rPr>
          <w:b/>
        </w:rPr>
        <w:t xml:space="preserve">markt </w:t>
      </w:r>
      <w:r w:rsidR="00897C9B">
        <w:rPr>
          <w:b/>
        </w:rPr>
        <w:t xml:space="preserve">van </w:t>
      </w:r>
      <w:r>
        <w:rPr>
          <w:b/>
        </w:rPr>
        <w:t>stimulerende middelen</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Europa wordt geconfronteerd met een </w:t>
      </w:r>
      <w:r w:rsidR="00F2630C">
        <w:t xml:space="preserve">drukke </w:t>
      </w:r>
      <w:r>
        <w:t xml:space="preserve">markt </w:t>
      </w:r>
      <w:r w:rsidR="00F2630C">
        <w:t xml:space="preserve">van </w:t>
      </w:r>
      <w:r>
        <w:t xml:space="preserve">stimulerende middelen, waarbij </w:t>
      </w:r>
      <w:r w:rsidR="00EE7FC7">
        <w:t>cocaïne</w:t>
      </w:r>
      <w:r>
        <w:t xml:space="preserve">, </w:t>
      </w:r>
      <w:bookmarkStart w:id="0" w:name="_GoBack"/>
      <w:bookmarkEnd w:id="0"/>
      <w:r>
        <w:t>amfetamines, ecstasy en een toenemend aantal synthetische drugs zich richten op soortgelijke consumentengroepen. Cocaïne blijft de meest gebruikte illegale stimulerende drug in Europa, hoewel de meerderheid van de gebruikers wordt aangetroffen in een klein aantal West-Europese landen. Ongeveer 3,4 miljoen volwassenen (15–64 jaar)</w:t>
      </w:r>
      <w:r w:rsidR="00C42A0D">
        <w:t>, onder wie 2,3 miljoen jongvolwassenen (15–34 jaar),</w:t>
      </w:r>
      <w:r>
        <w:t xml:space="preserve"> hebben het afgelopen jaar cocaïne gebruikt. </w:t>
      </w:r>
      <w:r>
        <w:rPr>
          <w:color w:val="000000"/>
        </w:rPr>
        <w:t>Slechts enkele landen rapporteren een prevalentie van het cocaïnegebruik in het afgelopen jaar onder jongvolwassenen van meer dan 3 % (figuur 2.4). De afname van het cocaïnegebruik komt tot uiting in de meest recente gegevens. Van de landen die sinds 2012 onderzoeken hebben verricht, hebben er acht lagere schattingen en drie hogere schattingen gemeld dan in het vorige vergelijkbare onderzoek.</w:t>
      </w:r>
    </w:p>
    <w:p w:rsidR="009434EF" w:rsidRPr="00B44912" w:rsidRDefault="009434EF" w:rsidP="005870C5">
      <w:pPr>
        <w:spacing w:after="260" w:line="260" w:lineRule="exact"/>
        <w:outlineLvl w:val="2"/>
        <w:rPr>
          <w:rFonts w:cs="Arial"/>
          <w:szCs w:val="20"/>
        </w:rPr>
      </w:pPr>
      <w:r>
        <w:t>Het gebruik van amfetamines (zowel amfetamine als methamfetamine) blijft in Europa in het algemeen lager dan dat van cocaïne, met ongeveer 1,6 miljoen volwassenen die aangeven</w:t>
      </w:r>
      <w:r w:rsidR="0080033C">
        <w:t xml:space="preserve"> amfetamines</w:t>
      </w:r>
      <w:r>
        <w:t xml:space="preserve"> in het voorgaande jaar gebruikt te hebben, onder wie 1,3 miljoen jongvolwassenen (15–34 jaar) (figuur 2.5). </w:t>
      </w:r>
      <w:r w:rsidR="00CF2955">
        <w:t xml:space="preserve">    </w:t>
      </w:r>
      <w:r>
        <w:t>In het rapport van vandaag worden nieuwe patronen in het gebruik van methamfetamine naar voren gehaald. In</w:t>
      </w:r>
      <w:r w:rsidR="0080033C">
        <w:t xml:space="preserve"> de </w:t>
      </w:r>
      <w:r w:rsidR="0080033C" w:rsidRPr="00CF2955">
        <w:rPr>
          <w:b/>
        </w:rPr>
        <w:t>Tsjechische Republiek</w:t>
      </w:r>
      <w:r>
        <w:t xml:space="preserve"> is bijvoorbeeld een duidelijke toename van risicovol methamfetaminegebruik (hoofdzakelijk door injectie) waargenomen, met schattingen van het aantal gebruikers die tussen 2007 en 2013 oplopen van circa 21 000 tot meer dan 34 000. In een aantal Europese landen wordt ook het injecteren van methamfetamine in combinatie met andere stimulerende middelen (bijv. synthetische cathinonen) gemeld onder kleine groepen mannen die seks hebben met </w:t>
      </w:r>
      <w:r>
        <w:lastRenderedPageBreak/>
        <w:t xml:space="preserve">mannen. Deze zogenaamde ‘slamming’-praktijken doen de bezorgdheid over zowel </w:t>
      </w:r>
      <w:r w:rsidR="00C42A0D">
        <w:t xml:space="preserve">risicovol </w:t>
      </w:r>
      <w:r>
        <w:t>drugsge</w:t>
      </w:r>
      <w:r w:rsidR="00C42A0D">
        <w:t xml:space="preserve">bruik </w:t>
      </w:r>
      <w:r>
        <w:t xml:space="preserve">als </w:t>
      </w:r>
      <w:r w:rsidR="00C42A0D">
        <w:t xml:space="preserve">risicovol </w:t>
      </w:r>
      <w:r>
        <w:t>seksueel gedrag toenemen.</w:t>
      </w:r>
    </w:p>
    <w:p w:rsidR="000C1074" w:rsidRPr="002331A0" w:rsidRDefault="009434EF" w:rsidP="009434EF">
      <w:pPr>
        <w:spacing w:after="260" w:line="260" w:lineRule="exact"/>
        <w:rPr>
          <w:rFonts w:cs="Arial"/>
          <w:szCs w:val="20"/>
        </w:rPr>
      </w:pPr>
      <w:r>
        <w:t>Naar schatting hebben 2,1 miljoen volwassenen (15–64 jaar)</w:t>
      </w:r>
      <w:r w:rsidR="00CD5030">
        <w:t>, onder wie 1,8 miljoen jongvolwassenen (15–34 jaar),</w:t>
      </w:r>
      <w:r>
        <w:t xml:space="preserve"> in het voorgaande jaar ecstasy gebruikt (figuur 2.6). Na een periode waarin als ecstasy verkochte pillen onder gebruikers werden geassocieerd met slechte kwaliteit en </w:t>
      </w:r>
      <w:r w:rsidR="00380179">
        <w:t>v</w:t>
      </w:r>
      <w:r>
        <w:t>ervalsing</w:t>
      </w:r>
      <w:r w:rsidR="00380179">
        <w:t>en</w:t>
      </w:r>
      <w:r>
        <w:t>, zijn nu zeer zuivere MDMA-poeders en -pillen algemeen</w:t>
      </w:r>
      <w:r w:rsidR="0080033C">
        <w:t xml:space="preserve"> meer</w:t>
      </w:r>
      <w:r>
        <w:t xml:space="preserve"> beschikbaar (zie de paragraaf over zuiverheid hieronder).</w:t>
      </w:r>
    </w:p>
    <w:p w:rsidR="009434EF" w:rsidRPr="00B40F29" w:rsidRDefault="009434EF" w:rsidP="009434EF">
      <w:pPr>
        <w:spacing w:after="260" w:line="260" w:lineRule="exact"/>
        <w:rPr>
          <w:rFonts w:cs="Arial"/>
          <w:szCs w:val="20"/>
          <w:u w:val="single"/>
        </w:rPr>
      </w:pPr>
      <w:r>
        <w:t xml:space="preserve">Synthetische cathinonen (bijv. mefedron, pentedron en MDPV) vormen nu in sommige Europese landen een vast bestanddeel van de illegale markt voor stimulerende middelen en worden vaak in plaats van amfetamine en ecstasy gebruikt. Hoewel het injecteren van synthetische cathinonen niet wijdverbreid is in Europa, is het in enkele landen een zorgwekkend lokaal probleem in groepen drugsgebruikers met een verhoogd risico. In </w:t>
      </w:r>
      <w:r>
        <w:rPr>
          <w:b/>
        </w:rPr>
        <w:t>Hongarije, Roemenië</w:t>
      </w:r>
      <w:r>
        <w:t xml:space="preserve"> en het </w:t>
      </w:r>
      <w:r>
        <w:rPr>
          <w:b/>
        </w:rPr>
        <w:t>Verenigd Koninkrijk</w:t>
      </w:r>
      <w:r>
        <w:t xml:space="preserve"> is de vraag naar behandeling in verband met het gebruik van deze stoffen toegenomen.</w:t>
      </w:r>
    </w:p>
    <w:p w:rsidR="000C1074" w:rsidRDefault="007C5BE9" w:rsidP="004E7B44">
      <w:pPr>
        <w:pStyle w:val="newsContent"/>
      </w:pPr>
      <w:r>
        <w:rPr>
          <w:b/>
        </w:rPr>
        <w:t>Toenemende sterkte en zuiverheid van drugs reden tot bezorgdheid</w:t>
      </w:r>
    </w:p>
    <w:p w:rsidR="007C5BE9" w:rsidRPr="00362CD8" w:rsidRDefault="007C5BE9" w:rsidP="007C5BE9">
      <w:pPr>
        <w:spacing w:after="260" w:line="260" w:lineRule="exact"/>
        <w:rPr>
          <w:rFonts w:cs="Arial"/>
          <w:szCs w:val="20"/>
        </w:rPr>
      </w:pPr>
      <w:r>
        <w:t>Een belangrijke bevinding in het rapport van dit jaar is de duidelijke toename van de sterkte en zuiverheid van de in Europa meest gebruikte illegale drugs. Dit voedt de bezorgdheid voor de gezondheid van gebruikers die mogelijk, bewust of onbewust, sterkere producten gebruiken (hoofdstuk 1). De algemene trends voor de periode 2006–2013 laten zien dat de sterkte van cannabis (THC-gehalte), de zuiverheid van cocaïne en het MDMA-gehalte van ecstasytabletten zijn toegenomen in de landen die regelmatig gegevens rapporteren; in 2013 is ook de zuiverheid van heroïne toegenomen. Technische innovatie en marktconcurrentie zijn twee waarschijnlijke factoren achter deze trend.</w:t>
      </w:r>
    </w:p>
    <w:p w:rsidR="000C1074" w:rsidRDefault="007C5BE9" w:rsidP="007C5BE9">
      <w:pPr>
        <w:spacing w:after="260" w:line="260" w:lineRule="exact"/>
        <w:rPr>
          <w:rFonts w:cs="Arial"/>
          <w:szCs w:val="20"/>
        </w:rPr>
      </w:pPr>
      <w:r>
        <w:t>In het rapport wordt de aandacht gevestigd op bezorgdheid over ecstasytabletten met hoge MDMA-gehalte</w:t>
      </w:r>
      <w:r w:rsidR="004B5539">
        <w:t>s</w:t>
      </w:r>
      <w:r>
        <w:t xml:space="preserve">, die vaak worden verkocht met verschillende vormen en logo's. Het afgelopen jaar hebben het </w:t>
      </w:r>
      <w:r>
        <w:rPr>
          <w:b/>
        </w:rPr>
        <w:t>EMCDDA</w:t>
      </w:r>
      <w:r>
        <w:t xml:space="preserve"> en </w:t>
      </w:r>
      <w:r>
        <w:rPr>
          <w:b/>
        </w:rPr>
        <w:t>Europol</w:t>
      </w:r>
      <w:r>
        <w:t xml:space="preserve"> waarschuwingen voor volksgezondheidsrisico's in verband met het gebruik van deze producten </w:t>
      </w:r>
      <w:r w:rsidR="004D58DA">
        <w:t>uitgestuurd</w:t>
      </w:r>
      <w:r>
        <w:t xml:space="preserve">. Na een reeks sterfgevallen zijn er ook waarschuwingen </w:t>
      </w:r>
      <w:r w:rsidR="004D58DA">
        <w:t xml:space="preserve">uitgestuurd </w:t>
      </w:r>
      <w:r w:rsidR="004B5539">
        <w:t>voor</w:t>
      </w:r>
      <w:r>
        <w:t xml:space="preserve"> pillen die verkocht worden als ecstasy, maar andere schadelijke stoffen bevatten, zoals PMMA.</w:t>
      </w:r>
    </w:p>
    <w:p w:rsidR="000C1074" w:rsidRDefault="000D1C68" w:rsidP="007C5BE9">
      <w:pPr>
        <w:spacing w:after="260" w:line="260" w:lineRule="exact"/>
        <w:rPr>
          <w:rFonts w:cs="Arial"/>
          <w:b/>
          <w:szCs w:val="20"/>
        </w:rPr>
      </w:pPr>
      <w:r>
        <w:rPr>
          <w:b/>
        </w:rPr>
        <w:t>Twee ‘nieuwe drugs’ per week ontdekt</w:t>
      </w:r>
    </w:p>
    <w:p w:rsidR="00C175B5" w:rsidRPr="0080459C" w:rsidRDefault="00C175B5" w:rsidP="004E7B44">
      <w:pPr>
        <w:pStyle w:val="newsContent"/>
      </w:pPr>
      <w:r>
        <w:t xml:space="preserve">In het voorgaande jaar werden in de EU per week circa twee nieuwe psychoactieve stoffen (NPS'en of ‘nieuwe drugs’, vaak verkocht als ‘legale psychedelica’) ontdekt. In 2014 werden in totaal 101 nieuwe stoffen aangemeld bij het </w:t>
      </w:r>
      <w:r>
        <w:rPr>
          <w:b/>
        </w:rPr>
        <w:t>EWS</w:t>
      </w:r>
      <w:r>
        <w:t xml:space="preserve"> (gestegen van 81 stoffen in 2013). Daarmee wordt de opwaartse trend in het aantal stoffen dat in één enkel jaar wordt aangemeld voortgezet (figuur 1.12). Dit brengt het totale aantal middelen dat door het Agentschap wordt </w:t>
      </w:r>
      <w:r w:rsidR="009E54A2">
        <w:t>gemonitord</w:t>
      </w:r>
      <w:r>
        <w:t xml:space="preserve"> op meer dan 450, waarvan meer dan de helft alleen</w:t>
      </w:r>
      <w:r w:rsidR="009E54A2">
        <w:t xml:space="preserve"> al</w:t>
      </w:r>
      <w:r>
        <w:t xml:space="preserve"> in de afgelopen drie jaar werd geïdentificeerd.</w:t>
      </w:r>
    </w:p>
    <w:p w:rsidR="00C175B5" w:rsidRPr="00F613F0" w:rsidRDefault="00C175B5" w:rsidP="004E7B44">
      <w:pPr>
        <w:pStyle w:val="newsContent"/>
      </w:pPr>
      <w:r>
        <w:t xml:space="preserve">In 2014 werd de lijst van gerapporteerde stoffen opnieuw aangevoerd door twee groepen: synthetische cathinonen (31 stoffen) en synthetische cannabinoïden (30 stoffen) — vaak verkocht als legale vervanging van respectievelijk stimulerende middelen en cannabis. Deze vormen de twee grootste groepen die door het </w:t>
      </w:r>
      <w:r>
        <w:rPr>
          <w:b/>
        </w:rPr>
        <w:t>EWS</w:t>
      </w:r>
      <w:r>
        <w:t xml:space="preserve"> worden </w:t>
      </w:r>
      <w:r w:rsidR="006D6243">
        <w:t>gemonitord</w:t>
      </w:r>
      <w:r>
        <w:t>, en maken samen bijna twee derde van de in 2014 gemelde nieuwe drugs uit. Nieuwe gegevens over inbeslagnames laten zien dat in 2013 in de EU circa 35 000 inbeslagnames van nieuwe psychoactieve stoffen werden gerapporteerd (hoewel dit vanwege een gebrek aan routinematige meldingen op dit gebied moet worden beschouwd als een minimale schatting). Daarvan waren synthetische cannabinoïden en synthetische cathinonen de drugs die het meest in beslag werden genomen (figuur 1.2).</w:t>
      </w:r>
    </w:p>
    <w:p w:rsidR="00CF2955" w:rsidRDefault="00C175B5" w:rsidP="004E7B44">
      <w:pPr>
        <w:pStyle w:val="newsContent"/>
      </w:pPr>
      <w:r>
        <w:t xml:space="preserve">Nieuwe </w:t>
      </w:r>
      <w:r w:rsidR="006C789D">
        <w:t xml:space="preserve">onderzoeken en enquêtes </w:t>
      </w:r>
      <w:r w:rsidRPr="0009457A">
        <w:t xml:space="preserve">beginnen licht te werpen op het gebruik van nieuwe psychoactieve stoffen. Negen landen hebben de prevalentie van nieuwe psychoactieve stoffen nu opgenomen in hun nationale </w:t>
      </w:r>
      <w:r w:rsidR="006C789D">
        <w:t>drugsenquêtes</w:t>
      </w:r>
      <w:r w:rsidRPr="0009457A">
        <w:t>.</w:t>
      </w:r>
      <w:r>
        <w:t xml:space="preserve"> In de meeste EU-landen blijkt de prevalentie van het gebruik van deze stoffen laag te zijn. Zelfs een beperkt gebruik van deze stoffen kan echter zorgwekkend zijn wegens de ernstige toxiciteit van sommige nieuwe psychoactieve stoffen. Gezondheids- en sociale maatregelen naar </w:t>
      </w:r>
    </w:p>
    <w:p w:rsidR="00C175B5" w:rsidRPr="004E7B44" w:rsidRDefault="00C175B5" w:rsidP="004E7B44">
      <w:pPr>
        <w:pStyle w:val="newsContent"/>
      </w:pPr>
      <w:r>
        <w:lastRenderedPageBreak/>
        <w:t>aanleiding van nieuwe psychoactieve stoffen staan steeds meer in de belangstelling en weerspiegelen het volledige spectrum van de maatregelen tegen</w:t>
      </w:r>
      <w:r w:rsidR="00F72341">
        <w:t>over</w:t>
      </w:r>
      <w:r>
        <w:t xml:space="preserve"> de meer gevestigde illegale middelen (bijv. onderwijsactiviteiten over drugs, interventies op het internet, en omruilprogramma's voor naalden en spuiten).</w:t>
      </w:r>
    </w:p>
    <w:p w:rsidR="0001152D" w:rsidRPr="00AC750C" w:rsidRDefault="0001152D" w:rsidP="0001152D">
      <w:pPr>
        <w:spacing w:after="260" w:line="260" w:lineRule="exact"/>
        <w:rPr>
          <w:rFonts w:cs="Arial"/>
          <w:b/>
          <w:szCs w:val="20"/>
        </w:rPr>
      </w:pPr>
      <w:r>
        <w:rPr>
          <w:b/>
        </w:rPr>
        <w:t>Het internet en apps: opkomende virtuele drugsmarkten</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Het internet speelt een steeds grotere rol in het aanbod en de marketing van drugs aan Europeanen, en nieuwe psychoactieve stoffen en gevestigde drugs worden beide online te koop aangeboden. Het gebruik van het ‘</w:t>
      </w:r>
      <w:r w:rsidR="00CF6288">
        <w:rPr>
          <w:rFonts w:ascii="Arial" w:hAnsi="Arial"/>
          <w:sz w:val="20"/>
        </w:rPr>
        <w:t>surface</w:t>
      </w:r>
      <w:r w:rsidR="00897C9B">
        <w:rPr>
          <w:rFonts w:ascii="Arial" w:hAnsi="Arial"/>
          <w:sz w:val="20"/>
        </w:rPr>
        <w:t xml:space="preserve"> </w:t>
      </w:r>
      <w:r w:rsidR="00CF6288">
        <w:rPr>
          <w:rFonts w:ascii="Arial" w:hAnsi="Arial"/>
          <w:sz w:val="20"/>
        </w:rPr>
        <w:t>w</w:t>
      </w:r>
      <w:r>
        <w:rPr>
          <w:rFonts w:ascii="Arial" w:hAnsi="Arial"/>
          <w:sz w:val="20"/>
        </w:rPr>
        <w:t xml:space="preserve">eb’ (toegankelijk via gangbare zoekmachines) voor de verkoop van nieuwe psychoactieve stoffen heeft de afgelopen tien jaar meer aandacht gekregen, en de monitoring door het </w:t>
      </w:r>
      <w:r>
        <w:rPr>
          <w:rFonts w:ascii="Arial" w:hAnsi="Arial"/>
          <w:b/>
          <w:sz w:val="20"/>
        </w:rPr>
        <w:t>EMCDDA</w:t>
      </w:r>
      <w:r>
        <w:rPr>
          <w:rFonts w:ascii="Arial" w:hAnsi="Arial"/>
          <w:sz w:val="20"/>
        </w:rPr>
        <w:t xml:space="preserve"> heeft circa 650 websites geïdentificeerd die ‘legal</w:t>
      </w:r>
      <w:r w:rsidR="00334E80">
        <w:rPr>
          <w:rFonts w:ascii="Arial" w:hAnsi="Arial"/>
          <w:sz w:val="20"/>
        </w:rPr>
        <w:t xml:space="preserve"> highs</w:t>
      </w:r>
      <w:r>
        <w:rPr>
          <w:rFonts w:ascii="Arial" w:hAnsi="Arial"/>
          <w:sz w:val="20"/>
        </w:rPr>
        <w:t>’ aan Europeanen verkopen. Een uitdagende ontwikkeling in de onlinemarkt is de verkoop van illegale drugs op ‘cryptomarkten’ of onlinemarktplaatsen op het ‘deep web’ (toegankelijk met behulp van versleutelingssoftware). Deze maken het voor partijen mogelijk om anoniem goederen en diensten uit te wisselen, vaak met behulp van ‘cryptogeld’ (bijv. bitcoins) om verborgen transacties te faciliteren. Ook duiken er zogenaamde ‘grijze marktplaatsen’ op – sites die zowel openlijk op het internet als meer verborgen op het ‘deep web’ opereren. Het rapport belicht hoe sociale media en apps ook een actieve rol spelen op drugsmarkten, of ze nu direct worden gebruikt voor het kopen en verkopen van drugs dan wel indirect worden gebruikt voor marketing, opinievorming of het delen van ervaringen.</w:t>
      </w:r>
    </w:p>
    <w:p w:rsidR="000C1074" w:rsidRDefault="0001152D" w:rsidP="0002521E">
      <w:pPr>
        <w:spacing w:after="120"/>
        <w:rPr>
          <w:rFonts w:cs="Arial"/>
          <w:szCs w:val="20"/>
        </w:rPr>
      </w:pPr>
      <w:r>
        <w:t>"De toename van online- en virtuele drugsmarkten vormt een grote uitdaging voor het wetshandhavings- en drugscontrolebeleid", stelt het rapport. "Bestaande regelgevingsmodellen moeten worden aangepast aan een mondiale virtuele context."</w:t>
      </w: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02521E">
      <w:pPr>
        <w:spacing w:afterLines="80" w:after="192"/>
        <w:rPr>
          <w:rStyle w:val="header-line-3"/>
          <w:rFonts w:cs="Arial"/>
          <w:color w:val="FF0000"/>
          <w:szCs w:val="20"/>
          <w:highlight w:val="yellow"/>
        </w:rPr>
      </w:pPr>
      <w:r>
        <w:rPr>
          <w:rStyle w:val="header-line-3"/>
          <w:b/>
        </w:rPr>
        <w:t xml:space="preserve">De voorzitter van de </w:t>
      </w:r>
      <w:r w:rsidR="007F24F3">
        <w:rPr>
          <w:rStyle w:val="header-line-3"/>
          <w:b/>
        </w:rPr>
        <w:t>R</w:t>
      </w:r>
      <w:r>
        <w:rPr>
          <w:rStyle w:val="header-line-3"/>
          <w:b/>
        </w:rPr>
        <w:t xml:space="preserve">aad van </w:t>
      </w:r>
      <w:r w:rsidR="007F24F3">
        <w:rPr>
          <w:rStyle w:val="header-line-3"/>
          <w:b/>
        </w:rPr>
        <w:t>B</w:t>
      </w:r>
      <w:r>
        <w:rPr>
          <w:rStyle w:val="header-line-3"/>
          <w:b/>
        </w:rPr>
        <w:t>estuur van het EMCDDA, João Goulão</w:t>
      </w:r>
      <w:r>
        <w:t>,</w:t>
      </w:r>
      <w:r>
        <w:rPr>
          <w:rStyle w:val="header-line-3"/>
        </w:rPr>
        <w:t xml:space="preserve"> concludeert:</w:t>
      </w:r>
      <w:r>
        <w:t xml:space="preserve"> </w:t>
      </w:r>
      <w:r>
        <w:rPr>
          <w:rStyle w:val="header-line-3"/>
        </w:rPr>
        <w:t>"Deze twintigste analyse van het drugs</w:t>
      </w:r>
      <w:r w:rsidR="003E3268">
        <w:rPr>
          <w:rStyle w:val="header-line-3"/>
        </w:rPr>
        <w:t>fenomeen</w:t>
      </w:r>
      <w:r>
        <w:rPr>
          <w:rStyle w:val="header-line-3"/>
        </w:rPr>
        <w:t xml:space="preserve"> in</w:t>
      </w:r>
      <w:r w:rsidR="003E3268">
        <w:rPr>
          <w:rStyle w:val="header-line-3"/>
        </w:rPr>
        <w:t xml:space="preserve"> de</w:t>
      </w:r>
      <w:r>
        <w:rPr>
          <w:rStyle w:val="header-line-3"/>
        </w:rPr>
        <w:t xml:space="preserve"> Europese landen laat zien hoeveel er is veranderd sinds het eerste rapport van het EMCDDA in 1996 en hoezeer het Agentschap heeft bijgedragen tot een beter begrip van dit probleem. De complexiteit van het drugsprobleem is nu veel groter, want veel van de stoffen in het rapport van vandaag waren twintig jaar geleden nog vrijwel onbekend bij gebruikers. </w:t>
      </w:r>
      <w:r w:rsidR="00CF2955">
        <w:rPr>
          <w:rStyle w:val="header-line-3"/>
        </w:rPr>
        <w:t xml:space="preserve">                    </w:t>
      </w:r>
      <w:r>
        <w:rPr>
          <w:rStyle w:val="header-line-3"/>
        </w:rPr>
        <w:t>De grenzen tussen oude en nieuwe drugs zijn ook steeds moeilijker vast te stellen, nu nieuwe stoffen in toenemende mate gecontroleerde drugs nabootsen. Dit jaarlijkse venster op het drugsprobleem in Europa verschaft informatie die een waardevolle basis vormt voor discussies over het drugsbeleid van vandaag. Het geeft ook belangrijke inzichten voor het beleid dat we morgen nodig hebben."</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Noten</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Het volledige pakket van het </w:t>
      </w:r>
      <w:r>
        <w:rPr>
          <w:b/>
          <w:i/>
          <w:sz w:val="16"/>
        </w:rPr>
        <w:t>Europees Drugsrapport</w:t>
      </w:r>
      <w:r>
        <w:rPr>
          <w:sz w:val="16"/>
        </w:rPr>
        <w:t xml:space="preserve"> </w:t>
      </w:r>
      <w:r>
        <w:rPr>
          <w:b/>
          <w:i/>
          <w:sz w:val="16"/>
        </w:rPr>
        <w:t>2015</w:t>
      </w:r>
      <w:r>
        <w:rPr>
          <w:sz w:val="16"/>
        </w:rPr>
        <w:t xml:space="preserve"> is beschikbaar op </w:t>
      </w:r>
      <w:hyperlink r:id="rId11">
        <w:r>
          <w:rPr>
            <w:rStyle w:val="Hyperlink"/>
            <w:sz w:val="16"/>
          </w:rPr>
          <w:t>www.emcdda.europa.eu/edr2015</w:t>
        </w:r>
      </w:hyperlink>
    </w:p>
    <w:p w:rsidR="000C1074" w:rsidRDefault="000A4F68" w:rsidP="00184E73">
      <w:pPr>
        <w:spacing w:after="0" w:line="240" w:lineRule="auto"/>
        <w:rPr>
          <w:rFonts w:cs="Arial"/>
          <w:sz w:val="16"/>
          <w:szCs w:val="16"/>
        </w:rPr>
      </w:pPr>
      <w:r>
        <w:rPr>
          <w:sz w:val="16"/>
        </w:rPr>
        <w:t>De gegevens die in dit rapport worden gepresenteerd, hebben betrekking op 2013 of het laatste jaar waarvoor gegevens beschikbaar zijn.</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2">
        <w:r>
          <w:rPr>
            <w:rStyle w:val="Hyperlink"/>
            <w:sz w:val="16"/>
          </w:rPr>
          <w:t>www.unodc.org/documents/wdr2014/World_Drug_Report_2014_web.pdf</w:t>
        </w:r>
      </w:hyperlink>
    </w:p>
    <w:p w:rsidR="008C53EC" w:rsidRPr="0002521E" w:rsidRDefault="00EE7FC7" w:rsidP="00184E73">
      <w:pPr>
        <w:spacing w:after="0" w:line="240" w:lineRule="auto"/>
        <w:rPr>
          <w:rFonts w:cs="Arial"/>
          <w:sz w:val="16"/>
          <w:szCs w:val="16"/>
        </w:rPr>
      </w:pPr>
      <w:hyperlink r:id="rId13">
        <w:r w:rsidR="00117596">
          <w:rPr>
            <w:rStyle w:val="Hyperlink"/>
            <w:sz w:val="16"/>
          </w:rPr>
          <w:t>www.unodc.org/documents/crop-monitoring/Afghanistan/Afghan-opium-survey-2014.pdf</w:t>
        </w:r>
      </w:hyperlink>
    </w:p>
    <w:p w:rsidR="000C1074" w:rsidRDefault="0002128C" w:rsidP="00184E73">
      <w:pPr>
        <w:spacing w:after="0" w:line="240" w:lineRule="auto"/>
        <w:rPr>
          <w:rStyle w:val="Hyperlink"/>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4">
        <w:r>
          <w:rPr>
            <w:rStyle w:val="Hyperlink"/>
            <w:sz w:val="16"/>
          </w:rPr>
          <w:t>www.emcdda.europa.eu/news/2015/naloxone</w:t>
        </w:r>
      </w:hyperlink>
    </w:p>
    <w:p w:rsidR="00224BE2" w:rsidRPr="00671366" w:rsidRDefault="0060343A" w:rsidP="00671366">
      <w:pPr>
        <w:spacing w:after="0" w:line="240" w:lineRule="auto"/>
        <w:rPr>
          <w:rStyle w:val="Hyperlink"/>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5">
        <w:r>
          <w:rPr>
            <w:rStyle w:val="Hyperlink"/>
            <w:sz w:val="16"/>
          </w:rPr>
          <w:t>www.emcdda.europa.eu/news/2015/treatment-of-cannabis-related-disorders-in-Europe</w:t>
        </w:r>
      </w:hyperlink>
    </w:p>
    <w:sectPr w:rsidR="00224BE2" w:rsidRPr="00671366" w:rsidSect="00F57B5A">
      <w:headerReference w:type="default" r:id="rId16"/>
      <w:footerReference w:type="default" r:id="rId17"/>
      <w:footerReference w:type="first" r:id="rId18"/>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88" w:rsidRDefault="00CF6288" w:rsidP="009A28FB">
      <w:pPr>
        <w:spacing w:after="0" w:line="240" w:lineRule="auto"/>
      </w:pPr>
      <w:r>
        <w:separator/>
      </w:r>
    </w:p>
  </w:endnote>
  <w:endnote w:type="continuationSeparator" w:id="0">
    <w:p w:rsidR="00CF6288" w:rsidRDefault="00CF6288"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CF6288" w:rsidTr="002F4635">
      <w:tc>
        <w:tcPr>
          <w:tcW w:w="1444" w:type="dxa"/>
        </w:tcPr>
        <w:p w:rsidR="00CF6288" w:rsidRDefault="00CF6288"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0EDE5C50" wp14:editId="038829E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86D6A2"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 xml:space="preserve">emcdda.europa.eu </w:t>
          </w:r>
        </w:p>
      </w:tc>
      <w:tc>
        <w:tcPr>
          <w:tcW w:w="3294" w:type="dxa"/>
          <w:vAlign w:val="bottom"/>
        </w:tcPr>
        <w:p w:rsidR="00CF6288" w:rsidRDefault="00CF6288" w:rsidP="00BF1E3B">
          <w:pPr>
            <w:pStyle w:val="newsReference"/>
            <w:jc w:val="right"/>
          </w:pPr>
          <w:r>
            <w:fldChar w:fldCharType="begin"/>
          </w:r>
          <w:r>
            <w:instrText xml:space="preserve"> PAGE   \* MERGEFORMAT </w:instrText>
          </w:r>
          <w:r>
            <w:fldChar w:fldCharType="separate"/>
          </w:r>
          <w:r w:rsidR="00EE7FC7">
            <w:rPr>
              <w:noProof/>
            </w:rPr>
            <w:t>4</w:t>
          </w:r>
          <w:r>
            <w:rPr>
              <w:noProof/>
            </w:rPr>
            <w:fldChar w:fldCharType="end"/>
          </w:r>
        </w:p>
      </w:tc>
    </w:tr>
  </w:tbl>
  <w:p w:rsidR="00CF6288" w:rsidRDefault="00CF6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CF6288" w:rsidTr="00031350">
      <w:tc>
        <w:tcPr>
          <w:tcW w:w="7196" w:type="dxa"/>
        </w:tcPr>
        <w:p w:rsidR="00CF6288" w:rsidRPr="00B30DD2" w:rsidRDefault="00CF6288" w:rsidP="00031350">
          <w:pPr>
            <w:pStyle w:val="newsCoordinates"/>
            <w:rPr>
              <w:lang w:val="pt-PT"/>
            </w:rPr>
          </w:pPr>
          <w:r>
            <w:rPr>
              <w:noProof/>
              <w:lang w:val="en-GB" w:eastAsia="en-GB" w:bidi="ar-SA"/>
            </w:rPr>
            <mc:AlternateContent>
              <mc:Choice Requires="wps">
                <w:drawing>
                  <wp:anchor distT="0" distB="0" distL="114300" distR="114300" simplePos="0" relativeHeight="251665408" behindDoc="1" locked="0" layoutInCell="1" allowOverlap="1" wp14:anchorId="19BCC4B9" wp14:editId="79D3ACB5">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A26AFEF"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B30DD2">
            <w:rPr>
              <w:lang w:val="pt-PT"/>
            </w:rPr>
            <w:t>Contactpersoon: Kathy Robertson, Mediabetrekkingen</w:t>
          </w:r>
        </w:p>
        <w:p w:rsidR="00CF6288" w:rsidRPr="00B30DD2" w:rsidRDefault="00CF6288" w:rsidP="00031350">
          <w:pPr>
            <w:pStyle w:val="newsCoordinates"/>
            <w:rPr>
              <w:lang w:val="pt-PT"/>
            </w:rPr>
          </w:pPr>
          <w:r w:rsidRPr="00B30DD2">
            <w:rPr>
              <w:lang w:val="pt-PT"/>
            </w:rPr>
            <w:t>Praça Europa 1, Cais do Sodré, 1249-289 Lissabon, Portugal</w:t>
          </w:r>
        </w:p>
        <w:p w:rsidR="00CF6288" w:rsidRPr="000C1074" w:rsidRDefault="00CF6288" w:rsidP="00031350">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3294" w:type="dxa"/>
          <w:vAlign w:val="bottom"/>
        </w:tcPr>
        <w:p w:rsidR="00CF6288" w:rsidRDefault="00CF6288" w:rsidP="000A4F68">
          <w:pPr>
            <w:pStyle w:val="newsReference"/>
            <w:jc w:val="right"/>
          </w:pPr>
          <w:r>
            <w:t>NL — nr. 4/2015</w:t>
          </w:r>
        </w:p>
      </w:tc>
    </w:tr>
  </w:tbl>
  <w:p w:rsidR="00CF6288" w:rsidRDefault="00CF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88" w:rsidRDefault="00CF6288" w:rsidP="009A28FB">
      <w:pPr>
        <w:spacing w:after="0" w:line="240" w:lineRule="auto"/>
      </w:pPr>
      <w:r>
        <w:separator/>
      </w:r>
    </w:p>
  </w:footnote>
  <w:footnote w:type="continuationSeparator" w:id="0">
    <w:p w:rsidR="00CF6288" w:rsidRDefault="00CF6288"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CF6288" w:rsidTr="00BF1E3B">
      <w:tc>
        <w:tcPr>
          <w:tcW w:w="7196" w:type="dxa"/>
        </w:tcPr>
        <w:p w:rsidR="00CF6288" w:rsidRDefault="00CF6288" w:rsidP="00CC4FDA">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0122D69A" wp14:editId="308F91EF">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FDEBD67"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t xml:space="preserve">Europees Drugsrapport 2015 </w:t>
          </w:r>
          <w:r>
            <w:rPr>
              <w:noProof/>
              <w:sz w:val="18"/>
            </w:rPr>
            <w:t>I</w:t>
          </w:r>
          <w:r>
            <w:t xml:space="preserve"> </w:t>
          </w:r>
          <w:r>
            <w:rPr>
              <w:b/>
              <w:noProof/>
              <w:color w:val="FF0000"/>
            </w:rPr>
            <w:t>EMBARGO 10:00 WET/tijd in Lissabon</w:t>
          </w:r>
        </w:p>
      </w:tc>
      <w:tc>
        <w:tcPr>
          <w:tcW w:w="3294" w:type="dxa"/>
          <w:vAlign w:val="bottom"/>
        </w:tcPr>
        <w:p w:rsidR="00CF6288" w:rsidRDefault="00CF6288" w:rsidP="00A13D42">
          <w:pPr>
            <w:pStyle w:val="newsReference"/>
            <w:jc w:val="right"/>
          </w:pPr>
          <w:r>
            <w:t>4.6.2015</w:t>
          </w:r>
        </w:p>
      </w:tc>
    </w:tr>
  </w:tbl>
  <w:p w:rsidR="00CF6288" w:rsidRDefault="00CF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59E8"/>
    <w:multiLevelType w:val="hybridMultilevel"/>
    <w:tmpl w:val="43CC7F5C"/>
    <w:lvl w:ilvl="0" w:tplc="75386FC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D6D50"/>
    <w:multiLevelType w:val="hybridMultilevel"/>
    <w:tmpl w:val="E6D2C416"/>
    <w:lvl w:ilvl="0" w:tplc="147EAB8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us Cruts">
    <w15:presenceInfo w15:providerId="AD" w15:userId="S-1-5-21-319232059-191956947-313073093-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57A"/>
    <w:rsid w:val="00094B2A"/>
    <w:rsid w:val="000A1C65"/>
    <w:rsid w:val="000A4F68"/>
    <w:rsid w:val="000B2DDF"/>
    <w:rsid w:val="000C00EF"/>
    <w:rsid w:val="000C1074"/>
    <w:rsid w:val="000C1799"/>
    <w:rsid w:val="000C3FA2"/>
    <w:rsid w:val="000C6200"/>
    <w:rsid w:val="000D1C68"/>
    <w:rsid w:val="000D371F"/>
    <w:rsid w:val="000D3B2D"/>
    <w:rsid w:val="000D6DB7"/>
    <w:rsid w:val="000F05A3"/>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C15"/>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D7F87"/>
    <w:rsid w:val="001E6B79"/>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3572C"/>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A36"/>
    <w:rsid w:val="00304ED3"/>
    <w:rsid w:val="00313B77"/>
    <w:rsid w:val="00315811"/>
    <w:rsid w:val="0032347B"/>
    <w:rsid w:val="0033158E"/>
    <w:rsid w:val="00334B9B"/>
    <w:rsid w:val="00334E80"/>
    <w:rsid w:val="003366A1"/>
    <w:rsid w:val="003423CF"/>
    <w:rsid w:val="00346A2D"/>
    <w:rsid w:val="00352A65"/>
    <w:rsid w:val="00356C18"/>
    <w:rsid w:val="0036121D"/>
    <w:rsid w:val="003621BA"/>
    <w:rsid w:val="00362CD8"/>
    <w:rsid w:val="003728ED"/>
    <w:rsid w:val="00380179"/>
    <w:rsid w:val="00380C21"/>
    <w:rsid w:val="003849C1"/>
    <w:rsid w:val="00387D02"/>
    <w:rsid w:val="00392E6E"/>
    <w:rsid w:val="003953B8"/>
    <w:rsid w:val="00396377"/>
    <w:rsid w:val="00397BE5"/>
    <w:rsid w:val="003B14C2"/>
    <w:rsid w:val="003B1D7B"/>
    <w:rsid w:val="003B2845"/>
    <w:rsid w:val="003B41B1"/>
    <w:rsid w:val="003B7A42"/>
    <w:rsid w:val="003C0395"/>
    <w:rsid w:val="003C21DD"/>
    <w:rsid w:val="003C52DA"/>
    <w:rsid w:val="003C6E5F"/>
    <w:rsid w:val="003D2A4C"/>
    <w:rsid w:val="003D4C63"/>
    <w:rsid w:val="003E3268"/>
    <w:rsid w:val="003F26CE"/>
    <w:rsid w:val="00410873"/>
    <w:rsid w:val="00410CA5"/>
    <w:rsid w:val="004137B0"/>
    <w:rsid w:val="00416CB0"/>
    <w:rsid w:val="004204A7"/>
    <w:rsid w:val="004221D3"/>
    <w:rsid w:val="0043414B"/>
    <w:rsid w:val="00435B19"/>
    <w:rsid w:val="00436BB4"/>
    <w:rsid w:val="0044111C"/>
    <w:rsid w:val="00445080"/>
    <w:rsid w:val="00446E8A"/>
    <w:rsid w:val="0045053C"/>
    <w:rsid w:val="00453225"/>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2D6D"/>
    <w:rsid w:val="00496E01"/>
    <w:rsid w:val="004A1615"/>
    <w:rsid w:val="004A2354"/>
    <w:rsid w:val="004A5D08"/>
    <w:rsid w:val="004A7D6F"/>
    <w:rsid w:val="004B1BC3"/>
    <w:rsid w:val="004B3A1C"/>
    <w:rsid w:val="004B5539"/>
    <w:rsid w:val="004C0D27"/>
    <w:rsid w:val="004C3028"/>
    <w:rsid w:val="004C4312"/>
    <w:rsid w:val="004C5510"/>
    <w:rsid w:val="004C7511"/>
    <w:rsid w:val="004D0D9E"/>
    <w:rsid w:val="004D1ED2"/>
    <w:rsid w:val="004D2188"/>
    <w:rsid w:val="004D494C"/>
    <w:rsid w:val="004D58DA"/>
    <w:rsid w:val="004D6E0C"/>
    <w:rsid w:val="004D7331"/>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5F084A"/>
    <w:rsid w:val="005F2DE4"/>
    <w:rsid w:val="0060343A"/>
    <w:rsid w:val="00605AC6"/>
    <w:rsid w:val="00605DD5"/>
    <w:rsid w:val="00605FE0"/>
    <w:rsid w:val="006116D9"/>
    <w:rsid w:val="0061677E"/>
    <w:rsid w:val="00620411"/>
    <w:rsid w:val="00621210"/>
    <w:rsid w:val="00621C22"/>
    <w:rsid w:val="00623A55"/>
    <w:rsid w:val="00630257"/>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1366"/>
    <w:rsid w:val="0067480A"/>
    <w:rsid w:val="00683B65"/>
    <w:rsid w:val="00692FCC"/>
    <w:rsid w:val="006950E8"/>
    <w:rsid w:val="00697DC6"/>
    <w:rsid w:val="006A1A74"/>
    <w:rsid w:val="006A4A9F"/>
    <w:rsid w:val="006B01D4"/>
    <w:rsid w:val="006B599C"/>
    <w:rsid w:val="006B5AAD"/>
    <w:rsid w:val="006C35F4"/>
    <w:rsid w:val="006C59B0"/>
    <w:rsid w:val="006C789D"/>
    <w:rsid w:val="006D5289"/>
    <w:rsid w:val="006D6243"/>
    <w:rsid w:val="006D664F"/>
    <w:rsid w:val="006E187F"/>
    <w:rsid w:val="006E4951"/>
    <w:rsid w:val="006E511F"/>
    <w:rsid w:val="006E7456"/>
    <w:rsid w:val="006F28AB"/>
    <w:rsid w:val="006F3DE0"/>
    <w:rsid w:val="006F4E96"/>
    <w:rsid w:val="006F68EB"/>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9766B"/>
    <w:rsid w:val="007A07A7"/>
    <w:rsid w:val="007A1A26"/>
    <w:rsid w:val="007A6CA7"/>
    <w:rsid w:val="007B0E03"/>
    <w:rsid w:val="007B1CCD"/>
    <w:rsid w:val="007B4942"/>
    <w:rsid w:val="007C23FC"/>
    <w:rsid w:val="007C5BE9"/>
    <w:rsid w:val="007E171E"/>
    <w:rsid w:val="007F03EB"/>
    <w:rsid w:val="007F24F3"/>
    <w:rsid w:val="007F2B3B"/>
    <w:rsid w:val="0080033C"/>
    <w:rsid w:val="00802968"/>
    <w:rsid w:val="00802C85"/>
    <w:rsid w:val="0080459C"/>
    <w:rsid w:val="00805BF9"/>
    <w:rsid w:val="008073F2"/>
    <w:rsid w:val="00813FB5"/>
    <w:rsid w:val="0082389D"/>
    <w:rsid w:val="00824119"/>
    <w:rsid w:val="0082465E"/>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97C9B"/>
    <w:rsid w:val="008A3DFC"/>
    <w:rsid w:val="008C06D1"/>
    <w:rsid w:val="008C1172"/>
    <w:rsid w:val="008C39A8"/>
    <w:rsid w:val="008C53EC"/>
    <w:rsid w:val="008C65A8"/>
    <w:rsid w:val="008D1D9C"/>
    <w:rsid w:val="008D54B3"/>
    <w:rsid w:val="008D76A2"/>
    <w:rsid w:val="008E02FE"/>
    <w:rsid w:val="008E0611"/>
    <w:rsid w:val="008E15DC"/>
    <w:rsid w:val="008E4A06"/>
    <w:rsid w:val="008E65C2"/>
    <w:rsid w:val="008F1475"/>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D0DBC"/>
    <w:rsid w:val="009D6255"/>
    <w:rsid w:val="009E2487"/>
    <w:rsid w:val="009E38C9"/>
    <w:rsid w:val="009E54A2"/>
    <w:rsid w:val="009F02D9"/>
    <w:rsid w:val="009F2AD1"/>
    <w:rsid w:val="009F3555"/>
    <w:rsid w:val="009F4479"/>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30E"/>
    <w:rsid w:val="00B00559"/>
    <w:rsid w:val="00B030A8"/>
    <w:rsid w:val="00B11B73"/>
    <w:rsid w:val="00B1345A"/>
    <w:rsid w:val="00B1517F"/>
    <w:rsid w:val="00B15FA6"/>
    <w:rsid w:val="00B249BB"/>
    <w:rsid w:val="00B25554"/>
    <w:rsid w:val="00B26499"/>
    <w:rsid w:val="00B26AFA"/>
    <w:rsid w:val="00B272F1"/>
    <w:rsid w:val="00B30DD2"/>
    <w:rsid w:val="00B40F29"/>
    <w:rsid w:val="00B432C8"/>
    <w:rsid w:val="00B44912"/>
    <w:rsid w:val="00B449B0"/>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60CF"/>
    <w:rsid w:val="00BC2240"/>
    <w:rsid w:val="00BD2DD8"/>
    <w:rsid w:val="00BE085D"/>
    <w:rsid w:val="00BE1225"/>
    <w:rsid w:val="00BE17DE"/>
    <w:rsid w:val="00BE28E2"/>
    <w:rsid w:val="00BE2EB2"/>
    <w:rsid w:val="00BE51BC"/>
    <w:rsid w:val="00BF1DBA"/>
    <w:rsid w:val="00BF1E3B"/>
    <w:rsid w:val="00C024B9"/>
    <w:rsid w:val="00C03D93"/>
    <w:rsid w:val="00C13291"/>
    <w:rsid w:val="00C175B5"/>
    <w:rsid w:val="00C205A8"/>
    <w:rsid w:val="00C340B5"/>
    <w:rsid w:val="00C36154"/>
    <w:rsid w:val="00C36BC1"/>
    <w:rsid w:val="00C42A0D"/>
    <w:rsid w:val="00C4778C"/>
    <w:rsid w:val="00C47E5C"/>
    <w:rsid w:val="00C52720"/>
    <w:rsid w:val="00C540EA"/>
    <w:rsid w:val="00C62010"/>
    <w:rsid w:val="00C628C4"/>
    <w:rsid w:val="00C6303A"/>
    <w:rsid w:val="00C63254"/>
    <w:rsid w:val="00C70B5D"/>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D5030"/>
    <w:rsid w:val="00CE161F"/>
    <w:rsid w:val="00CE24C4"/>
    <w:rsid w:val="00CE3C57"/>
    <w:rsid w:val="00CE4CEB"/>
    <w:rsid w:val="00CF2955"/>
    <w:rsid w:val="00CF432D"/>
    <w:rsid w:val="00CF6288"/>
    <w:rsid w:val="00D0019A"/>
    <w:rsid w:val="00D01335"/>
    <w:rsid w:val="00D02CF3"/>
    <w:rsid w:val="00D03355"/>
    <w:rsid w:val="00D03EC6"/>
    <w:rsid w:val="00D0422C"/>
    <w:rsid w:val="00D0675E"/>
    <w:rsid w:val="00D10437"/>
    <w:rsid w:val="00D2058B"/>
    <w:rsid w:val="00D20D65"/>
    <w:rsid w:val="00D21D94"/>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4D2E"/>
    <w:rsid w:val="00DB5716"/>
    <w:rsid w:val="00DC16DB"/>
    <w:rsid w:val="00DC1D26"/>
    <w:rsid w:val="00DC2E98"/>
    <w:rsid w:val="00DC6D6C"/>
    <w:rsid w:val="00DD2021"/>
    <w:rsid w:val="00DD2E1E"/>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701"/>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25AE"/>
    <w:rsid w:val="00ED3F0D"/>
    <w:rsid w:val="00EE23CC"/>
    <w:rsid w:val="00EE7FC7"/>
    <w:rsid w:val="00EF1883"/>
    <w:rsid w:val="00EF39B3"/>
    <w:rsid w:val="00EF6088"/>
    <w:rsid w:val="00EF7C66"/>
    <w:rsid w:val="00F0248E"/>
    <w:rsid w:val="00F03796"/>
    <w:rsid w:val="00F04A5A"/>
    <w:rsid w:val="00F0504A"/>
    <w:rsid w:val="00F06CDE"/>
    <w:rsid w:val="00F078D7"/>
    <w:rsid w:val="00F139B1"/>
    <w:rsid w:val="00F21CA9"/>
    <w:rsid w:val="00F24096"/>
    <w:rsid w:val="00F2630C"/>
    <w:rsid w:val="00F3604D"/>
    <w:rsid w:val="00F40746"/>
    <w:rsid w:val="00F414EF"/>
    <w:rsid w:val="00F4152C"/>
    <w:rsid w:val="00F442E1"/>
    <w:rsid w:val="00F47542"/>
    <w:rsid w:val="00F57B5A"/>
    <w:rsid w:val="00F613F0"/>
    <w:rsid w:val="00F6333E"/>
    <w:rsid w:val="00F64D52"/>
    <w:rsid w:val="00F72341"/>
    <w:rsid w:val="00F7610F"/>
    <w:rsid w:val="00F76DAF"/>
    <w:rsid w:val="00F854F6"/>
    <w:rsid w:val="00F91C81"/>
    <w:rsid w:val="00F93AB5"/>
    <w:rsid w:val="00FA0F3D"/>
    <w:rsid w:val="00FA2A93"/>
    <w:rsid w:val="00FA606A"/>
    <w:rsid w:val="00FB2A43"/>
    <w:rsid w:val="00FB351B"/>
    <w:rsid w:val="00FB5246"/>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9457A"/>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E52701"/>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9457A"/>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E52701"/>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346906988">
      <w:bodyDiv w:val="1"/>
      <w:marLeft w:val="0"/>
      <w:marRight w:val="0"/>
      <w:marTop w:val="0"/>
      <w:marBottom w:val="0"/>
      <w:divBdr>
        <w:top w:val="none" w:sz="0" w:space="0" w:color="auto"/>
        <w:left w:val="none" w:sz="0" w:space="0" w:color="auto"/>
        <w:bottom w:val="none" w:sz="0" w:space="0" w:color="auto"/>
        <w:right w:val="none" w:sz="0" w:space="0" w:color="auto"/>
      </w:divBdr>
      <w:divsChild>
        <w:div w:id="1549299627">
          <w:marLeft w:val="0"/>
          <w:marRight w:val="0"/>
          <w:marTop w:val="0"/>
          <w:marBottom w:val="0"/>
          <w:divBdr>
            <w:top w:val="none" w:sz="0" w:space="0" w:color="auto"/>
            <w:left w:val="none" w:sz="0" w:space="0" w:color="auto"/>
            <w:bottom w:val="none" w:sz="0" w:space="0" w:color="auto"/>
            <w:right w:val="none" w:sz="0" w:space="0" w:color="auto"/>
          </w:divBdr>
          <w:divsChild>
            <w:div w:id="1332294739">
              <w:marLeft w:val="0"/>
              <w:marRight w:val="0"/>
              <w:marTop w:val="0"/>
              <w:marBottom w:val="0"/>
              <w:divBdr>
                <w:top w:val="none" w:sz="0" w:space="0" w:color="auto"/>
                <w:left w:val="none" w:sz="0" w:space="0" w:color="auto"/>
                <w:bottom w:val="none" w:sz="0" w:space="0" w:color="auto"/>
                <w:right w:val="none" w:sz="0" w:space="0" w:color="auto"/>
              </w:divBdr>
              <w:divsChild>
                <w:div w:id="196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dc.org/documents/crop-monitoring/Afghanistan/Afghan-opium-survey-2014.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dc.org/documents/wdr2014/World_Drug_Report_2014_web.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edr2015" TargetMode="External"/><Relationship Id="rId5" Type="http://schemas.openxmlformats.org/officeDocument/2006/relationships/settings" Target="settings.xml"/><Relationship Id="rId15" Type="http://schemas.openxmlformats.org/officeDocument/2006/relationships/hyperlink" Target="http://www.emcdda.europa.eu/news/2015/treatment-of-cannabis-related-disorders-in-Europ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cdda.europa.eu/news/2015/naloxon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E772-D03D-4C7F-AF21-9C2D7770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3724</Words>
  <Characters>21229</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10</cp:revision>
  <cp:lastPrinted>2015-04-28T08:44:00Z</cp:lastPrinted>
  <dcterms:created xsi:type="dcterms:W3CDTF">2015-05-12T15:24:00Z</dcterms:created>
  <dcterms:modified xsi:type="dcterms:W3CDTF">2015-06-02T14:31:00Z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