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page" w:horzAnchor="margin" w:tblpXSpec="center" w:tblpY="710"/>
        <w:tblW w:w="5615" w:type="pct"/>
        <w:tblLayout w:type="fixed"/>
        <w:tblCellMar>
          <w:left w:w="142" w:type="dxa"/>
          <w:right w:w="0" w:type="dxa"/>
        </w:tblCellMar>
        <w:tblLook w:val="0080" w:firstRow="0" w:lastRow="0" w:firstColumn="1" w:lastColumn="0" w:noHBand="0" w:noVBand="0"/>
      </w:tblPr>
      <w:tblGrid>
        <w:gridCol w:w="4972"/>
        <w:gridCol w:w="5692"/>
      </w:tblGrid>
      <w:tr w:rsidR="00A224B3" w:rsidRPr="00D166F5" w14:paraId="6331B729" w14:textId="77777777">
        <w:trPr>
          <w:trHeight w:val="1695"/>
        </w:trPr>
        <w:tc>
          <w:tcPr>
            <w:tcW w:w="2331" w:type="pct"/>
          </w:tcPr>
          <w:p w14:paraId="37255565" w14:textId="77777777" w:rsidR="00A224B3" w:rsidRPr="00D166F5" w:rsidRDefault="003A60F1">
            <w:pPr>
              <w:spacing w:after="0" w:line="240" w:lineRule="auto"/>
              <w:rPr>
                <w:szCs w:val="24"/>
                <w:lang w:val="sv-SE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1AAFC7BB" wp14:editId="648E0768">
                  <wp:extent cx="2933065" cy="59499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14:paraId="2E49E061" w14:textId="77777777" w:rsidR="00A224B3" w:rsidRPr="00D166F5" w:rsidRDefault="00A224B3">
            <w:pPr>
              <w:spacing w:after="0" w:line="240" w:lineRule="auto"/>
              <w:rPr>
                <w:szCs w:val="24"/>
                <w:lang w:val="sv-SE"/>
              </w:rPr>
            </w:pPr>
          </w:p>
        </w:tc>
      </w:tr>
    </w:tbl>
    <w:p w14:paraId="054C9C81" w14:textId="77777777" w:rsidR="000D15DD" w:rsidRPr="000D15DD" w:rsidRDefault="000D15DD" w:rsidP="000D15DD">
      <w:pPr>
        <w:spacing w:after="0"/>
        <w:rPr>
          <w:vanish/>
        </w:rPr>
      </w:pPr>
    </w:p>
    <w:tbl>
      <w:tblPr>
        <w:tblW w:w="12796" w:type="dxa"/>
        <w:tblInd w:w="-127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96"/>
      </w:tblGrid>
      <w:tr w:rsidR="00A224B3" w:rsidRPr="00D166F5" w14:paraId="53A3DAC0" w14:textId="77777777">
        <w:trPr>
          <w:trHeight w:val="1304"/>
        </w:trPr>
        <w:tc>
          <w:tcPr>
            <w:tcW w:w="12796" w:type="dxa"/>
            <w:vAlign w:val="bottom"/>
          </w:tcPr>
          <w:p w14:paraId="671CB6F6" w14:textId="77777777" w:rsidR="00A224B3" w:rsidRPr="00D166F5" w:rsidRDefault="003A60F1">
            <w:pPr>
              <w:spacing w:after="0" w:line="240" w:lineRule="auto"/>
              <w:rPr>
                <w:szCs w:val="24"/>
                <w:lang w:val="sv-SE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37BEFCA5" wp14:editId="34EF13F1">
                  <wp:extent cx="7548245" cy="9144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2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0BDA5B" w14:textId="1D1575B3" w:rsidR="00A224B3" w:rsidRPr="00814A22" w:rsidRDefault="000F5D27" w:rsidP="00814A22">
      <w:pPr>
        <w:pStyle w:val="newsTitle"/>
        <w:rPr>
          <w:b/>
        </w:rPr>
      </w:pPr>
      <w:r w:rsidRPr="003F41BB">
        <w:t>EUROPAS FÖRÄNDERLIGA DROGMARKNAD</w:t>
      </w:r>
      <w:r w:rsidR="00814A22" w:rsidRPr="003F41BB">
        <w:t xml:space="preserve"> </w:t>
      </w:r>
      <w:r w:rsidR="00A224B3" w:rsidRPr="003F41BB">
        <w:t>–</w:t>
      </w:r>
      <w:r w:rsidR="00814A22" w:rsidRPr="003F41BB">
        <w:t xml:space="preserve"> </w:t>
      </w:r>
      <w:r w:rsidR="000D4542" w:rsidRPr="003F41BB">
        <w:t>EMCDDA:S</w:t>
      </w:r>
      <w:r w:rsidR="00E87301" w:rsidRPr="003F41BB">
        <w:t xml:space="preserve"> </w:t>
      </w:r>
      <w:r w:rsidR="00A224B3" w:rsidRPr="003F41BB">
        <w:t>analys 2014</w:t>
      </w:r>
    </w:p>
    <w:p w14:paraId="71C4B065" w14:textId="2B6CF590" w:rsidR="00A224B3" w:rsidRPr="00D166F5" w:rsidRDefault="00A224B3">
      <w:pPr>
        <w:pStyle w:val="newsSubTitle"/>
        <w:rPr>
          <w:szCs w:val="24"/>
          <w:lang w:val="sv-SE"/>
        </w:rPr>
      </w:pPr>
      <w:r w:rsidRPr="00D166F5">
        <w:rPr>
          <w:szCs w:val="24"/>
          <w:lang w:val="sv-SE"/>
        </w:rPr>
        <w:t xml:space="preserve">Europeisk narkotikarapport släpps i dag – Europas narkotikaproblem </w:t>
      </w:r>
      <w:r w:rsidR="003A60F1">
        <w:rPr>
          <w:szCs w:val="24"/>
          <w:lang w:val="sv-SE"/>
        </w:rPr>
        <w:t xml:space="preserve">mer </w:t>
      </w:r>
      <w:r w:rsidR="00960793">
        <w:rPr>
          <w:szCs w:val="24"/>
          <w:lang w:val="sv-SE"/>
        </w:rPr>
        <w:t>komplext</w:t>
      </w:r>
    </w:p>
    <w:p w14:paraId="21AFFCA4" w14:textId="03047DCF" w:rsidR="00A224B3" w:rsidRPr="00D166F5" w:rsidRDefault="00A224B3" w:rsidP="000D4542">
      <w:pPr>
        <w:pStyle w:val="newsContent"/>
        <w:rPr>
          <w:lang w:val="sv-SE"/>
        </w:rPr>
      </w:pPr>
      <w:r w:rsidRPr="00D166F5">
        <w:rPr>
          <w:lang w:val="sv-SE"/>
        </w:rPr>
        <w:t xml:space="preserve">(27.5.2014, LISSABON </w:t>
      </w:r>
      <w:r w:rsidRPr="00814A22">
        <w:rPr>
          <w:b/>
          <w:color w:val="FF0000"/>
          <w:lang w:val="sv-SE"/>
        </w:rPr>
        <w:t>FÅR PUBLICERAS TIDIGAST KL. 10:00 WET/Lissabontid</w:t>
      </w:r>
      <w:r w:rsidRPr="00D166F5">
        <w:rPr>
          <w:color w:val="auto"/>
          <w:lang w:val="sv-SE"/>
        </w:rPr>
        <w:t>)</w:t>
      </w:r>
      <w:r w:rsidR="000D4542">
        <w:rPr>
          <w:color w:val="auto"/>
          <w:lang w:val="sv-SE"/>
        </w:rPr>
        <w:t xml:space="preserve"> </w:t>
      </w:r>
      <w:r>
        <w:rPr>
          <w:lang w:val="sv-SE"/>
        </w:rPr>
        <w:t>Europas </w:t>
      </w:r>
      <w:r w:rsidRPr="00D166F5">
        <w:rPr>
          <w:lang w:val="sv-SE"/>
        </w:rPr>
        <w:t xml:space="preserve">narkotikaproblem </w:t>
      </w:r>
      <w:r w:rsidR="00F366F6">
        <w:rPr>
          <w:lang w:val="sv-SE"/>
        </w:rPr>
        <w:t xml:space="preserve">har ökat i komplexitet och </w:t>
      </w:r>
      <w:r w:rsidR="00724E23">
        <w:rPr>
          <w:lang w:val="sv-SE"/>
        </w:rPr>
        <w:t>orsakar</w:t>
      </w:r>
      <w:r w:rsidR="00177CCE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nya utmaningar </w:t>
      </w:r>
      <w:r w:rsidR="00F366F6">
        <w:rPr>
          <w:lang w:val="sv-SE"/>
        </w:rPr>
        <w:t xml:space="preserve">och hot </w:t>
      </w:r>
      <w:r w:rsidR="00724E23">
        <w:rPr>
          <w:lang w:val="sv-SE"/>
        </w:rPr>
        <w:t xml:space="preserve">för </w:t>
      </w:r>
      <w:r w:rsidRPr="00D166F5">
        <w:rPr>
          <w:lang w:val="sv-SE"/>
        </w:rPr>
        <w:t>folkhälsan.</w:t>
      </w:r>
      <w:r w:rsidR="00814A22">
        <w:rPr>
          <w:lang w:val="sv-SE"/>
        </w:rPr>
        <w:t xml:space="preserve"> </w:t>
      </w:r>
      <w:r w:rsidR="000D4542">
        <w:rPr>
          <w:lang w:val="sv-SE"/>
        </w:rPr>
        <w:t xml:space="preserve">             </w:t>
      </w:r>
      <w:r w:rsidRPr="00D166F5">
        <w:rPr>
          <w:lang w:val="sv-SE"/>
        </w:rPr>
        <w:t xml:space="preserve">Detta </w:t>
      </w:r>
      <w:r w:rsidR="00F366F6">
        <w:rPr>
          <w:lang w:val="sv-SE"/>
        </w:rPr>
        <w:t>framgår av</w:t>
      </w:r>
      <w:r w:rsidRPr="00D166F5">
        <w:rPr>
          <w:lang w:val="sv-SE"/>
        </w:rPr>
        <w:t xml:space="preserve"> </w:t>
      </w:r>
      <w:r w:rsidRPr="00D166F5">
        <w:rPr>
          <w:b/>
          <w:i/>
          <w:lang w:val="sv-SE"/>
        </w:rPr>
        <w:t>Europeisk narkotikarapport 2014: Trender och utveckling</w:t>
      </w:r>
      <w:r w:rsidR="00F366F6">
        <w:rPr>
          <w:i/>
          <w:lang w:val="sv-SE"/>
        </w:rPr>
        <w:t>,</w:t>
      </w:r>
      <w:r w:rsidRPr="00D166F5">
        <w:rPr>
          <w:lang w:val="sv-SE"/>
        </w:rPr>
        <w:t xml:space="preserve"> som offentliggörs </w:t>
      </w:r>
      <w:r w:rsidR="00F366F6" w:rsidRPr="00D166F5">
        <w:rPr>
          <w:lang w:val="sv-SE"/>
        </w:rPr>
        <w:t xml:space="preserve">i dag </w:t>
      </w:r>
      <w:r w:rsidRPr="00D166F5">
        <w:rPr>
          <w:lang w:val="sv-SE"/>
        </w:rPr>
        <w:t xml:space="preserve">av </w:t>
      </w:r>
      <w:r w:rsidRPr="00D166F5">
        <w:rPr>
          <w:b/>
          <w:lang w:val="sv-SE"/>
        </w:rPr>
        <w:t>EU:s narkotikabyrå</w:t>
      </w:r>
      <w:r w:rsidRPr="00D166F5">
        <w:rPr>
          <w:lang w:val="sv-SE"/>
        </w:rPr>
        <w:t xml:space="preserve"> </w:t>
      </w:r>
      <w:r w:rsidRPr="00D166F5">
        <w:rPr>
          <w:b/>
          <w:lang w:val="sv-SE"/>
        </w:rPr>
        <w:t xml:space="preserve">(EMCDDA) </w:t>
      </w:r>
      <w:r w:rsidRPr="00D166F5">
        <w:rPr>
          <w:lang w:val="sv-SE"/>
        </w:rPr>
        <w:t>i Lissabon</w:t>
      </w:r>
      <w:r w:rsidR="00F17FAE">
        <w:rPr>
          <w:lang w:val="sv-SE"/>
        </w:rPr>
        <w:t xml:space="preserve"> (</w:t>
      </w:r>
      <w:r w:rsidRPr="00D166F5">
        <w:rPr>
          <w:vertAlign w:val="superscript"/>
          <w:lang w:val="sv-SE"/>
        </w:rPr>
        <w:t>1</w:t>
      </w:r>
      <w:r w:rsidR="00F17FAE" w:rsidRPr="00F17FAE">
        <w:rPr>
          <w:lang w:val="sv-SE"/>
        </w:rPr>
        <w:t>)</w:t>
      </w:r>
      <w:r w:rsidR="000D4542">
        <w:rPr>
          <w:lang w:val="sv-SE"/>
        </w:rPr>
        <w:t>.</w:t>
      </w:r>
      <w:r w:rsidRPr="00F17FAE">
        <w:rPr>
          <w:lang w:val="sv-SE"/>
        </w:rPr>
        <w:t xml:space="preserve"> </w:t>
      </w:r>
      <w:r w:rsidRPr="00D166F5">
        <w:rPr>
          <w:lang w:val="sv-SE"/>
        </w:rPr>
        <w:t xml:space="preserve">I </w:t>
      </w:r>
      <w:r w:rsidR="00F366F6">
        <w:rPr>
          <w:lang w:val="sv-SE"/>
        </w:rPr>
        <w:t xml:space="preserve">denna </w:t>
      </w:r>
      <w:r w:rsidRPr="00D166F5">
        <w:rPr>
          <w:lang w:val="sv-SE"/>
        </w:rPr>
        <w:t xml:space="preserve">årliga </w:t>
      </w:r>
      <w:r w:rsidR="00F366F6">
        <w:rPr>
          <w:lang w:val="sv-SE"/>
        </w:rPr>
        <w:t xml:space="preserve">genomgång </w:t>
      </w:r>
      <w:r w:rsidRPr="00D166F5">
        <w:rPr>
          <w:lang w:val="sv-SE"/>
        </w:rPr>
        <w:t>av narkotikaprobleme</w:t>
      </w:r>
      <w:r w:rsidR="00F366F6">
        <w:rPr>
          <w:lang w:val="sv-SE"/>
        </w:rPr>
        <w:t>t</w:t>
      </w:r>
      <w:r w:rsidRPr="00D166F5">
        <w:rPr>
          <w:lang w:val="sv-SE"/>
        </w:rPr>
        <w:t xml:space="preserve"> </w:t>
      </w:r>
      <w:r w:rsidR="00F366F6">
        <w:rPr>
          <w:lang w:val="sv-SE"/>
        </w:rPr>
        <w:t xml:space="preserve">konstaterar </w:t>
      </w:r>
      <w:r w:rsidRPr="00D166F5">
        <w:rPr>
          <w:lang w:val="sv-SE"/>
        </w:rPr>
        <w:t xml:space="preserve">byrån </w:t>
      </w:r>
      <w:r w:rsidR="00F366F6">
        <w:rPr>
          <w:lang w:val="sv-SE"/>
        </w:rPr>
        <w:t xml:space="preserve">att situationen </w:t>
      </w:r>
      <w:r w:rsidRPr="00D166F5">
        <w:rPr>
          <w:lang w:val="sv-SE"/>
        </w:rPr>
        <w:t xml:space="preserve">på det hela taget </w:t>
      </w:r>
      <w:r w:rsidR="00960793">
        <w:rPr>
          <w:lang w:val="sv-SE"/>
        </w:rPr>
        <w:t xml:space="preserve">är </w:t>
      </w:r>
      <w:r w:rsidRPr="00D166F5">
        <w:rPr>
          <w:lang w:val="sv-SE"/>
        </w:rPr>
        <w:t>stabil</w:t>
      </w:r>
      <w:r w:rsidR="00F366F6">
        <w:rPr>
          <w:lang w:val="sv-SE"/>
        </w:rPr>
        <w:t xml:space="preserve"> och att det finns </w:t>
      </w:r>
      <w:r w:rsidRPr="00D166F5">
        <w:rPr>
          <w:lang w:val="sv-SE"/>
        </w:rPr>
        <w:t xml:space="preserve">vissa positiva tecken när det gäller de mer etablerade typerna av narkotika. </w:t>
      </w:r>
      <w:r w:rsidR="00F366F6">
        <w:rPr>
          <w:lang w:val="sv-SE"/>
        </w:rPr>
        <w:t xml:space="preserve">Samtidigt kommer </w:t>
      </w:r>
      <w:r w:rsidRPr="00D166F5">
        <w:rPr>
          <w:lang w:val="sv-SE"/>
        </w:rPr>
        <w:t>nya hot från syntetiska droger</w:t>
      </w:r>
      <w:r w:rsidR="00F366F6">
        <w:rPr>
          <w:lang w:val="sv-SE"/>
        </w:rPr>
        <w:t xml:space="preserve"> – </w:t>
      </w:r>
      <w:r w:rsidRPr="00D166F5">
        <w:rPr>
          <w:lang w:val="sv-SE"/>
        </w:rPr>
        <w:t xml:space="preserve">stimulerande medel, nya </w:t>
      </w:r>
      <w:proofErr w:type="spellStart"/>
      <w:r w:rsidRPr="00D166F5">
        <w:rPr>
          <w:lang w:val="sv-SE"/>
        </w:rPr>
        <w:t>psykoaktiva</w:t>
      </w:r>
      <w:proofErr w:type="spellEnd"/>
      <w:r w:rsidRPr="00D166F5">
        <w:rPr>
          <w:lang w:val="sv-SE"/>
        </w:rPr>
        <w:t xml:space="preserve"> ämnen och </w:t>
      </w:r>
      <w:r w:rsidR="00F366F6">
        <w:rPr>
          <w:lang w:val="sv-SE"/>
        </w:rPr>
        <w:t>läkemedels</w:t>
      </w:r>
      <w:r w:rsidRPr="00D166F5">
        <w:rPr>
          <w:lang w:val="sv-SE"/>
        </w:rPr>
        <w:t>produkter</w:t>
      </w:r>
      <w:r w:rsidR="00F366F6">
        <w:rPr>
          <w:lang w:val="sv-SE"/>
        </w:rPr>
        <w:t xml:space="preserve"> – som blir </w:t>
      </w:r>
      <w:r w:rsidRPr="00D166F5">
        <w:rPr>
          <w:lang w:val="sv-SE"/>
        </w:rPr>
        <w:t>allt</w:t>
      </w:r>
      <w:r w:rsidR="00F366F6">
        <w:rPr>
          <w:lang w:val="sv-SE"/>
        </w:rPr>
        <w:t xml:space="preserve"> vanligare </w:t>
      </w:r>
      <w:r w:rsidRPr="00D166F5">
        <w:rPr>
          <w:lang w:val="sv-SE"/>
        </w:rPr>
        <w:t>på en europeisk narkotikamarknad</w:t>
      </w:r>
      <w:r w:rsidR="00F366F6">
        <w:rPr>
          <w:lang w:val="sv-SE"/>
        </w:rPr>
        <w:t xml:space="preserve"> som håller på att förändras</w:t>
      </w:r>
      <w:r w:rsidRPr="00D166F5">
        <w:rPr>
          <w:lang w:val="sv-SE"/>
        </w:rPr>
        <w:t>.</w:t>
      </w:r>
    </w:p>
    <w:p w14:paraId="777BF36B" w14:textId="281A377D" w:rsidR="00A224B3" w:rsidRPr="00D166F5" w:rsidRDefault="00A224B3" w:rsidP="000D4542">
      <w:pPr>
        <w:pStyle w:val="newsContent"/>
        <w:rPr>
          <w:lang w:val="sv-SE"/>
        </w:rPr>
      </w:pPr>
      <w:r w:rsidRPr="00D166F5">
        <w:rPr>
          <w:b/>
          <w:lang w:val="sv-SE"/>
        </w:rPr>
        <w:t xml:space="preserve">Cecilia Malmström, </w:t>
      </w:r>
      <w:r w:rsidR="000F5D27">
        <w:rPr>
          <w:b/>
          <w:lang w:val="sv-SE"/>
        </w:rPr>
        <w:t>EU-kommissionär</w:t>
      </w:r>
      <w:r w:rsidR="000F5D27" w:rsidRPr="00D166F5">
        <w:rPr>
          <w:b/>
          <w:lang w:val="sv-SE"/>
        </w:rPr>
        <w:t xml:space="preserve"> </w:t>
      </w:r>
      <w:r w:rsidRPr="00D166F5">
        <w:rPr>
          <w:b/>
          <w:lang w:val="sv-SE"/>
        </w:rPr>
        <w:t xml:space="preserve">med ansvar för inrikes frågor, </w:t>
      </w:r>
      <w:r w:rsidRPr="00D166F5">
        <w:rPr>
          <w:lang w:val="sv-SE"/>
        </w:rPr>
        <w:t xml:space="preserve">säger: ”Jag är djupt </w:t>
      </w:r>
      <w:r w:rsidR="00F366F6">
        <w:rPr>
          <w:lang w:val="sv-SE"/>
        </w:rPr>
        <w:t>oroad</w:t>
      </w:r>
      <w:r w:rsidR="00F366F6" w:rsidRPr="00D166F5">
        <w:rPr>
          <w:lang w:val="sv-SE"/>
        </w:rPr>
        <w:t xml:space="preserve"> </w:t>
      </w:r>
      <w:r w:rsidRPr="00D166F5">
        <w:rPr>
          <w:lang w:val="sv-SE"/>
        </w:rPr>
        <w:t>över att de</w:t>
      </w:r>
      <w:r w:rsidR="00F366F6">
        <w:rPr>
          <w:lang w:val="sv-SE"/>
        </w:rPr>
        <w:t xml:space="preserve"> droger </w:t>
      </w:r>
      <w:r w:rsidRPr="00D166F5">
        <w:rPr>
          <w:lang w:val="sv-SE"/>
        </w:rPr>
        <w:t xml:space="preserve">som </w:t>
      </w:r>
      <w:r w:rsidR="00F366F6">
        <w:rPr>
          <w:lang w:val="sv-SE"/>
        </w:rPr>
        <w:t xml:space="preserve">används </w:t>
      </w:r>
      <w:r w:rsidRPr="00D166F5">
        <w:rPr>
          <w:lang w:val="sv-SE"/>
        </w:rPr>
        <w:t>i Europa i dag kan vara ännu skadlig</w:t>
      </w:r>
      <w:r w:rsidR="00F366F6">
        <w:rPr>
          <w:lang w:val="sv-SE"/>
        </w:rPr>
        <w:t>are</w:t>
      </w:r>
      <w:r w:rsidRPr="00D166F5">
        <w:rPr>
          <w:lang w:val="sv-SE"/>
        </w:rPr>
        <w:t xml:space="preserve"> för </w:t>
      </w:r>
      <w:r w:rsidR="00C0774A">
        <w:rPr>
          <w:lang w:val="sv-SE"/>
        </w:rPr>
        <w:t>användarnas</w:t>
      </w:r>
      <w:r w:rsidR="006E71FA">
        <w:rPr>
          <w:lang w:val="sv-SE"/>
        </w:rPr>
        <w:t xml:space="preserve"> </w:t>
      </w:r>
      <w:r w:rsidRPr="00D166F5">
        <w:rPr>
          <w:lang w:val="sv-SE"/>
        </w:rPr>
        <w:t xml:space="preserve">hälsa än tidigare. Det finns tecken </w:t>
      </w:r>
      <w:r w:rsidR="00F366F6">
        <w:rPr>
          <w:lang w:val="sv-SE"/>
        </w:rPr>
        <w:t xml:space="preserve">som tyder </w:t>
      </w:r>
      <w:r w:rsidRPr="00D166F5">
        <w:rPr>
          <w:lang w:val="sv-SE"/>
        </w:rPr>
        <w:t xml:space="preserve">på att den ecstasy och cannabis som säljs </w:t>
      </w:r>
      <w:r w:rsidR="00F366F6">
        <w:rPr>
          <w:lang w:val="sv-SE"/>
        </w:rPr>
        <w:t xml:space="preserve">ute </w:t>
      </w:r>
      <w:r w:rsidRPr="00D166F5">
        <w:rPr>
          <w:lang w:val="sv-SE"/>
        </w:rPr>
        <w:t xml:space="preserve">på gatan blir </w:t>
      </w:r>
      <w:r w:rsidR="00F366F6">
        <w:rPr>
          <w:lang w:val="sv-SE"/>
        </w:rPr>
        <w:t xml:space="preserve">allt </w:t>
      </w:r>
      <w:r w:rsidRPr="00D166F5">
        <w:rPr>
          <w:lang w:val="sv-SE"/>
        </w:rPr>
        <w:t xml:space="preserve">starkare. Jag </w:t>
      </w:r>
      <w:r w:rsidR="00F366F6">
        <w:rPr>
          <w:lang w:val="sv-SE"/>
        </w:rPr>
        <w:t xml:space="preserve">kan </w:t>
      </w:r>
      <w:r w:rsidRPr="00D166F5">
        <w:rPr>
          <w:lang w:val="sv-SE"/>
        </w:rPr>
        <w:t xml:space="preserve">också </w:t>
      </w:r>
      <w:r w:rsidR="00F366F6">
        <w:rPr>
          <w:lang w:val="sv-SE"/>
        </w:rPr>
        <w:t xml:space="preserve">konstatera </w:t>
      </w:r>
      <w:r w:rsidRPr="00D166F5">
        <w:rPr>
          <w:lang w:val="sv-SE"/>
        </w:rPr>
        <w:t>att EU:s system för tidig varning, vår första försvar</w:t>
      </w:r>
      <w:r w:rsidR="00F366F6">
        <w:rPr>
          <w:lang w:val="sv-SE"/>
        </w:rPr>
        <w:t>slinje</w:t>
      </w:r>
      <w:r w:rsidRPr="00D166F5">
        <w:rPr>
          <w:lang w:val="sv-SE"/>
        </w:rPr>
        <w:t xml:space="preserve"> mot nya droger, </w:t>
      </w:r>
      <w:r w:rsidR="009279B4">
        <w:rPr>
          <w:lang w:val="sv-SE"/>
        </w:rPr>
        <w:t>utsätts för</w:t>
      </w:r>
      <w:r w:rsidR="009279B4" w:rsidRPr="00D166F5">
        <w:rPr>
          <w:lang w:val="sv-SE"/>
        </w:rPr>
        <w:t xml:space="preserve"> </w:t>
      </w:r>
      <w:r w:rsidR="00BE2967">
        <w:rPr>
          <w:lang w:val="sv-SE"/>
        </w:rPr>
        <w:t xml:space="preserve">allt </w:t>
      </w:r>
      <w:r w:rsidR="009279B4">
        <w:rPr>
          <w:lang w:val="sv-SE"/>
        </w:rPr>
        <w:t xml:space="preserve">större </w:t>
      </w:r>
      <w:r w:rsidR="00C0774A">
        <w:rPr>
          <w:lang w:val="sv-SE"/>
        </w:rPr>
        <w:t>tryck</w:t>
      </w:r>
      <w:r w:rsidR="009279B4">
        <w:rPr>
          <w:lang w:val="sv-SE"/>
        </w:rPr>
        <w:t xml:space="preserve"> </w:t>
      </w:r>
      <w:r w:rsidR="00C0774A">
        <w:rPr>
          <w:lang w:val="sv-SE"/>
        </w:rPr>
        <w:t>då mångfalden och utbredningen av</w:t>
      </w:r>
      <w:r w:rsidR="009279B4">
        <w:rPr>
          <w:lang w:val="sv-SE"/>
        </w:rPr>
        <w:t xml:space="preserve"> </w:t>
      </w:r>
      <w:r w:rsidR="00C0774A">
        <w:rPr>
          <w:lang w:val="sv-SE"/>
        </w:rPr>
        <w:t>substanser</w:t>
      </w:r>
      <w:r w:rsidR="009279B4">
        <w:rPr>
          <w:lang w:val="sv-SE"/>
        </w:rPr>
        <w:t xml:space="preserve"> </w:t>
      </w:r>
      <w:r w:rsidR="00C0774A">
        <w:rPr>
          <w:lang w:val="sv-SE"/>
        </w:rPr>
        <w:t xml:space="preserve">fortsätter </w:t>
      </w:r>
      <w:r w:rsidR="009279B4">
        <w:rPr>
          <w:lang w:val="sv-SE"/>
        </w:rPr>
        <w:t>öka snabbt</w:t>
      </w:r>
      <w:r w:rsidRPr="00D166F5">
        <w:rPr>
          <w:lang w:val="sv-SE"/>
        </w:rPr>
        <w:t xml:space="preserve">. </w:t>
      </w:r>
      <w:r w:rsidR="00BE2967">
        <w:rPr>
          <w:lang w:val="sv-SE"/>
        </w:rPr>
        <w:t>Bara i</w:t>
      </w:r>
      <w:r w:rsidR="00BE2967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år har systemet redan </w:t>
      </w:r>
      <w:r w:rsidR="00BE2967">
        <w:rPr>
          <w:lang w:val="sv-SE"/>
        </w:rPr>
        <w:t xml:space="preserve">granskat </w:t>
      </w:r>
      <w:r w:rsidRPr="00D166F5">
        <w:rPr>
          <w:lang w:val="sv-SE"/>
        </w:rPr>
        <w:t xml:space="preserve">fyra nya </w:t>
      </w:r>
      <w:r w:rsidR="00BE2967">
        <w:rPr>
          <w:lang w:val="sv-SE"/>
        </w:rPr>
        <w:t xml:space="preserve">substanser som är </w:t>
      </w:r>
      <w:r w:rsidRPr="00D166F5">
        <w:rPr>
          <w:lang w:val="sv-SE"/>
        </w:rPr>
        <w:t xml:space="preserve">kopplade till akuta förgiftningar och dödsfall i medlemsstaterna.” </w:t>
      </w:r>
    </w:p>
    <w:p w14:paraId="693659E3" w14:textId="336E2615" w:rsidR="00A224B3" w:rsidRPr="00D166F5" w:rsidRDefault="000F5D27" w:rsidP="000D4542">
      <w:pPr>
        <w:pStyle w:val="newsContent"/>
        <w:rPr>
          <w:lang w:val="sv-SE"/>
        </w:rPr>
      </w:pPr>
      <w:r>
        <w:rPr>
          <w:b/>
          <w:lang w:val="sv-SE"/>
        </w:rPr>
        <w:t>EU-kommissionär</w:t>
      </w:r>
      <w:r w:rsidRPr="00D166F5" w:rsidDel="000F5D27">
        <w:rPr>
          <w:b/>
          <w:lang w:val="sv-SE"/>
        </w:rPr>
        <w:t xml:space="preserve"> </w:t>
      </w:r>
      <w:r w:rsidR="00A224B3" w:rsidRPr="00D166F5">
        <w:rPr>
          <w:b/>
          <w:lang w:val="sv-SE"/>
        </w:rPr>
        <w:t>Cecilia Malmström</w:t>
      </w:r>
      <w:r w:rsidR="00A224B3" w:rsidRPr="00D166F5">
        <w:rPr>
          <w:lang w:val="sv-SE"/>
        </w:rPr>
        <w:t xml:space="preserve"> tillägger: ”Europas </w:t>
      </w:r>
      <w:r w:rsidR="005F3615">
        <w:rPr>
          <w:lang w:val="sv-SE"/>
        </w:rPr>
        <w:t xml:space="preserve">brottsbekämpande </w:t>
      </w:r>
      <w:r w:rsidR="00BE2967">
        <w:rPr>
          <w:lang w:val="sv-SE"/>
        </w:rPr>
        <w:t xml:space="preserve">myndigheter ställs allt oftare </w:t>
      </w:r>
      <w:r w:rsidR="00A224B3" w:rsidRPr="00D166F5">
        <w:rPr>
          <w:lang w:val="sv-SE"/>
        </w:rPr>
        <w:t xml:space="preserve">inför </w:t>
      </w:r>
      <w:r>
        <w:rPr>
          <w:lang w:val="sv-SE"/>
        </w:rPr>
        <w:t>situationer</w:t>
      </w:r>
      <w:r w:rsidR="00A224B3" w:rsidRPr="00D166F5">
        <w:rPr>
          <w:lang w:val="sv-SE"/>
        </w:rPr>
        <w:t xml:space="preserve"> där små</w:t>
      </w:r>
      <w:r w:rsidR="00BE2967">
        <w:rPr>
          <w:lang w:val="sv-SE"/>
        </w:rPr>
        <w:t xml:space="preserve"> och </w:t>
      </w:r>
      <w:r w:rsidR="00724E23">
        <w:rPr>
          <w:lang w:val="sv-SE"/>
        </w:rPr>
        <w:t>lätthanterliga</w:t>
      </w:r>
      <w:r w:rsidR="00A224B3" w:rsidRPr="00D166F5">
        <w:rPr>
          <w:lang w:val="sv-SE"/>
        </w:rPr>
        <w:t xml:space="preserve"> paket </w:t>
      </w:r>
      <w:r>
        <w:rPr>
          <w:lang w:val="sv-SE"/>
        </w:rPr>
        <w:t xml:space="preserve">med </w:t>
      </w:r>
      <w:r w:rsidR="00BE2967">
        <w:rPr>
          <w:lang w:val="sv-SE"/>
        </w:rPr>
        <w:t xml:space="preserve">till synes </w:t>
      </w:r>
      <w:r w:rsidR="00A224B3" w:rsidRPr="00D166F5">
        <w:rPr>
          <w:lang w:val="sv-SE"/>
        </w:rPr>
        <w:t>ofarlig</w:t>
      </w:r>
      <w:r>
        <w:rPr>
          <w:lang w:val="sv-SE"/>
        </w:rPr>
        <w:t>t</w:t>
      </w:r>
      <w:r w:rsidR="00A224B3" w:rsidRPr="00D166F5">
        <w:rPr>
          <w:lang w:val="sv-SE"/>
        </w:rPr>
        <w:t xml:space="preserve"> pulver kan </w:t>
      </w:r>
      <w:r w:rsidR="005F3615">
        <w:rPr>
          <w:lang w:val="sv-SE"/>
        </w:rPr>
        <w:t>innehålla</w:t>
      </w:r>
      <w:r w:rsidR="00724E23">
        <w:rPr>
          <w:lang w:val="sv-SE"/>
        </w:rPr>
        <w:t xml:space="preserve"> </w:t>
      </w:r>
      <w:r w:rsidR="00BE2967" w:rsidRPr="00D166F5">
        <w:rPr>
          <w:lang w:val="sv-SE"/>
        </w:rPr>
        <w:t>tusen</w:t>
      </w:r>
      <w:r w:rsidR="005F3615">
        <w:rPr>
          <w:lang w:val="sv-SE"/>
        </w:rPr>
        <w:t>tals</w:t>
      </w:r>
      <w:r w:rsidR="00BE2967">
        <w:rPr>
          <w:lang w:val="sv-SE"/>
        </w:rPr>
        <w:t xml:space="preserve"> </w:t>
      </w:r>
      <w:r w:rsidR="00A224B3" w:rsidRPr="00D166F5">
        <w:rPr>
          <w:lang w:val="sv-SE"/>
        </w:rPr>
        <w:t xml:space="preserve">individuella doser. </w:t>
      </w:r>
      <w:r w:rsidR="00F87C25">
        <w:rPr>
          <w:lang w:val="sv-SE"/>
        </w:rPr>
        <w:t xml:space="preserve">Denna årliga analys från </w:t>
      </w:r>
      <w:r w:rsidR="00A224B3" w:rsidRPr="00D166F5">
        <w:rPr>
          <w:lang w:val="sv-SE"/>
        </w:rPr>
        <w:t xml:space="preserve">EMCDDA ger oss </w:t>
      </w:r>
      <w:r w:rsidR="00F87C25">
        <w:rPr>
          <w:lang w:val="sv-SE"/>
        </w:rPr>
        <w:t xml:space="preserve">en </w:t>
      </w:r>
      <w:r w:rsidR="00BE2967">
        <w:rPr>
          <w:lang w:val="sv-SE"/>
        </w:rPr>
        <w:t xml:space="preserve">oerhört </w:t>
      </w:r>
      <w:r w:rsidR="00A224B3" w:rsidRPr="00D166F5">
        <w:rPr>
          <w:lang w:val="sv-SE"/>
        </w:rPr>
        <w:t xml:space="preserve">viktig </w:t>
      </w:r>
      <w:r w:rsidR="00BE2967">
        <w:rPr>
          <w:lang w:val="sv-SE"/>
        </w:rPr>
        <w:t xml:space="preserve">inblick </w:t>
      </w:r>
      <w:r w:rsidR="00A224B3" w:rsidRPr="00D166F5">
        <w:rPr>
          <w:lang w:val="sv-SE"/>
        </w:rPr>
        <w:t xml:space="preserve">i </w:t>
      </w:r>
      <w:r w:rsidR="00724E23">
        <w:rPr>
          <w:lang w:val="sv-SE"/>
        </w:rPr>
        <w:t xml:space="preserve">hur </w:t>
      </w:r>
      <w:r w:rsidR="00A224B3" w:rsidRPr="00D166F5">
        <w:rPr>
          <w:lang w:val="sv-SE"/>
        </w:rPr>
        <w:t>Europas narkotikaproblem</w:t>
      </w:r>
      <w:r w:rsidR="00724E23">
        <w:rPr>
          <w:lang w:val="sv-SE"/>
        </w:rPr>
        <w:t xml:space="preserve"> utvecklas</w:t>
      </w:r>
      <w:r w:rsidR="00A224B3" w:rsidRPr="00D166F5">
        <w:rPr>
          <w:lang w:val="sv-SE"/>
        </w:rPr>
        <w:t xml:space="preserve">. </w:t>
      </w:r>
      <w:r w:rsidR="00BE2967">
        <w:rPr>
          <w:lang w:val="sv-SE"/>
        </w:rPr>
        <w:t xml:space="preserve">Nu gäller det att använda </w:t>
      </w:r>
      <w:r w:rsidR="00A224B3" w:rsidRPr="00D166F5">
        <w:rPr>
          <w:lang w:val="sv-SE"/>
        </w:rPr>
        <w:t xml:space="preserve">denna information i brottsbekämpning, förebyggande åtgärder och behandling. </w:t>
      </w:r>
      <w:r w:rsidR="009C1182">
        <w:rPr>
          <w:lang w:val="sv-SE"/>
        </w:rPr>
        <w:t>Det är viktigt att vi använder</w:t>
      </w:r>
      <w:r w:rsidR="00BE2967">
        <w:rPr>
          <w:lang w:val="sv-SE"/>
        </w:rPr>
        <w:t xml:space="preserve"> denna information </w:t>
      </w:r>
      <w:r w:rsidR="009C1182">
        <w:rPr>
          <w:lang w:val="sv-SE"/>
        </w:rPr>
        <w:t xml:space="preserve">för att </w:t>
      </w:r>
      <w:r>
        <w:rPr>
          <w:lang w:val="sv-SE"/>
        </w:rPr>
        <w:t>se till</w:t>
      </w:r>
      <w:r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att </w:t>
      </w:r>
      <w:r w:rsidRPr="00D166F5">
        <w:rPr>
          <w:lang w:val="sv-SE"/>
        </w:rPr>
        <w:t>myndigheter</w:t>
      </w:r>
      <w:r>
        <w:rPr>
          <w:lang w:val="sv-SE"/>
        </w:rPr>
        <w:t xml:space="preserve">nas </w:t>
      </w:r>
      <w:r w:rsidR="009C1182">
        <w:rPr>
          <w:lang w:val="sv-SE"/>
        </w:rPr>
        <w:t xml:space="preserve">åtgärder </w:t>
      </w:r>
      <w:r w:rsidR="00A224B3" w:rsidRPr="00D166F5">
        <w:rPr>
          <w:lang w:val="sv-SE"/>
        </w:rPr>
        <w:t>håll</w:t>
      </w:r>
      <w:r w:rsidR="009C1182">
        <w:rPr>
          <w:lang w:val="sv-SE"/>
        </w:rPr>
        <w:t>er</w:t>
      </w:r>
      <w:r w:rsidR="00A224B3" w:rsidRPr="00D166F5">
        <w:rPr>
          <w:lang w:val="sv-SE"/>
        </w:rPr>
        <w:t xml:space="preserve"> jämna steg med de </w:t>
      </w:r>
      <w:r w:rsidR="00BE2967">
        <w:rPr>
          <w:lang w:val="sv-SE"/>
        </w:rPr>
        <w:t xml:space="preserve">nya </w:t>
      </w:r>
      <w:r w:rsidR="00C376BE">
        <w:rPr>
          <w:lang w:val="sv-SE"/>
        </w:rPr>
        <w:t>utmaningar</w:t>
      </w:r>
      <w:r>
        <w:rPr>
          <w:lang w:val="sv-SE"/>
        </w:rPr>
        <w:t>na</w:t>
      </w:r>
      <w:r w:rsidR="00A224B3" w:rsidRPr="00D166F5">
        <w:rPr>
          <w:lang w:val="sv-SE"/>
        </w:rPr>
        <w:t>.”</w:t>
      </w:r>
      <w:r w:rsidR="00B56442">
        <w:rPr>
          <w:lang w:val="sv-SE"/>
        </w:rPr>
        <w:t xml:space="preserve"> </w:t>
      </w:r>
    </w:p>
    <w:p w14:paraId="652349C8" w14:textId="77777777" w:rsidR="00A224B3" w:rsidRPr="00D166F5" w:rsidRDefault="00A224B3" w:rsidP="000D4542">
      <w:pPr>
        <w:pStyle w:val="newsContent"/>
        <w:rPr>
          <w:lang w:val="sv-SE"/>
        </w:rPr>
      </w:pPr>
      <w:r w:rsidRPr="00D166F5">
        <w:rPr>
          <w:b/>
          <w:lang w:val="sv-SE"/>
        </w:rPr>
        <w:t>EMCDDA:s direktör Wolfgang Götz</w:t>
      </w:r>
      <w:r w:rsidRPr="00D166F5">
        <w:rPr>
          <w:lang w:val="sv-SE"/>
        </w:rPr>
        <w:t xml:space="preserve"> säger: ”Om vi ser til</w:t>
      </w:r>
      <w:r w:rsidRPr="00D166F5">
        <w:rPr>
          <w:color w:val="auto"/>
          <w:lang w:val="sv-SE"/>
        </w:rPr>
        <w:t xml:space="preserve">l </w:t>
      </w:r>
      <w:r w:rsidR="00BE2967">
        <w:rPr>
          <w:color w:val="auto"/>
          <w:lang w:val="sv-SE"/>
        </w:rPr>
        <w:t>helhets</w:t>
      </w:r>
      <w:r w:rsidRPr="00D166F5">
        <w:rPr>
          <w:color w:val="auto"/>
          <w:lang w:val="sv-SE"/>
        </w:rPr>
        <w:t xml:space="preserve">bilden kan vi </w:t>
      </w:r>
      <w:r w:rsidR="00BE2967">
        <w:rPr>
          <w:color w:val="auto"/>
          <w:lang w:val="sv-SE"/>
        </w:rPr>
        <w:t xml:space="preserve">konstatera </w:t>
      </w:r>
      <w:r w:rsidRPr="00D166F5">
        <w:rPr>
          <w:color w:val="auto"/>
          <w:lang w:val="sv-SE"/>
        </w:rPr>
        <w:t xml:space="preserve">att Europa </w:t>
      </w:r>
      <w:r w:rsidR="00BE2967">
        <w:rPr>
          <w:color w:val="auto"/>
          <w:lang w:val="sv-SE"/>
        </w:rPr>
        <w:t>har gjort framsteg när det gäller några av</w:t>
      </w:r>
      <w:r w:rsidR="00026CF2">
        <w:rPr>
          <w:color w:val="auto"/>
          <w:lang w:val="sv-SE"/>
        </w:rPr>
        <w:t xml:space="preserve"> </w:t>
      </w:r>
      <w:r w:rsidRPr="00D166F5">
        <w:rPr>
          <w:color w:val="auto"/>
          <w:lang w:val="sv-SE"/>
        </w:rPr>
        <w:t xml:space="preserve">de </w:t>
      </w:r>
      <w:r w:rsidR="00724E23">
        <w:rPr>
          <w:color w:val="auto"/>
          <w:lang w:val="sv-SE"/>
        </w:rPr>
        <w:t xml:space="preserve">viktigaste </w:t>
      </w:r>
      <w:r w:rsidR="00026CF2">
        <w:rPr>
          <w:color w:val="auto"/>
          <w:lang w:val="sv-SE"/>
        </w:rPr>
        <w:t>folkhälsomål</w:t>
      </w:r>
      <w:r w:rsidR="00724E23">
        <w:rPr>
          <w:color w:val="auto"/>
          <w:lang w:val="sv-SE"/>
        </w:rPr>
        <w:t>en</w:t>
      </w:r>
      <w:r w:rsidRPr="00D166F5">
        <w:rPr>
          <w:lang w:val="sv-SE"/>
        </w:rPr>
        <w:t xml:space="preserve">. Men </w:t>
      </w:r>
      <w:r w:rsidR="00724E23">
        <w:rPr>
          <w:lang w:val="sv-SE"/>
        </w:rPr>
        <w:t xml:space="preserve">bakom </w:t>
      </w:r>
      <w:r w:rsidRPr="00D166F5">
        <w:rPr>
          <w:lang w:val="sv-SE"/>
        </w:rPr>
        <w:t>det europeiska perspektivet dölj</w:t>
      </w:r>
      <w:r w:rsidR="00724E23">
        <w:rPr>
          <w:lang w:val="sv-SE"/>
        </w:rPr>
        <w:t xml:space="preserve">er sig stora </w:t>
      </w:r>
      <w:r w:rsidRPr="00D166F5">
        <w:rPr>
          <w:lang w:val="sv-SE"/>
        </w:rPr>
        <w:t>skillnader</w:t>
      </w:r>
      <w:r w:rsidR="00724E23">
        <w:rPr>
          <w:lang w:val="sv-SE"/>
        </w:rPr>
        <w:t xml:space="preserve"> mellan länderna</w:t>
      </w:r>
      <w:r w:rsidRPr="00D166F5">
        <w:rPr>
          <w:lang w:val="sv-SE"/>
        </w:rPr>
        <w:t xml:space="preserve">. Vår senaste </w:t>
      </w:r>
      <w:r w:rsidR="00026CF2">
        <w:rPr>
          <w:lang w:val="sv-SE"/>
        </w:rPr>
        <w:t xml:space="preserve">statistik </w:t>
      </w:r>
      <w:r w:rsidRPr="00D166F5">
        <w:rPr>
          <w:lang w:val="sv-SE"/>
        </w:rPr>
        <w:t xml:space="preserve">visar </w:t>
      </w:r>
      <w:r w:rsidR="00026CF2">
        <w:rPr>
          <w:lang w:val="sv-SE"/>
        </w:rPr>
        <w:t xml:space="preserve">till exempel </w:t>
      </w:r>
      <w:r w:rsidRPr="00D166F5">
        <w:rPr>
          <w:lang w:val="sv-SE"/>
        </w:rPr>
        <w:t xml:space="preserve">att </w:t>
      </w:r>
      <w:r w:rsidR="00026CF2">
        <w:rPr>
          <w:lang w:val="sv-SE"/>
        </w:rPr>
        <w:t xml:space="preserve">den </w:t>
      </w:r>
      <w:r w:rsidRPr="00D166F5">
        <w:rPr>
          <w:lang w:val="sv-SE"/>
        </w:rPr>
        <w:t xml:space="preserve">uppmuntrande </w:t>
      </w:r>
      <w:r w:rsidR="00026CF2">
        <w:rPr>
          <w:lang w:val="sv-SE"/>
        </w:rPr>
        <w:t xml:space="preserve">utvecklingen i EU totalt sett </w:t>
      </w:r>
      <w:r w:rsidRPr="00D166F5">
        <w:rPr>
          <w:lang w:val="sv-SE"/>
        </w:rPr>
        <w:t xml:space="preserve">när det gäller </w:t>
      </w:r>
      <w:r w:rsidR="00026CF2">
        <w:rPr>
          <w:lang w:val="sv-SE"/>
        </w:rPr>
        <w:t xml:space="preserve">antalet </w:t>
      </w:r>
      <w:r w:rsidRPr="00D166F5">
        <w:rPr>
          <w:lang w:val="sv-SE"/>
        </w:rPr>
        <w:t xml:space="preserve">dödsfall </w:t>
      </w:r>
      <w:r w:rsidR="00026CF2">
        <w:rPr>
          <w:lang w:val="sv-SE"/>
        </w:rPr>
        <w:t xml:space="preserve">till följd av </w:t>
      </w:r>
      <w:r w:rsidRPr="00D166F5">
        <w:rPr>
          <w:lang w:val="sv-SE"/>
        </w:rPr>
        <w:t>överdoser och narkotikarelaterade hivinfektioner</w:t>
      </w:r>
      <w:r w:rsidR="00026CF2">
        <w:rPr>
          <w:lang w:val="sv-SE"/>
        </w:rPr>
        <w:t xml:space="preserve"> </w:t>
      </w:r>
      <w:r w:rsidRPr="00D166F5">
        <w:rPr>
          <w:lang w:val="sv-SE"/>
        </w:rPr>
        <w:t xml:space="preserve">står i skarp kontrast </w:t>
      </w:r>
      <w:r w:rsidR="00026CF2">
        <w:rPr>
          <w:lang w:val="sv-SE"/>
        </w:rPr>
        <w:t>mot d</w:t>
      </w:r>
      <w:r w:rsidRPr="00D166F5">
        <w:rPr>
          <w:lang w:val="sv-SE"/>
        </w:rPr>
        <w:t>en oroväckande utveckling</w:t>
      </w:r>
      <w:r w:rsidR="00026CF2">
        <w:rPr>
          <w:lang w:val="sv-SE"/>
        </w:rPr>
        <w:t>en</w:t>
      </w:r>
      <w:r w:rsidRPr="00D166F5">
        <w:rPr>
          <w:lang w:val="sv-SE"/>
        </w:rPr>
        <w:t xml:space="preserve"> i några </w:t>
      </w:r>
      <w:r w:rsidR="00026CF2">
        <w:rPr>
          <w:lang w:val="sv-SE"/>
        </w:rPr>
        <w:t xml:space="preserve">av </w:t>
      </w:r>
      <w:r w:rsidRPr="00D166F5">
        <w:rPr>
          <w:lang w:val="sv-SE"/>
        </w:rPr>
        <w:t>medlemsstater</w:t>
      </w:r>
      <w:r w:rsidR="00026CF2">
        <w:rPr>
          <w:lang w:val="sv-SE"/>
        </w:rPr>
        <w:t>na</w:t>
      </w:r>
      <w:r w:rsidRPr="00D166F5">
        <w:rPr>
          <w:lang w:val="sv-SE"/>
        </w:rPr>
        <w:t xml:space="preserve">." </w:t>
      </w:r>
    </w:p>
    <w:p w14:paraId="15D26237" w14:textId="77777777" w:rsidR="00A224B3" w:rsidRPr="00D166F5" w:rsidRDefault="00026CF2" w:rsidP="000D4542">
      <w:pPr>
        <w:pStyle w:val="newsContent"/>
        <w:rPr>
          <w:lang w:val="sv-SE"/>
        </w:rPr>
      </w:pPr>
      <w:r>
        <w:rPr>
          <w:lang w:val="sv-SE"/>
        </w:rPr>
        <w:t xml:space="preserve">För att ta hänsyn till denna komplexitet ger rapporten </w:t>
      </w:r>
      <w:r w:rsidR="00A224B3" w:rsidRPr="00D166F5">
        <w:rPr>
          <w:lang w:val="sv-SE"/>
        </w:rPr>
        <w:t xml:space="preserve">en </w:t>
      </w:r>
      <w:r>
        <w:rPr>
          <w:lang w:val="sv-SE"/>
        </w:rPr>
        <w:t xml:space="preserve">samlad </w:t>
      </w:r>
      <w:r w:rsidR="00A224B3" w:rsidRPr="00D166F5">
        <w:rPr>
          <w:lang w:val="sv-SE"/>
        </w:rPr>
        <w:t>överblick över de långsiktiga trenderna och utvecklingen när det gäller narkotika</w:t>
      </w:r>
      <w:r>
        <w:rPr>
          <w:lang w:val="sv-SE"/>
        </w:rPr>
        <w:t xml:space="preserve">situationen på europeisk nivå, men </w:t>
      </w:r>
      <w:r w:rsidR="00A224B3" w:rsidRPr="00D166F5">
        <w:rPr>
          <w:lang w:val="sv-SE"/>
        </w:rPr>
        <w:t xml:space="preserve">tittar </w:t>
      </w:r>
      <w:r>
        <w:rPr>
          <w:lang w:val="sv-SE"/>
        </w:rPr>
        <w:t xml:space="preserve">också </w:t>
      </w:r>
      <w:r w:rsidR="00A224B3" w:rsidRPr="00D166F5">
        <w:rPr>
          <w:lang w:val="sv-SE"/>
        </w:rPr>
        <w:t xml:space="preserve">närmare på </w:t>
      </w:r>
      <w:r>
        <w:rPr>
          <w:lang w:val="sv-SE"/>
        </w:rPr>
        <w:t xml:space="preserve">de växande </w:t>
      </w:r>
      <w:r w:rsidR="00A224B3" w:rsidRPr="00D166F5">
        <w:rPr>
          <w:lang w:val="sv-SE"/>
        </w:rPr>
        <w:t>problem</w:t>
      </w:r>
      <w:r>
        <w:rPr>
          <w:lang w:val="sv-SE"/>
        </w:rPr>
        <w:t>en</w:t>
      </w:r>
      <w:r w:rsidR="00A224B3" w:rsidRPr="00D166F5">
        <w:rPr>
          <w:lang w:val="sv-SE"/>
        </w:rPr>
        <w:t xml:space="preserve"> i </w:t>
      </w:r>
      <w:r w:rsidR="00B32227">
        <w:rPr>
          <w:lang w:val="sv-SE"/>
        </w:rPr>
        <w:t>enskilda</w:t>
      </w:r>
      <w:r w:rsidR="00B32227" w:rsidRPr="00D166F5">
        <w:rPr>
          <w:lang w:val="sv-SE"/>
        </w:rPr>
        <w:t xml:space="preserve"> </w:t>
      </w:r>
      <w:r w:rsidR="00A224B3" w:rsidRPr="00D166F5">
        <w:rPr>
          <w:lang w:val="sv-SE"/>
        </w:rPr>
        <w:t>länder.</w:t>
      </w:r>
    </w:p>
    <w:p w14:paraId="430E8251" w14:textId="78BDD9E7" w:rsidR="00A224B3" w:rsidRPr="000D4542" w:rsidRDefault="00A224B3" w:rsidP="000D4542">
      <w:pPr>
        <w:pStyle w:val="newsContent"/>
        <w:rPr>
          <w:rFonts w:eastAsia="Calibri"/>
          <w:b/>
          <w:lang w:val="sv-SE" w:eastAsia="en-US"/>
        </w:rPr>
      </w:pPr>
      <w:r w:rsidRPr="000D4542">
        <w:rPr>
          <w:rFonts w:eastAsia="Calibri"/>
          <w:b/>
          <w:lang w:val="sv-SE" w:eastAsia="en-US"/>
        </w:rPr>
        <w:t xml:space="preserve">Heroinet </w:t>
      </w:r>
      <w:r w:rsidR="006B1CA5" w:rsidRPr="000D4542">
        <w:rPr>
          <w:rFonts w:eastAsia="Calibri"/>
          <w:b/>
          <w:lang w:val="sv-SE" w:eastAsia="en-US"/>
        </w:rPr>
        <w:t>på nedgång</w:t>
      </w:r>
      <w:r w:rsidRPr="000D4542">
        <w:rPr>
          <w:rFonts w:eastAsia="Calibri"/>
          <w:b/>
          <w:lang w:val="sv-SE" w:eastAsia="en-US"/>
        </w:rPr>
        <w:t>, men ersättning</w:t>
      </w:r>
      <w:r w:rsidR="00AC25EA" w:rsidRPr="000D4542">
        <w:rPr>
          <w:rFonts w:eastAsia="Calibri"/>
          <w:b/>
          <w:lang w:val="sv-SE" w:eastAsia="en-US"/>
        </w:rPr>
        <w:t>ssubstanser</w:t>
      </w:r>
      <w:r w:rsidRPr="000D4542">
        <w:rPr>
          <w:rFonts w:eastAsia="Calibri"/>
          <w:b/>
          <w:lang w:val="sv-SE" w:eastAsia="en-US"/>
        </w:rPr>
        <w:t>väcker oro</w:t>
      </w:r>
    </w:p>
    <w:p w14:paraId="42D0C286" w14:textId="77777777" w:rsidR="00814A22" w:rsidRDefault="00A224B3" w:rsidP="000D4542">
      <w:pPr>
        <w:pStyle w:val="newsContent"/>
        <w:rPr>
          <w:lang w:val="sv-SE"/>
        </w:rPr>
      </w:pPr>
      <w:r w:rsidRPr="00D166F5">
        <w:rPr>
          <w:lang w:val="sv-SE"/>
        </w:rPr>
        <w:t xml:space="preserve">Även om den globala produktionen av heroin fortfarande är </w:t>
      </w:r>
      <w:r w:rsidR="006B1CA5">
        <w:rPr>
          <w:lang w:val="sv-SE"/>
        </w:rPr>
        <w:t>omfattande</w:t>
      </w:r>
      <w:r w:rsidR="006B1CA5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och allt större kvantiteter beslagtas i </w:t>
      </w:r>
      <w:r w:rsidRPr="00D166F5">
        <w:rPr>
          <w:b/>
          <w:lang w:val="sv-SE"/>
        </w:rPr>
        <w:t>Turkiet</w:t>
      </w:r>
      <w:r w:rsidRPr="00D166F5">
        <w:rPr>
          <w:lang w:val="sv-SE"/>
        </w:rPr>
        <w:t xml:space="preserve"> (figurerna 1.4 och 1.5), </w:t>
      </w:r>
      <w:r w:rsidR="006B1CA5">
        <w:rPr>
          <w:lang w:val="sv-SE"/>
        </w:rPr>
        <w:t xml:space="preserve">pekar </w:t>
      </w:r>
      <w:r w:rsidRPr="00D166F5">
        <w:rPr>
          <w:lang w:val="sv-SE"/>
        </w:rPr>
        <w:t>de</w:t>
      </w:r>
      <w:r w:rsidR="006B1CA5">
        <w:rPr>
          <w:lang w:val="sv-SE"/>
        </w:rPr>
        <w:t>n</w:t>
      </w:r>
      <w:r w:rsidRPr="00D166F5">
        <w:rPr>
          <w:lang w:val="sv-SE"/>
        </w:rPr>
        <w:t xml:space="preserve"> senaste </w:t>
      </w:r>
      <w:r w:rsidR="006B1CA5">
        <w:rPr>
          <w:lang w:val="sv-SE"/>
        </w:rPr>
        <w:t>statistiken över</w:t>
      </w:r>
      <w:r w:rsidRPr="00D166F5">
        <w:rPr>
          <w:lang w:val="sv-SE"/>
        </w:rPr>
        <w:t xml:space="preserve"> efterfrågan på behandling och </w:t>
      </w:r>
      <w:r w:rsidR="006B1CA5">
        <w:rPr>
          <w:lang w:val="sv-SE"/>
        </w:rPr>
        <w:t xml:space="preserve">antalet </w:t>
      </w:r>
      <w:r w:rsidRPr="00D166F5">
        <w:rPr>
          <w:lang w:val="sv-SE"/>
        </w:rPr>
        <w:t xml:space="preserve">beslag i Europa </w:t>
      </w:r>
      <w:r w:rsidR="006B1CA5">
        <w:rPr>
          <w:lang w:val="sv-SE"/>
        </w:rPr>
        <w:t xml:space="preserve">på </w:t>
      </w:r>
      <w:r w:rsidRPr="00D166F5">
        <w:rPr>
          <w:lang w:val="sv-SE"/>
        </w:rPr>
        <w:t xml:space="preserve">en nedåtgående trend i användningen av och tillgången till denna drog. Antalet </w:t>
      </w:r>
    </w:p>
    <w:p w14:paraId="1EAA28F5" w14:textId="5DC36D3D" w:rsidR="00A224B3" w:rsidRPr="00D166F5" w:rsidRDefault="006B1CA5" w:rsidP="000D4542">
      <w:pPr>
        <w:pStyle w:val="newsContent"/>
        <w:rPr>
          <w:lang w:val="sv-SE"/>
        </w:rPr>
      </w:pPr>
      <w:r>
        <w:rPr>
          <w:lang w:val="sv-SE"/>
        </w:rPr>
        <w:lastRenderedPageBreak/>
        <w:t xml:space="preserve">personer </w:t>
      </w:r>
      <w:r w:rsidR="00A224B3" w:rsidRPr="00D166F5">
        <w:rPr>
          <w:lang w:val="sv-SE"/>
        </w:rPr>
        <w:t xml:space="preserve">som </w:t>
      </w:r>
      <w:r w:rsidR="00AC25EA">
        <w:rPr>
          <w:lang w:val="sv-SE"/>
        </w:rPr>
        <w:t xml:space="preserve">för första gången </w:t>
      </w:r>
      <w:r>
        <w:rPr>
          <w:lang w:val="sv-SE"/>
        </w:rPr>
        <w:t xml:space="preserve">skrevs in </w:t>
      </w:r>
      <w:r w:rsidRPr="00D166F5">
        <w:rPr>
          <w:lang w:val="sv-SE"/>
        </w:rPr>
        <w:t>för</w:t>
      </w:r>
      <w:r>
        <w:rPr>
          <w:lang w:val="sv-SE"/>
        </w:rPr>
        <w:t xml:space="preserve"> </w:t>
      </w:r>
      <w:r w:rsidR="00A224B3" w:rsidRPr="00D166F5">
        <w:rPr>
          <w:lang w:val="sv-SE"/>
        </w:rPr>
        <w:t xml:space="preserve">specialiserad behandling </w:t>
      </w:r>
      <w:r>
        <w:rPr>
          <w:lang w:val="sv-SE"/>
        </w:rPr>
        <w:t xml:space="preserve">av </w:t>
      </w:r>
      <w:r w:rsidRPr="00D166F5">
        <w:rPr>
          <w:lang w:val="sv-SE"/>
        </w:rPr>
        <w:t>heroin</w:t>
      </w:r>
      <w:r>
        <w:rPr>
          <w:lang w:val="sv-SE"/>
        </w:rPr>
        <w:t xml:space="preserve">missbruk har sjunkit </w:t>
      </w:r>
      <w:r w:rsidR="00A224B3" w:rsidRPr="00D166F5">
        <w:rPr>
          <w:lang w:val="sv-SE"/>
        </w:rPr>
        <w:t xml:space="preserve">från </w:t>
      </w:r>
      <w:r w:rsidR="00B32227" w:rsidRPr="00D166F5">
        <w:rPr>
          <w:lang w:val="sv-SE"/>
        </w:rPr>
        <w:t>59</w:t>
      </w:r>
      <w:r w:rsidR="00B32227">
        <w:rPr>
          <w:lang w:val="sv-SE"/>
        </w:rPr>
        <w:t> </w:t>
      </w:r>
      <w:r w:rsidR="00A224B3" w:rsidRPr="00D166F5">
        <w:rPr>
          <w:lang w:val="sv-SE"/>
        </w:rPr>
        <w:t xml:space="preserve">000 </w:t>
      </w:r>
      <w:r>
        <w:rPr>
          <w:lang w:val="sv-SE"/>
        </w:rPr>
        <w:t xml:space="preserve">år </w:t>
      </w:r>
      <w:r w:rsidR="00A224B3" w:rsidRPr="00D166F5">
        <w:rPr>
          <w:lang w:val="sv-SE"/>
        </w:rPr>
        <w:t xml:space="preserve">2007 till 31 000 </w:t>
      </w:r>
      <w:r>
        <w:rPr>
          <w:lang w:val="sv-SE"/>
        </w:rPr>
        <w:t xml:space="preserve">år </w:t>
      </w:r>
      <w:r w:rsidR="00A224B3" w:rsidRPr="00D166F5">
        <w:rPr>
          <w:lang w:val="sv-SE"/>
        </w:rPr>
        <w:t xml:space="preserve">2012. </w:t>
      </w:r>
      <w:r>
        <w:rPr>
          <w:lang w:val="sv-SE"/>
        </w:rPr>
        <w:t xml:space="preserve">Statistik över utbudet av narkotika </w:t>
      </w:r>
      <w:r w:rsidR="00A224B3" w:rsidRPr="00D166F5">
        <w:rPr>
          <w:lang w:val="sv-SE"/>
        </w:rPr>
        <w:t xml:space="preserve">visar att </w:t>
      </w:r>
      <w:r>
        <w:rPr>
          <w:lang w:val="sv-SE"/>
        </w:rPr>
        <w:t xml:space="preserve">beslagen av </w:t>
      </w:r>
      <w:r w:rsidR="00A224B3" w:rsidRPr="00D166F5">
        <w:rPr>
          <w:lang w:val="sv-SE"/>
        </w:rPr>
        <w:t>heroin under 2012 (5 ton) var de</w:t>
      </w:r>
      <w:r>
        <w:rPr>
          <w:lang w:val="sv-SE"/>
        </w:rPr>
        <w:t xml:space="preserve"> lägsta </w:t>
      </w:r>
      <w:r w:rsidR="00A224B3" w:rsidRPr="00D166F5">
        <w:rPr>
          <w:lang w:val="sv-SE"/>
        </w:rPr>
        <w:t xml:space="preserve">som rapporterats under det senaste årtiondet och hälften så </w:t>
      </w:r>
      <w:r w:rsidR="00B3420B">
        <w:rPr>
          <w:lang w:val="sv-SE"/>
        </w:rPr>
        <w:t xml:space="preserve">stora som beslagen </w:t>
      </w:r>
      <w:r w:rsidR="00A224B3" w:rsidRPr="00D166F5">
        <w:rPr>
          <w:lang w:val="sv-SE"/>
        </w:rPr>
        <w:t xml:space="preserve">2002 (10 ton). </w:t>
      </w:r>
      <w:r w:rsidR="00B3420B">
        <w:rPr>
          <w:lang w:val="sv-SE"/>
        </w:rPr>
        <w:t>H</w:t>
      </w:r>
      <w:r w:rsidR="00A224B3" w:rsidRPr="00D166F5">
        <w:rPr>
          <w:lang w:val="sv-SE"/>
        </w:rPr>
        <w:t>eroinbeslag</w:t>
      </w:r>
      <w:r w:rsidR="00B3420B">
        <w:rPr>
          <w:lang w:val="sv-SE"/>
        </w:rPr>
        <w:t>en</w:t>
      </w:r>
      <w:r w:rsidR="00A224B3" w:rsidRPr="00D166F5">
        <w:rPr>
          <w:lang w:val="sv-SE"/>
        </w:rPr>
        <w:t xml:space="preserve"> minskade </w:t>
      </w:r>
      <w:r w:rsidR="00B3420B">
        <w:rPr>
          <w:lang w:val="sv-SE"/>
        </w:rPr>
        <w:t xml:space="preserve">även i fråga om antal </w:t>
      </w:r>
      <w:r w:rsidR="00A224B3" w:rsidRPr="00D166F5">
        <w:rPr>
          <w:lang w:val="sv-SE"/>
        </w:rPr>
        <w:t>från omkrin</w:t>
      </w:r>
      <w:r w:rsidR="00B56442">
        <w:rPr>
          <w:lang w:val="sv-SE"/>
        </w:rPr>
        <w:t>g 50 000 år 2010 till 32 000 år </w:t>
      </w:r>
      <w:r w:rsidR="00A224B3" w:rsidRPr="00D166F5">
        <w:rPr>
          <w:lang w:val="sv-SE"/>
        </w:rPr>
        <w:t xml:space="preserve">2012. </w:t>
      </w:r>
    </w:p>
    <w:p w14:paraId="00F1F615" w14:textId="568CEE56" w:rsidR="00A224B3" w:rsidRPr="00D166F5" w:rsidRDefault="00A224B3" w:rsidP="000D4542">
      <w:pPr>
        <w:pStyle w:val="newsContent"/>
        <w:rPr>
          <w:lang w:val="sv-SE"/>
        </w:rPr>
      </w:pPr>
      <w:r w:rsidRPr="00D166F5">
        <w:rPr>
          <w:lang w:val="sv-SE"/>
        </w:rPr>
        <w:t>Det finns uppskattningsvis 1,3 miljoner problem</w:t>
      </w:r>
      <w:r w:rsidR="00CF2AAA">
        <w:rPr>
          <w:lang w:val="sv-SE"/>
        </w:rPr>
        <w:t>användare</w:t>
      </w:r>
      <w:r w:rsidR="00E9043D">
        <w:rPr>
          <w:lang w:val="sv-SE"/>
        </w:rPr>
        <w:t xml:space="preserve"> av </w:t>
      </w:r>
      <w:r w:rsidR="00E9043D" w:rsidRPr="00D166F5">
        <w:rPr>
          <w:lang w:val="sv-SE"/>
        </w:rPr>
        <w:t>opioid</w:t>
      </w:r>
      <w:r w:rsidR="00E9043D">
        <w:rPr>
          <w:lang w:val="sv-SE"/>
        </w:rPr>
        <w:t xml:space="preserve">er </w:t>
      </w:r>
      <w:r w:rsidRPr="00D166F5">
        <w:rPr>
          <w:lang w:val="sv-SE"/>
        </w:rPr>
        <w:t xml:space="preserve">i Europa, varav de flesta </w:t>
      </w:r>
      <w:r w:rsidR="00CF2AAA">
        <w:rPr>
          <w:lang w:val="sv-SE"/>
        </w:rPr>
        <w:t>använder</w:t>
      </w:r>
      <w:r w:rsidR="00E9043D">
        <w:rPr>
          <w:lang w:val="sv-SE"/>
        </w:rPr>
        <w:t xml:space="preserve"> </w:t>
      </w:r>
      <w:r w:rsidRPr="00D166F5">
        <w:rPr>
          <w:lang w:val="sv-SE"/>
        </w:rPr>
        <w:t xml:space="preserve">heroin. Rapporten </w:t>
      </w:r>
      <w:r w:rsidR="00B625C9">
        <w:rPr>
          <w:lang w:val="sv-SE"/>
        </w:rPr>
        <w:t xml:space="preserve">visar att det finns en oro över </w:t>
      </w:r>
      <w:r w:rsidRPr="00D166F5">
        <w:rPr>
          <w:lang w:val="sv-SE"/>
        </w:rPr>
        <w:t xml:space="preserve">att heroin </w:t>
      </w:r>
      <w:r w:rsidR="00B625C9">
        <w:rPr>
          <w:lang w:val="sv-SE"/>
        </w:rPr>
        <w:t xml:space="preserve">håller på att </w:t>
      </w:r>
      <w:r w:rsidRPr="00D166F5">
        <w:rPr>
          <w:lang w:val="sv-SE"/>
        </w:rPr>
        <w:t>ersätt</w:t>
      </w:r>
      <w:r w:rsidR="00B625C9">
        <w:rPr>
          <w:lang w:val="sv-SE"/>
        </w:rPr>
        <w:t>a</w:t>
      </w:r>
      <w:r w:rsidRPr="00D166F5">
        <w:rPr>
          <w:lang w:val="sv-SE"/>
        </w:rPr>
        <w:t xml:space="preserve">s av andra </w:t>
      </w:r>
      <w:r w:rsidR="00B625C9">
        <w:rPr>
          <w:lang w:val="sv-SE"/>
        </w:rPr>
        <w:t>substanser, t.ex.</w:t>
      </w:r>
      <w:r w:rsidR="00B56442">
        <w:rPr>
          <w:lang w:val="sv-SE"/>
        </w:rPr>
        <w:t> </w:t>
      </w:r>
      <w:r w:rsidRPr="00D166F5">
        <w:rPr>
          <w:lang w:val="sv-SE"/>
        </w:rPr>
        <w:t>syntetiska opioider</w:t>
      </w:r>
      <w:r w:rsidR="00B631E8">
        <w:rPr>
          <w:lang w:val="sv-SE"/>
        </w:rPr>
        <w:t xml:space="preserve">. Dessa </w:t>
      </w:r>
      <w:r w:rsidRPr="00D166F5">
        <w:rPr>
          <w:lang w:val="sv-SE"/>
        </w:rPr>
        <w:t xml:space="preserve">framställs </w:t>
      </w:r>
      <w:r w:rsidR="00D27270">
        <w:rPr>
          <w:lang w:val="sv-SE"/>
        </w:rPr>
        <w:t>illegal</w:t>
      </w:r>
      <w:r w:rsidRPr="00D166F5">
        <w:rPr>
          <w:lang w:val="sv-SE"/>
        </w:rPr>
        <w:t xml:space="preserve">t eller </w:t>
      </w:r>
      <w:r w:rsidR="006F542F">
        <w:rPr>
          <w:lang w:val="sv-SE"/>
        </w:rPr>
        <w:t xml:space="preserve">avleds </w:t>
      </w:r>
      <w:r w:rsidRPr="00D166F5">
        <w:rPr>
          <w:lang w:val="sv-SE"/>
        </w:rPr>
        <w:t xml:space="preserve">från </w:t>
      </w:r>
      <w:r w:rsidR="00AC3EE4">
        <w:rPr>
          <w:lang w:val="sv-SE"/>
        </w:rPr>
        <w:t>sjukvården</w:t>
      </w:r>
      <w:r w:rsidRPr="00D166F5">
        <w:rPr>
          <w:lang w:val="sv-SE"/>
        </w:rPr>
        <w:t xml:space="preserve"> och </w:t>
      </w:r>
      <w:r w:rsidR="00AC3EE4">
        <w:rPr>
          <w:lang w:val="sv-SE"/>
        </w:rPr>
        <w:t xml:space="preserve">innehåller </w:t>
      </w:r>
      <w:r w:rsidRPr="00D166F5">
        <w:rPr>
          <w:lang w:val="sv-SE"/>
        </w:rPr>
        <w:t xml:space="preserve">mycket </w:t>
      </w:r>
      <w:r w:rsidR="00AC3EE4">
        <w:rPr>
          <w:lang w:val="sv-SE"/>
        </w:rPr>
        <w:t xml:space="preserve">starka </w:t>
      </w:r>
      <w:r w:rsidRPr="00D166F5">
        <w:rPr>
          <w:lang w:val="sv-SE"/>
        </w:rPr>
        <w:t xml:space="preserve">fentanyler och </w:t>
      </w:r>
      <w:r w:rsidR="006F542F">
        <w:rPr>
          <w:lang w:val="sv-SE"/>
        </w:rPr>
        <w:t>substanser</w:t>
      </w:r>
      <w:r w:rsidRPr="00D166F5">
        <w:rPr>
          <w:lang w:val="sv-SE"/>
        </w:rPr>
        <w:t xml:space="preserve"> som används vid substitutionsbehandling för opioidmissbrukare (t.ex. metadon, buprenorfin). År 2012 rapporterade 17 länder att mer än 10 % av de </w:t>
      </w:r>
      <w:r w:rsidR="00AC3EE4">
        <w:rPr>
          <w:lang w:val="sv-SE"/>
        </w:rPr>
        <w:t>personer</w:t>
      </w:r>
      <w:r w:rsidR="00AC3EE4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som </w:t>
      </w:r>
      <w:r w:rsidR="00672D22">
        <w:rPr>
          <w:lang w:val="sv-SE"/>
        </w:rPr>
        <w:t xml:space="preserve">för första gången </w:t>
      </w:r>
      <w:r w:rsidR="00AC3EE4">
        <w:rPr>
          <w:lang w:val="sv-SE"/>
        </w:rPr>
        <w:t xml:space="preserve">skrevs in för </w:t>
      </w:r>
      <w:r w:rsidRPr="00D166F5">
        <w:rPr>
          <w:lang w:val="sv-SE"/>
        </w:rPr>
        <w:t xml:space="preserve">specialiserad behandling missbrukade andra opioider än heroin (figur 2.9). </w:t>
      </w:r>
    </w:p>
    <w:p w14:paraId="5D7A2425" w14:textId="77777777" w:rsidR="00A224B3" w:rsidRPr="000D4542" w:rsidRDefault="00A224B3" w:rsidP="000D4542">
      <w:pPr>
        <w:pStyle w:val="newsContent"/>
        <w:rPr>
          <w:b/>
          <w:lang w:val="sv-SE"/>
        </w:rPr>
      </w:pPr>
      <w:r w:rsidRPr="000D4542">
        <w:rPr>
          <w:b/>
          <w:lang w:val="sv-SE"/>
        </w:rPr>
        <w:t>Narkotikarelaterade dödsfall minsk</w:t>
      </w:r>
      <w:r w:rsidR="00AC3EE4" w:rsidRPr="000D4542">
        <w:rPr>
          <w:b/>
          <w:lang w:val="sv-SE"/>
        </w:rPr>
        <w:t>ade totalt sett</w:t>
      </w:r>
      <w:r w:rsidRPr="000D4542">
        <w:rPr>
          <w:b/>
          <w:lang w:val="sv-SE"/>
        </w:rPr>
        <w:t xml:space="preserve">, men </w:t>
      </w:r>
      <w:r w:rsidR="00AC3EE4" w:rsidRPr="000D4542">
        <w:rPr>
          <w:b/>
          <w:lang w:val="sv-SE"/>
        </w:rPr>
        <w:t xml:space="preserve">ökade </w:t>
      </w:r>
      <w:r w:rsidRPr="000D4542">
        <w:rPr>
          <w:b/>
          <w:lang w:val="sv-SE"/>
        </w:rPr>
        <w:t>i vissa länder</w:t>
      </w:r>
    </w:p>
    <w:p w14:paraId="31C99934" w14:textId="781973CD" w:rsidR="00A224B3" w:rsidRPr="00D166F5" w:rsidRDefault="00A224B3" w:rsidP="000D4542">
      <w:pPr>
        <w:pStyle w:val="newsContent"/>
        <w:rPr>
          <w:lang w:val="sv-SE"/>
        </w:rPr>
      </w:pPr>
      <w:r w:rsidRPr="00D166F5">
        <w:rPr>
          <w:lang w:val="sv-SE"/>
        </w:rPr>
        <w:t xml:space="preserve">Narkotikamissbruk är en av de främsta orsakerna till dödsfall bland ungdomar i Europa, både direkt genom överdoser (narkotikainducerade dödsfall) och indirekt genom sjukdomar, olyckor, våld och självmord </w:t>
      </w:r>
      <w:r w:rsidR="00AC3EE4">
        <w:rPr>
          <w:lang w:val="sv-SE"/>
        </w:rPr>
        <w:t xml:space="preserve">som kan knytas till </w:t>
      </w:r>
      <w:r w:rsidRPr="00D166F5">
        <w:rPr>
          <w:lang w:val="sv-SE"/>
        </w:rPr>
        <w:t xml:space="preserve">narkotika. Totalt rapporterades </w:t>
      </w:r>
      <w:r w:rsidR="00AC3EE4">
        <w:rPr>
          <w:lang w:val="sv-SE"/>
        </w:rPr>
        <w:t>omkring</w:t>
      </w:r>
      <w:r w:rsidR="00AC3EE4" w:rsidRPr="00D166F5">
        <w:rPr>
          <w:lang w:val="sv-SE"/>
        </w:rPr>
        <w:t xml:space="preserve"> </w:t>
      </w:r>
      <w:r w:rsidRPr="00D166F5">
        <w:rPr>
          <w:lang w:val="sv-SE"/>
        </w:rPr>
        <w:t>6 100 dödsfall</w:t>
      </w:r>
      <w:r w:rsidR="00AC3EE4" w:rsidRPr="00AC3EE4">
        <w:rPr>
          <w:lang w:val="sv-SE"/>
        </w:rPr>
        <w:t xml:space="preserve"> </w:t>
      </w:r>
      <w:r w:rsidR="00AC3EE4" w:rsidRPr="00D166F5">
        <w:rPr>
          <w:lang w:val="sv-SE"/>
        </w:rPr>
        <w:t>under 2012</w:t>
      </w:r>
      <w:r w:rsidRPr="00D166F5">
        <w:rPr>
          <w:lang w:val="sv-SE"/>
        </w:rPr>
        <w:t xml:space="preserve"> till följd av överdoser</w:t>
      </w:r>
      <w:r w:rsidR="00AC3EE4">
        <w:rPr>
          <w:lang w:val="sv-SE"/>
        </w:rPr>
        <w:t xml:space="preserve"> av i första hand</w:t>
      </w:r>
      <w:r w:rsidRPr="00D166F5">
        <w:rPr>
          <w:lang w:val="sv-SE"/>
        </w:rPr>
        <w:t xml:space="preserve"> opio</w:t>
      </w:r>
      <w:r w:rsidR="008A2B16">
        <w:rPr>
          <w:lang w:val="sv-SE"/>
        </w:rPr>
        <w:t>i</w:t>
      </w:r>
      <w:r w:rsidRPr="00D166F5">
        <w:rPr>
          <w:lang w:val="sv-SE"/>
        </w:rPr>
        <w:t>der. Detta kan jämföras med 6 500 fall 2011 och 7 100 fall 2009. F</w:t>
      </w:r>
      <w:r w:rsidR="00AC3EE4">
        <w:rPr>
          <w:lang w:val="sv-SE"/>
        </w:rPr>
        <w:t xml:space="preserve">örbättringen </w:t>
      </w:r>
      <w:r w:rsidR="00410E46">
        <w:rPr>
          <w:lang w:val="sv-SE"/>
        </w:rPr>
        <w:t>kan</w:t>
      </w:r>
      <w:r w:rsidR="00AC3EE4">
        <w:rPr>
          <w:lang w:val="sv-SE"/>
        </w:rPr>
        <w:t xml:space="preserve"> </w:t>
      </w:r>
      <w:r w:rsidRPr="00D166F5">
        <w:rPr>
          <w:lang w:val="sv-SE"/>
        </w:rPr>
        <w:t xml:space="preserve">delvis </w:t>
      </w:r>
      <w:r w:rsidR="00410E46">
        <w:rPr>
          <w:lang w:val="sv-SE"/>
        </w:rPr>
        <w:t xml:space="preserve">tillskrivas en </w:t>
      </w:r>
      <w:r w:rsidRPr="00D166F5">
        <w:rPr>
          <w:lang w:val="sv-SE"/>
        </w:rPr>
        <w:t xml:space="preserve">utökad behandling och skademinskning (t.ex. substitutionsbehandling). </w:t>
      </w:r>
      <w:r w:rsidR="00AC3EE4">
        <w:rPr>
          <w:lang w:val="sv-SE"/>
        </w:rPr>
        <w:t>Mot denna</w:t>
      </w:r>
      <w:r w:rsidRPr="00D166F5">
        <w:rPr>
          <w:lang w:val="sv-SE"/>
        </w:rPr>
        <w:t xml:space="preserve"> uppmuntrande </w:t>
      </w:r>
      <w:r w:rsidR="00AC3EE4">
        <w:rPr>
          <w:lang w:val="sv-SE"/>
        </w:rPr>
        <w:t xml:space="preserve">europeiska trend totalt sett kontrasterar dock fortsatt höga, eller till och med stigande, dödstal till följd </w:t>
      </w:r>
      <w:r w:rsidRPr="00D166F5">
        <w:rPr>
          <w:lang w:val="sv-SE"/>
        </w:rPr>
        <w:t xml:space="preserve">av överdoser i </w:t>
      </w:r>
      <w:r w:rsidR="00AC3EE4">
        <w:rPr>
          <w:lang w:val="sv-SE"/>
        </w:rPr>
        <w:t xml:space="preserve">vissa </w:t>
      </w:r>
      <w:r w:rsidRPr="00D166F5">
        <w:rPr>
          <w:lang w:val="sv-SE"/>
        </w:rPr>
        <w:t xml:space="preserve">länder. </w:t>
      </w:r>
    </w:p>
    <w:p w14:paraId="1E072534" w14:textId="50029EBA" w:rsidR="00A224B3" w:rsidRPr="00D166F5" w:rsidRDefault="00331D42" w:rsidP="000D4542">
      <w:pPr>
        <w:pStyle w:val="newsContent"/>
        <w:rPr>
          <w:lang w:val="sv-SE"/>
        </w:rPr>
      </w:pPr>
      <w:r>
        <w:rPr>
          <w:lang w:val="sv-SE"/>
        </w:rPr>
        <w:t xml:space="preserve">Antalet dödsfall till följd </w:t>
      </w:r>
      <w:r w:rsidR="00A224B3" w:rsidRPr="00D166F5">
        <w:rPr>
          <w:lang w:val="sv-SE"/>
        </w:rPr>
        <w:t>av överdos</w:t>
      </w:r>
      <w:r>
        <w:rPr>
          <w:lang w:val="sv-SE"/>
        </w:rPr>
        <w:t>er</w:t>
      </w:r>
      <w:r w:rsidR="00A224B3" w:rsidRPr="00D166F5">
        <w:rPr>
          <w:lang w:val="sv-SE"/>
        </w:rPr>
        <w:t xml:space="preserve"> i Europa </w:t>
      </w:r>
      <w:r>
        <w:rPr>
          <w:lang w:val="sv-SE"/>
        </w:rPr>
        <w:t xml:space="preserve">beräknas uppgå </w:t>
      </w:r>
      <w:r w:rsidR="00A224B3" w:rsidRPr="00D166F5">
        <w:rPr>
          <w:lang w:val="sv-SE"/>
        </w:rPr>
        <w:t xml:space="preserve">till 17 per </w:t>
      </w:r>
      <w:r>
        <w:rPr>
          <w:lang w:val="sv-SE"/>
        </w:rPr>
        <w:t xml:space="preserve">1 </w:t>
      </w:r>
      <w:r w:rsidR="00A224B3" w:rsidRPr="00D166F5">
        <w:rPr>
          <w:lang w:val="sv-SE"/>
        </w:rPr>
        <w:t>miljon invånare (</w:t>
      </w:r>
      <w:r>
        <w:rPr>
          <w:lang w:val="sv-SE"/>
        </w:rPr>
        <w:t xml:space="preserve">i åldersgruppen </w:t>
      </w:r>
      <w:r w:rsidR="00A224B3" w:rsidRPr="00D166F5">
        <w:rPr>
          <w:lang w:val="sv-SE"/>
        </w:rPr>
        <w:t xml:space="preserve">15–64 år), men </w:t>
      </w:r>
      <w:r>
        <w:rPr>
          <w:lang w:val="sv-SE"/>
        </w:rPr>
        <w:t xml:space="preserve">det finns stora skillnader </w:t>
      </w:r>
      <w:r w:rsidR="00A224B3" w:rsidRPr="00D166F5">
        <w:rPr>
          <w:lang w:val="sv-SE"/>
        </w:rPr>
        <w:t>mellan länder</w:t>
      </w:r>
      <w:r>
        <w:rPr>
          <w:lang w:val="sv-SE"/>
        </w:rPr>
        <w:t>na</w:t>
      </w:r>
      <w:r w:rsidR="00A224B3" w:rsidRPr="00D166F5">
        <w:rPr>
          <w:lang w:val="sv-SE"/>
        </w:rPr>
        <w:t xml:space="preserve">. </w:t>
      </w:r>
      <w:r>
        <w:rPr>
          <w:lang w:val="sv-SE"/>
        </w:rPr>
        <w:t xml:space="preserve">I fem länder uppgick antalet dödsfall till mer än </w:t>
      </w:r>
      <w:r w:rsidR="000D4542">
        <w:rPr>
          <w:lang w:val="sv-SE"/>
        </w:rPr>
        <w:t xml:space="preserve">         </w:t>
      </w:r>
      <w:r w:rsidR="00A224B3" w:rsidRPr="00D166F5">
        <w:rPr>
          <w:lang w:val="sv-SE"/>
        </w:rPr>
        <w:t xml:space="preserve">50 per </w:t>
      </w:r>
      <w:r>
        <w:rPr>
          <w:lang w:val="sv-SE"/>
        </w:rPr>
        <w:t xml:space="preserve">1 </w:t>
      </w:r>
      <w:r w:rsidR="00A224B3" w:rsidRPr="00D166F5">
        <w:rPr>
          <w:lang w:val="sv-SE"/>
        </w:rPr>
        <w:t>miljon invånare</w:t>
      </w:r>
      <w:r>
        <w:rPr>
          <w:lang w:val="sv-SE"/>
        </w:rPr>
        <w:t xml:space="preserve">. Antalet dödsfall var </w:t>
      </w:r>
      <w:r w:rsidR="00A224B3" w:rsidRPr="00D166F5">
        <w:rPr>
          <w:lang w:val="sv-SE"/>
        </w:rPr>
        <w:t>högst</w:t>
      </w:r>
      <w:r>
        <w:rPr>
          <w:lang w:val="sv-SE"/>
        </w:rPr>
        <w:t xml:space="preserve"> </w:t>
      </w:r>
      <w:r w:rsidR="00A224B3" w:rsidRPr="00D166F5">
        <w:rPr>
          <w:lang w:val="sv-SE"/>
        </w:rPr>
        <w:t xml:space="preserve">i </w:t>
      </w:r>
      <w:r w:rsidR="00A224B3" w:rsidRPr="00D166F5">
        <w:rPr>
          <w:b/>
          <w:lang w:val="sv-SE"/>
        </w:rPr>
        <w:t>Estland</w:t>
      </w:r>
      <w:r w:rsidR="00A224B3" w:rsidRPr="00D166F5">
        <w:rPr>
          <w:lang w:val="sv-SE"/>
        </w:rPr>
        <w:t xml:space="preserve"> (191 per </w:t>
      </w:r>
      <w:r w:rsidR="00D27270">
        <w:rPr>
          <w:lang w:val="sv-SE"/>
        </w:rPr>
        <w:t xml:space="preserve">1 </w:t>
      </w:r>
      <w:r w:rsidR="00A224B3" w:rsidRPr="00D166F5">
        <w:rPr>
          <w:lang w:val="sv-SE"/>
        </w:rPr>
        <w:t>miljon)</w:t>
      </w:r>
      <w:r>
        <w:rPr>
          <w:lang w:val="sv-SE"/>
        </w:rPr>
        <w:t xml:space="preserve">, följt av </w:t>
      </w:r>
      <w:r w:rsidR="00A224B3" w:rsidRPr="00D166F5">
        <w:rPr>
          <w:b/>
          <w:lang w:val="sv-SE"/>
        </w:rPr>
        <w:t>Norge</w:t>
      </w:r>
      <w:r w:rsidR="00A224B3" w:rsidRPr="00D166F5">
        <w:rPr>
          <w:lang w:val="sv-SE"/>
        </w:rPr>
        <w:t xml:space="preserve"> (76 per </w:t>
      </w:r>
      <w:r w:rsidR="000D4542">
        <w:rPr>
          <w:lang w:val="sv-SE"/>
        </w:rPr>
        <w:t xml:space="preserve">            </w:t>
      </w:r>
      <w:r w:rsidR="00D27270">
        <w:rPr>
          <w:lang w:val="sv-SE"/>
        </w:rPr>
        <w:t xml:space="preserve">1 </w:t>
      </w:r>
      <w:r w:rsidR="00A224B3" w:rsidRPr="00D166F5">
        <w:rPr>
          <w:lang w:val="sv-SE"/>
        </w:rPr>
        <w:t>miljon),</w:t>
      </w:r>
      <w:r>
        <w:rPr>
          <w:lang w:val="sv-SE"/>
        </w:rPr>
        <w:t xml:space="preserve"> </w:t>
      </w:r>
      <w:r w:rsidR="00A224B3" w:rsidRPr="00D166F5">
        <w:rPr>
          <w:b/>
          <w:lang w:val="sv-SE"/>
        </w:rPr>
        <w:t>Irland</w:t>
      </w:r>
      <w:r w:rsidR="00A224B3" w:rsidRPr="00D166F5">
        <w:rPr>
          <w:lang w:val="sv-SE"/>
        </w:rPr>
        <w:t xml:space="preserve"> (70 per </w:t>
      </w:r>
      <w:r w:rsidR="00D27270">
        <w:rPr>
          <w:lang w:val="sv-SE"/>
        </w:rPr>
        <w:t xml:space="preserve">1 </w:t>
      </w:r>
      <w:r w:rsidR="00A224B3" w:rsidRPr="00D166F5">
        <w:rPr>
          <w:lang w:val="sv-SE"/>
        </w:rPr>
        <w:t xml:space="preserve">miljon), </w:t>
      </w:r>
      <w:r w:rsidR="00A224B3" w:rsidRPr="00D166F5">
        <w:rPr>
          <w:b/>
          <w:lang w:val="sv-SE"/>
        </w:rPr>
        <w:t>Sverige</w:t>
      </w:r>
      <w:r w:rsidR="00A224B3" w:rsidRPr="00D166F5">
        <w:rPr>
          <w:lang w:val="sv-SE"/>
        </w:rPr>
        <w:t xml:space="preserve"> (63 per </w:t>
      </w:r>
      <w:r w:rsidR="00D27270">
        <w:rPr>
          <w:lang w:val="sv-SE"/>
        </w:rPr>
        <w:t xml:space="preserve">1 </w:t>
      </w:r>
      <w:r w:rsidR="00A224B3" w:rsidRPr="00D166F5">
        <w:rPr>
          <w:lang w:val="sv-SE"/>
        </w:rPr>
        <w:t xml:space="preserve">miljon) och </w:t>
      </w:r>
      <w:r w:rsidR="00A224B3" w:rsidRPr="00D166F5">
        <w:rPr>
          <w:b/>
          <w:lang w:val="sv-SE"/>
        </w:rPr>
        <w:t>Finland</w:t>
      </w:r>
      <w:r w:rsidR="00A224B3" w:rsidRPr="00D166F5">
        <w:rPr>
          <w:lang w:val="sv-SE"/>
        </w:rPr>
        <w:t xml:space="preserve"> (58 per </w:t>
      </w:r>
      <w:r w:rsidR="00D27270">
        <w:rPr>
          <w:lang w:val="sv-SE"/>
        </w:rPr>
        <w:t xml:space="preserve">1 </w:t>
      </w:r>
      <w:r w:rsidR="00A224B3" w:rsidRPr="00D166F5">
        <w:rPr>
          <w:lang w:val="sv-SE"/>
        </w:rPr>
        <w:t>miljon) (figur 2.13)</w:t>
      </w:r>
      <w:r w:rsidR="00B56442">
        <w:rPr>
          <w:lang w:val="sv-SE"/>
        </w:rPr>
        <w:t xml:space="preserve"> (</w:t>
      </w:r>
      <w:r w:rsidR="00B56442" w:rsidRPr="00D166F5">
        <w:rPr>
          <w:vertAlign w:val="superscript"/>
          <w:lang w:val="sv-SE"/>
        </w:rPr>
        <w:t>2</w:t>
      </w:r>
      <w:r w:rsidR="00B56442">
        <w:rPr>
          <w:lang w:val="sv-SE"/>
        </w:rPr>
        <w:t>).</w:t>
      </w:r>
    </w:p>
    <w:p w14:paraId="132AF00B" w14:textId="590277ED" w:rsidR="00A224B3" w:rsidRPr="00D166F5" w:rsidRDefault="00331D42" w:rsidP="000D4542">
      <w:pPr>
        <w:pStyle w:val="newsContent"/>
        <w:rPr>
          <w:lang w:val="sv-SE"/>
        </w:rPr>
      </w:pPr>
      <w:r>
        <w:rPr>
          <w:lang w:val="sv-SE"/>
        </w:rPr>
        <w:t xml:space="preserve">Även om </w:t>
      </w:r>
      <w:r w:rsidR="00A224B3" w:rsidRPr="00D166F5">
        <w:rPr>
          <w:lang w:val="sv-SE"/>
        </w:rPr>
        <w:t xml:space="preserve">heroin fortfarande </w:t>
      </w:r>
      <w:r w:rsidR="000F5D27">
        <w:rPr>
          <w:lang w:val="sv-SE"/>
        </w:rPr>
        <w:t>ligger bakom</w:t>
      </w:r>
      <w:r w:rsidR="00A224B3" w:rsidRPr="00D166F5">
        <w:rPr>
          <w:lang w:val="sv-SE"/>
        </w:rPr>
        <w:t xml:space="preserve"> många överdoser med dödlig utgång, </w:t>
      </w:r>
      <w:r>
        <w:rPr>
          <w:lang w:val="sv-SE"/>
        </w:rPr>
        <w:t xml:space="preserve">håller </w:t>
      </w:r>
      <w:r w:rsidR="00A224B3" w:rsidRPr="00D166F5">
        <w:rPr>
          <w:lang w:val="sv-SE"/>
        </w:rPr>
        <w:t xml:space="preserve">antalet dödsfall </w:t>
      </w:r>
      <w:r w:rsidR="00410E46">
        <w:rPr>
          <w:lang w:val="sv-SE"/>
        </w:rPr>
        <w:t>relaterade</w:t>
      </w:r>
      <w:r w:rsidR="00D27270">
        <w:rPr>
          <w:lang w:val="sv-SE"/>
        </w:rPr>
        <w:t xml:space="preserve"> till </w:t>
      </w:r>
      <w:r w:rsidR="00A224B3" w:rsidRPr="00D166F5">
        <w:rPr>
          <w:lang w:val="sv-SE"/>
        </w:rPr>
        <w:t xml:space="preserve">denna drog </w:t>
      </w:r>
      <w:r>
        <w:rPr>
          <w:lang w:val="sv-SE"/>
        </w:rPr>
        <w:t xml:space="preserve">överlag på att minska, </w:t>
      </w:r>
      <w:r w:rsidR="00410E46">
        <w:rPr>
          <w:lang w:val="sv-SE"/>
        </w:rPr>
        <w:t>medan</w:t>
      </w:r>
      <w:r w:rsidR="00D27270">
        <w:rPr>
          <w:lang w:val="sv-SE"/>
        </w:rPr>
        <w:t xml:space="preserve"> </w:t>
      </w:r>
      <w:r w:rsidR="00A224B3" w:rsidRPr="00D166F5">
        <w:rPr>
          <w:lang w:val="sv-SE"/>
        </w:rPr>
        <w:t xml:space="preserve">antalet dödsfall med koppling till syntetiska opioider </w:t>
      </w:r>
      <w:r w:rsidR="008F644C">
        <w:rPr>
          <w:lang w:val="sv-SE"/>
        </w:rPr>
        <w:t xml:space="preserve">ökar </w:t>
      </w:r>
      <w:r w:rsidR="00D27270">
        <w:rPr>
          <w:lang w:val="sv-SE"/>
        </w:rPr>
        <w:t>i vissa länder</w:t>
      </w:r>
      <w:r w:rsidR="00A224B3" w:rsidRPr="00D166F5">
        <w:rPr>
          <w:lang w:val="sv-SE"/>
        </w:rPr>
        <w:t xml:space="preserve">. </w:t>
      </w:r>
      <w:r>
        <w:rPr>
          <w:lang w:val="sv-SE"/>
        </w:rPr>
        <w:t>Antalet d</w:t>
      </w:r>
      <w:r w:rsidR="00A224B3" w:rsidRPr="00D166F5">
        <w:rPr>
          <w:lang w:val="sv-SE"/>
        </w:rPr>
        <w:t>ödsfall</w:t>
      </w:r>
      <w:r>
        <w:rPr>
          <w:lang w:val="sv-SE"/>
        </w:rPr>
        <w:t xml:space="preserve"> till följd </w:t>
      </w:r>
      <w:r w:rsidR="00A224B3" w:rsidRPr="00D166F5">
        <w:rPr>
          <w:lang w:val="sv-SE"/>
        </w:rPr>
        <w:t>av överdos</w:t>
      </w:r>
      <w:r>
        <w:rPr>
          <w:lang w:val="sv-SE"/>
        </w:rPr>
        <w:t>er</w:t>
      </w:r>
      <w:r w:rsidR="00A224B3" w:rsidRPr="00D166F5">
        <w:rPr>
          <w:lang w:val="sv-SE"/>
        </w:rPr>
        <w:t xml:space="preserve"> ökade kraftigt (med 38 %) i </w:t>
      </w:r>
      <w:r w:rsidR="00A224B3" w:rsidRPr="00D166F5">
        <w:rPr>
          <w:b/>
          <w:lang w:val="sv-SE"/>
        </w:rPr>
        <w:t>Estland</w:t>
      </w:r>
      <w:r w:rsidR="00A224B3" w:rsidRPr="00D166F5">
        <w:rPr>
          <w:lang w:val="sv-SE"/>
        </w:rPr>
        <w:t xml:space="preserve"> under 2012</w:t>
      </w:r>
      <w:r>
        <w:rPr>
          <w:lang w:val="sv-SE"/>
        </w:rPr>
        <w:t xml:space="preserve"> och involverade i de flesta av fall </w:t>
      </w:r>
      <w:r w:rsidR="00A224B3" w:rsidRPr="00D166F5">
        <w:rPr>
          <w:lang w:val="sv-SE"/>
        </w:rPr>
        <w:t xml:space="preserve">fentanyl och dess derivat. </w:t>
      </w:r>
      <w:r w:rsidR="00A72C47">
        <w:rPr>
          <w:lang w:val="sv-SE"/>
        </w:rPr>
        <w:t>Rapporter om att i</w:t>
      </w:r>
      <w:r w:rsidR="00A72C47" w:rsidRPr="00D166F5">
        <w:rPr>
          <w:lang w:val="sv-SE"/>
        </w:rPr>
        <w:t>cke</w:t>
      </w:r>
      <w:r w:rsidR="00B56442">
        <w:rPr>
          <w:lang w:val="sv-SE"/>
        </w:rPr>
        <w:noBreakHyphen/>
      </w:r>
      <w:r w:rsidR="00A224B3" w:rsidRPr="00D166F5">
        <w:rPr>
          <w:lang w:val="sv-SE"/>
        </w:rPr>
        <w:t xml:space="preserve">kontrollerade fentanylderivat och </w:t>
      </w:r>
      <w:r w:rsidR="00A72C47">
        <w:rPr>
          <w:lang w:val="sv-SE"/>
        </w:rPr>
        <w:t xml:space="preserve">flera </w:t>
      </w:r>
      <w:r w:rsidR="00A224B3" w:rsidRPr="00D166F5">
        <w:rPr>
          <w:lang w:val="sv-SE"/>
        </w:rPr>
        <w:t xml:space="preserve">andra </w:t>
      </w:r>
      <w:r w:rsidR="00A72C47">
        <w:rPr>
          <w:lang w:val="sv-SE"/>
        </w:rPr>
        <w:t>starka</w:t>
      </w:r>
      <w:r w:rsidR="00A72C47"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syntetiska opioider (t.ex. AH-7921) </w:t>
      </w:r>
      <w:r w:rsidR="00A72C47">
        <w:rPr>
          <w:lang w:val="sv-SE"/>
        </w:rPr>
        <w:t xml:space="preserve">förekommer </w:t>
      </w:r>
      <w:r w:rsidR="00A224B3" w:rsidRPr="00D166F5">
        <w:rPr>
          <w:lang w:val="sv-SE"/>
        </w:rPr>
        <w:t xml:space="preserve">på den </w:t>
      </w:r>
      <w:r w:rsidR="00D27270">
        <w:rPr>
          <w:lang w:val="sv-SE"/>
        </w:rPr>
        <w:t xml:space="preserve">illegala </w:t>
      </w:r>
      <w:r w:rsidR="00A224B3" w:rsidRPr="00D166F5">
        <w:rPr>
          <w:lang w:val="sv-SE"/>
        </w:rPr>
        <w:t xml:space="preserve">marknaden </w:t>
      </w:r>
      <w:r w:rsidR="00D27270">
        <w:rPr>
          <w:lang w:val="sv-SE"/>
        </w:rPr>
        <w:t>in</w:t>
      </w:r>
      <w:r w:rsidR="00A72C47">
        <w:rPr>
          <w:lang w:val="sv-SE"/>
        </w:rPr>
        <w:t xml:space="preserve">kommer allt oftare via </w:t>
      </w:r>
      <w:r w:rsidR="00A224B3" w:rsidRPr="00D166F5">
        <w:rPr>
          <w:b/>
          <w:lang w:val="sv-SE"/>
        </w:rPr>
        <w:t>EU:s system för tidig varning (EU–EWS)</w:t>
      </w:r>
      <w:r w:rsidR="00A224B3" w:rsidRPr="008A4870">
        <w:rPr>
          <w:lang w:val="sv-SE"/>
        </w:rPr>
        <w:t>.</w:t>
      </w:r>
      <w:r w:rsidR="00A224B3" w:rsidRPr="00D166F5">
        <w:rPr>
          <w:lang w:val="sv-SE"/>
        </w:rPr>
        <w:t xml:space="preserve"> </w:t>
      </w:r>
    </w:p>
    <w:p w14:paraId="714799A7" w14:textId="77777777" w:rsidR="00A224B3" w:rsidRPr="000D4542" w:rsidRDefault="00A224B3" w:rsidP="000D4542">
      <w:pPr>
        <w:pStyle w:val="newsContent"/>
        <w:rPr>
          <w:b/>
          <w:lang w:val="sv-SE"/>
        </w:rPr>
      </w:pPr>
      <w:r w:rsidRPr="000D4542">
        <w:rPr>
          <w:b/>
          <w:lang w:val="sv-SE"/>
        </w:rPr>
        <w:t xml:space="preserve">Hiv: utbrott i några länder påverkar EU-trenden negativt </w:t>
      </w:r>
    </w:p>
    <w:p w14:paraId="62DE9CB1" w14:textId="42C9C8E1" w:rsidR="00A224B3" w:rsidRPr="00D166F5" w:rsidRDefault="00A224B3" w:rsidP="000D4542">
      <w:pPr>
        <w:pStyle w:val="newsContent"/>
        <w:rPr>
          <w:lang w:val="sv-SE"/>
        </w:rPr>
      </w:pPr>
      <w:r w:rsidRPr="00D166F5">
        <w:rPr>
          <w:lang w:val="sv-SE"/>
        </w:rPr>
        <w:t xml:space="preserve">Under det senaste årtiondet har stora framsteg gjorts inom EU </w:t>
      </w:r>
      <w:r w:rsidR="00A72C47">
        <w:rPr>
          <w:lang w:val="sv-SE"/>
        </w:rPr>
        <w:t xml:space="preserve">för att motverka hivsmitta </w:t>
      </w:r>
      <w:r w:rsidRPr="00D166F5">
        <w:rPr>
          <w:lang w:val="sv-SE"/>
        </w:rPr>
        <w:t xml:space="preserve">bland </w:t>
      </w:r>
      <w:r w:rsidR="00A72C47">
        <w:rPr>
          <w:lang w:val="sv-SE"/>
        </w:rPr>
        <w:t>sprutmissbrukare genom bl.a. ökade insatser när det gäller prevention</w:t>
      </w:r>
      <w:r w:rsidRPr="00D166F5">
        <w:rPr>
          <w:lang w:val="sv-SE"/>
        </w:rPr>
        <w:t>, behandling och minskning</w:t>
      </w:r>
      <w:r w:rsidR="00A72C47">
        <w:rPr>
          <w:lang w:val="sv-SE"/>
        </w:rPr>
        <w:t xml:space="preserve"> av skadeverkningar</w:t>
      </w:r>
      <w:r w:rsidRPr="00D166F5">
        <w:rPr>
          <w:lang w:val="sv-SE"/>
        </w:rPr>
        <w:t xml:space="preserve">. De senaste </w:t>
      </w:r>
      <w:r w:rsidR="00704AE8">
        <w:rPr>
          <w:lang w:val="sv-SE"/>
        </w:rPr>
        <w:t>fynden</w:t>
      </w:r>
      <w:r w:rsidR="00704AE8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visar emellertid att utvecklingen i några länder </w:t>
      </w:r>
      <w:r w:rsidR="00A72C47">
        <w:rPr>
          <w:lang w:val="sv-SE"/>
        </w:rPr>
        <w:t>har ett</w:t>
      </w:r>
      <w:r w:rsidR="00A72C47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negativt </w:t>
      </w:r>
      <w:r w:rsidR="00A72C47">
        <w:rPr>
          <w:lang w:val="sv-SE"/>
        </w:rPr>
        <w:t xml:space="preserve">inflytande </w:t>
      </w:r>
      <w:r w:rsidRPr="00D166F5">
        <w:rPr>
          <w:lang w:val="sv-SE"/>
        </w:rPr>
        <w:t>på den långsiktiga minskningen av antalet nya hiv</w:t>
      </w:r>
      <w:r w:rsidR="00A72C47">
        <w:rPr>
          <w:lang w:val="sv-SE"/>
        </w:rPr>
        <w:t xml:space="preserve">fall </w:t>
      </w:r>
      <w:r w:rsidRPr="00D166F5">
        <w:rPr>
          <w:lang w:val="sv-SE"/>
        </w:rPr>
        <w:t xml:space="preserve">i Europa. </w:t>
      </w:r>
      <w:r w:rsidR="00A72C47">
        <w:rPr>
          <w:lang w:val="sv-SE"/>
        </w:rPr>
        <w:t xml:space="preserve">I rapporten sägs att </w:t>
      </w:r>
      <w:r w:rsidRPr="00D166F5">
        <w:rPr>
          <w:color w:val="auto"/>
          <w:lang w:val="sv-SE"/>
        </w:rPr>
        <w:t>”</w:t>
      </w:r>
      <w:r w:rsidR="00A72C47">
        <w:rPr>
          <w:color w:val="auto"/>
          <w:lang w:val="sv-SE"/>
        </w:rPr>
        <w:t>u</w:t>
      </w:r>
      <w:r w:rsidRPr="00D166F5">
        <w:rPr>
          <w:color w:val="auto"/>
          <w:lang w:val="sv-SE"/>
        </w:rPr>
        <w:t xml:space="preserve">tbrott av hiv bland narkotikamissbrukare i </w:t>
      </w:r>
      <w:r w:rsidRPr="00D166F5">
        <w:rPr>
          <w:b/>
          <w:color w:val="auto"/>
          <w:lang w:val="sv-SE"/>
        </w:rPr>
        <w:t>Grekland</w:t>
      </w:r>
      <w:r w:rsidRPr="00D166F5">
        <w:rPr>
          <w:color w:val="auto"/>
          <w:lang w:val="sv-SE"/>
        </w:rPr>
        <w:t xml:space="preserve"> och </w:t>
      </w:r>
      <w:r w:rsidRPr="00D166F5">
        <w:rPr>
          <w:b/>
          <w:color w:val="auto"/>
          <w:lang w:val="sv-SE"/>
        </w:rPr>
        <w:t>Rumänien</w:t>
      </w:r>
      <w:r w:rsidRPr="00D166F5">
        <w:rPr>
          <w:color w:val="auto"/>
          <w:lang w:val="sv-SE"/>
        </w:rPr>
        <w:t xml:space="preserve"> och de fortsatta problemen i vissa </w:t>
      </w:r>
      <w:r w:rsidRPr="00D166F5">
        <w:rPr>
          <w:b/>
          <w:color w:val="auto"/>
          <w:lang w:val="sv-SE"/>
        </w:rPr>
        <w:t>baltiska länder</w:t>
      </w:r>
      <w:r w:rsidRPr="00D166F5">
        <w:rPr>
          <w:color w:val="auto"/>
          <w:lang w:val="sv-SE"/>
        </w:rPr>
        <w:t xml:space="preserve"> har satt stopp för de europeiska framstegen med att minska antalet nya narkotikarelaterade infektioner”</w:t>
      </w:r>
      <w:r w:rsidRPr="00D166F5">
        <w:rPr>
          <w:lang w:val="sv-SE"/>
        </w:rPr>
        <w:t xml:space="preserve">. </w:t>
      </w:r>
    </w:p>
    <w:p w14:paraId="112E2A6A" w14:textId="4959FAF9" w:rsidR="00A224B3" w:rsidRPr="00D166F5" w:rsidRDefault="00A72C47" w:rsidP="000D4542">
      <w:pPr>
        <w:pStyle w:val="newsContent"/>
        <w:rPr>
          <w:lang w:val="sv-SE"/>
        </w:rPr>
      </w:pPr>
      <w:r>
        <w:rPr>
          <w:lang w:val="sv-SE"/>
        </w:rPr>
        <w:t xml:space="preserve">Antalet </w:t>
      </w:r>
      <w:r w:rsidR="00A224B3" w:rsidRPr="00D166F5">
        <w:rPr>
          <w:lang w:val="sv-SE"/>
        </w:rPr>
        <w:t>ny</w:t>
      </w:r>
      <w:r w:rsidR="0083341E">
        <w:rPr>
          <w:lang w:val="sv-SE"/>
        </w:rPr>
        <w:t>a hivfall som berodde på sprut</w:t>
      </w:r>
      <w:r w:rsidR="00A224B3" w:rsidRPr="00D166F5">
        <w:rPr>
          <w:lang w:val="sv-SE"/>
        </w:rPr>
        <w:t xml:space="preserve">missbruk </w:t>
      </w:r>
      <w:r w:rsidR="0083341E">
        <w:rPr>
          <w:lang w:val="sv-SE"/>
        </w:rPr>
        <w:t xml:space="preserve">uppgick till i genomsnitt </w:t>
      </w:r>
      <w:r w:rsidR="00A224B3" w:rsidRPr="00D166F5">
        <w:rPr>
          <w:lang w:val="sv-SE"/>
        </w:rPr>
        <w:t xml:space="preserve">3,1 per </w:t>
      </w:r>
      <w:r w:rsidR="0083341E">
        <w:rPr>
          <w:lang w:val="sv-SE"/>
        </w:rPr>
        <w:t xml:space="preserve">1 </w:t>
      </w:r>
      <w:r w:rsidR="00A224B3" w:rsidRPr="00D166F5">
        <w:rPr>
          <w:lang w:val="sv-SE"/>
        </w:rPr>
        <w:t xml:space="preserve">miljon invånare år 2012. </w:t>
      </w:r>
      <w:r w:rsidR="00CA77AB">
        <w:rPr>
          <w:lang w:val="sv-SE"/>
        </w:rPr>
        <w:t xml:space="preserve"> </w:t>
      </w:r>
      <w:r w:rsidR="00A224B3" w:rsidRPr="00D166F5">
        <w:rPr>
          <w:lang w:val="sv-SE"/>
        </w:rPr>
        <w:t xml:space="preserve">I </w:t>
      </w:r>
      <w:r w:rsidR="00A224B3" w:rsidRPr="00D166F5">
        <w:rPr>
          <w:b/>
          <w:lang w:val="sv-SE"/>
        </w:rPr>
        <w:t>Estland</w:t>
      </w:r>
      <w:r w:rsidR="00A224B3" w:rsidRPr="00D166F5">
        <w:rPr>
          <w:lang w:val="sv-SE"/>
        </w:rPr>
        <w:t xml:space="preserve"> är </w:t>
      </w:r>
      <w:r w:rsidR="0083341E">
        <w:rPr>
          <w:lang w:val="sv-SE"/>
        </w:rPr>
        <w:t xml:space="preserve">antalet nya hivfall </w:t>
      </w:r>
      <w:r w:rsidR="00A224B3" w:rsidRPr="00D166F5">
        <w:rPr>
          <w:lang w:val="sv-SE"/>
        </w:rPr>
        <w:t>fortsatt hög</w:t>
      </w:r>
      <w:r w:rsidR="0083341E">
        <w:rPr>
          <w:lang w:val="sv-SE"/>
        </w:rPr>
        <w:t>t</w:t>
      </w:r>
      <w:r w:rsidR="00A224B3" w:rsidRPr="00D166F5">
        <w:rPr>
          <w:lang w:val="sv-SE"/>
        </w:rPr>
        <w:t xml:space="preserve"> (53,7 fall per </w:t>
      </w:r>
      <w:r w:rsidR="0083341E">
        <w:rPr>
          <w:lang w:val="sv-SE"/>
        </w:rPr>
        <w:t xml:space="preserve">1 </w:t>
      </w:r>
      <w:r w:rsidR="00A224B3" w:rsidRPr="00D166F5">
        <w:rPr>
          <w:lang w:val="sv-SE"/>
        </w:rPr>
        <w:t xml:space="preserve">miljon år 2012), medan </w:t>
      </w:r>
      <w:r w:rsidR="0083341E">
        <w:rPr>
          <w:lang w:val="sv-SE"/>
        </w:rPr>
        <w:t xml:space="preserve">det </w:t>
      </w:r>
      <w:r w:rsidR="00A224B3" w:rsidRPr="00D166F5">
        <w:rPr>
          <w:lang w:val="sv-SE"/>
        </w:rPr>
        <w:t xml:space="preserve">i </w:t>
      </w:r>
      <w:r w:rsidR="00A224B3" w:rsidRPr="00D166F5">
        <w:rPr>
          <w:b/>
          <w:lang w:val="sv-SE"/>
        </w:rPr>
        <w:t>Lettland</w:t>
      </w:r>
      <w:r w:rsidR="00A224B3" w:rsidRPr="00D166F5">
        <w:rPr>
          <w:lang w:val="sv-SE"/>
        </w:rPr>
        <w:t xml:space="preserve"> har </w:t>
      </w:r>
      <w:r w:rsidR="0083341E">
        <w:rPr>
          <w:lang w:val="sv-SE"/>
        </w:rPr>
        <w:t xml:space="preserve">ökat </w:t>
      </w:r>
      <w:r w:rsidR="00A224B3" w:rsidRPr="00D166F5">
        <w:rPr>
          <w:lang w:val="sv-SE"/>
        </w:rPr>
        <w:t xml:space="preserve">sedan 2009 (från 34,5 fall per </w:t>
      </w:r>
      <w:r w:rsidR="0083341E">
        <w:rPr>
          <w:lang w:val="sv-SE"/>
        </w:rPr>
        <w:t xml:space="preserve">1 </w:t>
      </w:r>
      <w:r w:rsidR="00A224B3" w:rsidRPr="00D166F5">
        <w:rPr>
          <w:lang w:val="sv-SE"/>
        </w:rPr>
        <w:t xml:space="preserve">miljon 2009 till 46,0 år 2012). </w:t>
      </w:r>
      <w:r w:rsidR="0083341E">
        <w:rPr>
          <w:lang w:val="sv-SE"/>
        </w:rPr>
        <w:t xml:space="preserve">Under </w:t>
      </w:r>
      <w:r w:rsidR="00A224B3" w:rsidRPr="00D166F5">
        <w:rPr>
          <w:lang w:val="sv-SE"/>
        </w:rPr>
        <w:t>2012 rapporterades 1 788 nya hivfall</w:t>
      </w:r>
      <w:r w:rsidR="000E49A5">
        <w:rPr>
          <w:lang w:val="sv-SE"/>
        </w:rPr>
        <w:t xml:space="preserve"> i Europa</w:t>
      </w:r>
      <w:r w:rsidR="00A224B3" w:rsidRPr="00D166F5">
        <w:rPr>
          <w:lang w:val="sv-SE"/>
        </w:rPr>
        <w:t xml:space="preserve">, </w:t>
      </w:r>
      <w:r w:rsidR="0083341E">
        <w:rPr>
          <w:lang w:val="sv-SE"/>
        </w:rPr>
        <w:t xml:space="preserve">vilket var </w:t>
      </w:r>
      <w:r w:rsidR="00A224B3" w:rsidRPr="00D166F5">
        <w:rPr>
          <w:lang w:val="sv-SE"/>
        </w:rPr>
        <w:t xml:space="preserve">något </w:t>
      </w:r>
      <w:r w:rsidR="0083341E">
        <w:rPr>
          <w:lang w:val="sv-SE"/>
        </w:rPr>
        <w:t xml:space="preserve">mer </w:t>
      </w:r>
      <w:r w:rsidR="00A224B3" w:rsidRPr="00D166F5">
        <w:rPr>
          <w:lang w:val="sv-SE"/>
        </w:rPr>
        <w:t>än 2011 (1 732)</w:t>
      </w:r>
      <w:r w:rsidR="0083341E">
        <w:rPr>
          <w:lang w:val="sv-SE"/>
        </w:rPr>
        <w:t xml:space="preserve"> och innebar en fortsättning på </w:t>
      </w:r>
      <w:r w:rsidR="00A224B3" w:rsidRPr="00D166F5">
        <w:rPr>
          <w:lang w:val="sv-SE"/>
        </w:rPr>
        <w:t xml:space="preserve">den </w:t>
      </w:r>
      <w:r w:rsidR="0083341E">
        <w:rPr>
          <w:lang w:val="sv-SE"/>
        </w:rPr>
        <w:t xml:space="preserve">stigande </w:t>
      </w:r>
      <w:r w:rsidR="00A224B3" w:rsidRPr="00D166F5">
        <w:rPr>
          <w:lang w:val="sv-SE"/>
        </w:rPr>
        <w:t xml:space="preserve">trend som har </w:t>
      </w:r>
      <w:bookmarkStart w:id="0" w:name="_GoBack"/>
      <w:bookmarkEnd w:id="0"/>
      <w:r w:rsidR="00A224B3" w:rsidRPr="00D166F5">
        <w:rPr>
          <w:lang w:val="sv-SE"/>
        </w:rPr>
        <w:t xml:space="preserve">iakttagits sedan 2010 (figur 2.11). </w:t>
      </w:r>
      <w:r w:rsidR="00D27270">
        <w:rPr>
          <w:lang w:val="sv-SE"/>
        </w:rPr>
        <w:t xml:space="preserve">År 2010 stod </w:t>
      </w:r>
      <w:r w:rsidR="00A224B3" w:rsidRPr="00D166F5">
        <w:rPr>
          <w:b/>
          <w:lang w:val="sv-SE"/>
        </w:rPr>
        <w:t>Grekland</w:t>
      </w:r>
      <w:r w:rsidR="00A224B3" w:rsidRPr="00D166F5">
        <w:rPr>
          <w:lang w:val="sv-SE"/>
        </w:rPr>
        <w:t xml:space="preserve"> och </w:t>
      </w:r>
      <w:r w:rsidR="00A224B3" w:rsidRPr="00D166F5">
        <w:rPr>
          <w:b/>
          <w:lang w:val="sv-SE"/>
        </w:rPr>
        <w:t xml:space="preserve">Rumänien </w:t>
      </w:r>
      <w:r w:rsidR="00D27270">
        <w:rPr>
          <w:lang w:val="sv-SE"/>
        </w:rPr>
        <w:t xml:space="preserve">för </w:t>
      </w:r>
      <w:r w:rsidR="00A224B3" w:rsidRPr="00D166F5">
        <w:rPr>
          <w:lang w:val="sv-SE"/>
        </w:rPr>
        <w:t xml:space="preserve">strax över 2 % </w:t>
      </w:r>
      <w:r w:rsidR="00D27270">
        <w:rPr>
          <w:lang w:val="sv-SE"/>
        </w:rPr>
        <w:t xml:space="preserve">av </w:t>
      </w:r>
      <w:r w:rsidR="00A224B3" w:rsidRPr="00D166F5">
        <w:rPr>
          <w:lang w:val="sv-SE"/>
        </w:rPr>
        <w:t xml:space="preserve">det </w:t>
      </w:r>
      <w:r w:rsidR="0083341E">
        <w:rPr>
          <w:lang w:val="sv-SE"/>
        </w:rPr>
        <w:t xml:space="preserve">totala </w:t>
      </w:r>
      <w:r w:rsidR="00A224B3" w:rsidRPr="00D166F5">
        <w:rPr>
          <w:lang w:val="sv-SE"/>
        </w:rPr>
        <w:t xml:space="preserve">antalet </w:t>
      </w:r>
      <w:r w:rsidR="0083341E">
        <w:rPr>
          <w:lang w:val="sv-SE"/>
        </w:rPr>
        <w:t>nya hivfall till följd av sprut</w:t>
      </w:r>
      <w:r w:rsidR="00A224B3" w:rsidRPr="00D166F5">
        <w:rPr>
          <w:lang w:val="sv-SE"/>
        </w:rPr>
        <w:t>missbruk i EU</w:t>
      </w:r>
      <w:r w:rsidR="00D27270">
        <w:rPr>
          <w:lang w:val="sv-SE"/>
        </w:rPr>
        <w:t xml:space="preserve">. År 2012 </w:t>
      </w:r>
      <w:r w:rsidR="00A224B3" w:rsidRPr="00D166F5">
        <w:rPr>
          <w:lang w:val="sv-SE"/>
        </w:rPr>
        <w:t>hade denna siffra ökat till omkring 37 % (</w:t>
      </w:r>
      <w:r w:rsidR="00A224B3" w:rsidRPr="00D166F5">
        <w:rPr>
          <w:b/>
          <w:lang w:val="sv-SE"/>
        </w:rPr>
        <w:t>Grekland</w:t>
      </w:r>
      <w:r w:rsidR="00A224B3" w:rsidRPr="00D166F5">
        <w:rPr>
          <w:lang w:val="sv-SE"/>
        </w:rPr>
        <w:t xml:space="preserve"> rapporterade 42,9 fall per </w:t>
      </w:r>
      <w:r w:rsidR="0083341E">
        <w:rPr>
          <w:lang w:val="sv-SE"/>
        </w:rPr>
        <w:t xml:space="preserve">1 </w:t>
      </w:r>
      <w:r w:rsidR="00A224B3" w:rsidRPr="00D166F5">
        <w:rPr>
          <w:lang w:val="sv-SE"/>
        </w:rPr>
        <w:t xml:space="preserve">miljon invånare och </w:t>
      </w:r>
      <w:r w:rsidR="00A224B3" w:rsidRPr="00D166F5">
        <w:rPr>
          <w:b/>
          <w:lang w:val="sv-SE"/>
        </w:rPr>
        <w:t>Rumänien</w:t>
      </w:r>
      <w:r w:rsidR="00A224B3" w:rsidRPr="00D166F5">
        <w:rPr>
          <w:lang w:val="sv-SE"/>
        </w:rPr>
        <w:t xml:space="preserve"> 8,0 fall).</w:t>
      </w:r>
    </w:p>
    <w:p w14:paraId="331DDE81" w14:textId="522C4A36" w:rsidR="00A224B3" w:rsidRPr="00D166F5" w:rsidRDefault="00A224B3" w:rsidP="000D4542">
      <w:pPr>
        <w:pStyle w:val="newsContent"/>
        <w:rPr>
          <w:lang w:val="sv-SE"/>
        </w:rPr>
      </w:pPr>
      <w:r w:rsidRPr="00D166F5">
        <w:rPr>
          <w:lang w:val="sv-SE"/>
        </w:rPr>
        <w:t xml:space="preserve">Trots </w:t>
      </w:r>
      <w:r w:rsidR="0083341E">
        <w:rPr>
          <w:lang w:val="sv-SE"/>
        </w:rPr>
        <w:t xml:space="preserve">att </w:t>
      </w:r>
      <w:r w:rsidRPr="00D166F5">
        <w:rPr>
          <w:lang w:val="sv-SE"/>
        </w:rPr>
        <w:t>Europa</w:t>
      </w:r>
      <w:r w:rsidR="0083341E">
        <w:rPr>
          <w:lang w:val="sv-SE"/>
        </w:rPr>
        <w:t xml:space="preserve"> har varit</w:t>
      </w:r>
      <w:r w:rsidRPr="00D166F5">
        <w:rPr>
          <w:lang w:val="sv-SE"/>
        </w:rPr>
        <w:t xml:space="preserve"> framgång</w:t>
      </w:r>
      <w:r w:rsidR="0083341E">
        <w:rPr>
          <w:lang w:val="sv-SE"/>
        </w:rPr>
        <w:t xml:space="preserve">srikt när det gäller </w:t>
      </w:r>
      <w:r w:rsidRPr="00D166F5">
        <w:rPr>
          <w:lang w:val="sv-SE"/>
        </w:rPr>
        <w:t>att bekämpa spridning</w:t>
      </w:r>
      <w:r w:rsidR="0083341E">
        <w:rPr>
          <w:lang w:val="sv-SE"/>
        </w:rPr>
        <w:t>en</w:t>
      </w:r>
      <w:r w:rsidRPr="00D166F5">
        <w:rPr>
          <w:lang w:val="sv-SE"/>
        </w:rPr>
        <w:t xml:space="preserve"> av hiv bland narkotika</w:t>
      </w:r>
      <w:r w:rsidR="0072666D">
        <w:rPr>
          <w:lang w:val="sv-SE"/>
        </w:rPr>
        <w:t>användare</w:t>
      </w:r>
      <w:r w:rsidRPr="00D166F5">
        <w:rPr>
          <w:lang w:val="sv-SE"/>
        </w:rPr>
        <w:t xml:space="preserve"> har viruset fortfarande potential att spridas snabbt i vissa grupper. En riskbedömning som </w:t>
      </w:r>
      <w:r w:rsidRPr="00D166F5">
        <w:rPr>
          <w:b/>
          <w:lang w:val="sv-SE"/>
        </w:rPr>
        <w:t>EMCDDA</w:t>
      </w:r>
      <w:r w:rsidRPr="00D166F5">
        <w:rPr>
          <w:lang w:val="sv-SE"/>
        </w:rPr>
        <w:t xml:space="preserve"> och </w:t>
      </w:r>
      <w:r w:rsidRPr="00D166F5">
        <w:rPr>
          <w:b/>
          <w:lang w:val="sv-SE"/>
        </w:rPr>
        <w:t>ECDC</w:t>
      </w:r>
      <w:r w:rsidRPr="00D166F5">
        <w:rPr>
          <w:lang w:val="sv-SE"/>
        </w:rPr>
        <w:t xml:space="preserve"> </w:t>
      </w:r>
      <w:r w:rsidR="0083341E">
        <w:rPr>
          <w:lang w:val="sv-SE"/>
        </w:rPr>
        <w:t xml:space="preserve">gjorde 2013 beträffande </w:t>
      </w:r>
      <w:r w:rsidRPr="00D166F5">
        <w:rPr>
          <w:lang w:val="sv-SE"/>
        </w:rPr>
        <w:t xml:space="preserve">länder </w:t>
      </w:r>
      <w:r w:rsidR="0083341E">
        <w:rPr>
          <w:lang w:val="sv-SE"/>
        </w:rPr>
        <w:t xml:space="preserve">som är sårbara </w:t>
      </w:r>
      <w:r w:rsidRPr="00D166F5">
        <w:rPr>
          <w:lang w:val="sv-SE"/>
        </w:rPr>
        <w:t xml:space="preserve">för nya hivutbrott visade att en </w:t>
      </w:r>
      <w:r w:rsidRPr="00D166F5">
        <w:rPr>
          <w:lang w:val="sv-SE"/>
        </w:rPr>
        <w:lastRenderedPageBreak/>
        <w:t>eller flera riskindikatorer förelåg i omkring en tredjedel av de 30 länder som undersöktes</w:t>
      </w:r>
      <w:r w:rsidR="00B56442">
        <w:rPr>
          <w:lang w:val="sv-SE"/>
        </w:rPr>
        <w:t xml:space="preserve"> (</w:t>
      </w:r>
      <w:r w:rsidRPr="00D166F5">
        <w:rPr>
          <w:vertAlign w:val="superscript"/>
          <w:lang w:val="sv-SE"/>
        </w:rPr>
        <w:t>3</w:t>
      </w:r>
      <w:r w:rsidR="00B56442" w:rsidRPr="00B56442">
        <w:rPr>
          <w:lang w:val="sv-SE"/>
        </w:rPr>
        <w:t>)</w:t>
      </w:r>
      <w:r w:rsidRPr="00D166F5">
        <w:rPr>
          <w:lang w:val="sv-SE"/>
        </w:rPr>
        <w:t xml:space="preserve">. Detta tyder på att det behövs fortsatt vaksamhet och </w:t>
      </w:r>
      <w:r w:rsidR="00D27270">
        <w:rPr>
          <w:lang w:val="sv-SE"/>
        </w:rPr>
        <w:t>att</w:t>
      </w:r>
      <w:r w:rsidRPr="00D166F5">
        <w:rPr>
          <w:lang w:val="sv-SE"/>
        </w:rPr>
        <w:t xml:space="preserve"> </w:t>
      </w:r>
      <w:r w:rsidR="002D3295">
        <w:rPr>
          <w:lang w:val="sv-SE"/>
        </w:rPr>
        <w:t xml:space="preserve">det </w:t>
      </w:r>
      <w:r w:rsidRPr="00D166F5">
        <w:rPr>
          <w:lang w:val="sv-SE"/>
        </w:rPr>
        <w:t xml:space="preserve">hivförebyggande </w:t>
      </w:r>
      <w:r w:rsidR="002D3295">
        <w:rPr>
          <w:lang w:val="sv-SE"/>
        </w:rPr>
        <w:t xml:space="preserve">arbetet </w:t>
      </w:r>
      <w:r w:rsidR="00D27270">
        <w:rPr>
          <w:lang w:val="sv-SE"/>
        </w:rPr>
        <w:t xml:space="preserve">måste utökas </w:t>
      </w:r>
      <w:r w:rsidRPr="00D166F5">
        <w:rPr>
          <w:lang w:val="sv-SE"/>
        </w:rPr>
        <w:t>(figur 3.5).</w:t>
      </w:r>
    </w:p>
    <w:p w14:paraId="1BEDC4F8" w14:textId="77777777" w:rsidR="00A224B3" w:rsidRPr="00E87301" w:rsidRDefault="00A224B3" w:rsidP="000D4542">
      <w:pPr>
        <w:pStyle w:val="newsContent"/>
        <w:rPr>
          <w:b/>
          <w:lang w:val="sv-SE"/>
        </w:rPr>
      </w:pPr>
      <w:r w:rsidRPr="00E87301">
        <w:rPr>
          <w:b/>
          <w:lang w:val="sv-SE"/>
        </w:rPr>
        <w:t>Stimulerande medel: kokain</w:t>
      </w:r>
      <w:r w:rsidR="002D3295" w:rsidRPr="00E87301">
        <w:rPr>
          <w:b/>
          <w:lang w:val="sv-SE"/>
        </w:rPr>
        <w:t>missbruket</w:t>
      </w:r>
      <w:r w:rsidRPr="00E87301">
        <w:rPr>
          <w:b/>
          <w:lang w:val="sv-SE"/>
        </w:rPr>
        <w:t xml:space="preserve"> stabilt eller på nedgång, men metamfetamin och MDMA</w:t>
      </w:r>
      <w:r w:rsidR="002D3295" w:rsidRPr="00E87301">
        <w:rPr>
          <w:b/>
          <w:lang w:val="sv-SE"/>
        </w:rPr>
        <w:t xml:space="preserve"> oroar</w:t>
      </w:r>
    </w:p>
    <w:p w14:paraId="0BAA2A39" w14:textId="7B85E578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lang w:val="sv-SE"/>
        </w:rPr>
        <w:t xml:space="preserve">Kokain är fortfarande den vanligaste </w:t>
      </w:r>
      <w:r w:rsidR="00D27270">
        <w:rPr>
          <w:lang w:val="sv-SE"/>
        </w:rPr>
        <w:t>illegal</w:t>
      </w:r>
      <w:r w:rsidRPr="00D166F5">
        <w:rPr>
          <w:lang w:val="sv-SE"/>
        </w:rPr>
        <w:t xml:space="preserve">a stimulerande drogen i Europa, även om användarna </w:t>
      </w:r>
      <w:r w:rsidR="002D3295">
        <w:rPr>
          <w:lang w:val="sv-SE"/>
        </w:rPr>
        <w:t xml:space="preserve">i första hand </w:t>
      </w:r>
      <w:r w:rsidRPr="00D166F5">
        <w:rPr>
          <w:lang w:val="sv-SE"/>
        </w:rPr>
        <w:t xml:space="preserve">finns i ett </w:t>
      </w:r>
      <w:r w:rsidR="002D3295">
        <w:rPr>
          <w:lang w:val="sv-SE"/>
        </w:rPr>
        <w:t xml:space="preserve">fåtal västeuropeiska </w:t>
      </w:r>
      <w:r w:rsidRPr="00D166F5">
        <w:rPr>
          <w:lang w:val="sv-SE"/>
        </w:rPr>
        <w:t xml:space="preserve">länder. </w:t>
      </w:r>
      <w:r w:rsidR="002D3295">
        <w:rPr>
          <w:lang w:val="sv-SE"/>
        </w:rPr>
        <w:t xml:space="preserve">Omkring </w:t>
      </w:r>
      <w:r w:rsidRPr="00D166F5">
        <w:rPr>
          <w:lang w:val="sv-SE"/>
        </w:rPr>
        <w:t xml:space="preserve">14,1 miljoner vuxna i Europa (15–64 år) </w:t>
      </w:r>
      <w:r w:rsidR="002D3295">
        <w:rPr>
          <w:lang w:val="sv-SE"/>
        </w:rPr>
        <w:t xml:space="preserve">tros ha </w:t>
      </w:r>
      <w:r w:rsidR="00601252">
        <w:rPr>
          <w:lang w:val="sv-SE"/>
        </w:rPr>
        <w:t>testat</w:t>
      </w:r>
      <w:r w:rsidR="002D3295">
        <w:rPr>
          <w:lang w:val="sv-SE"/>
        </w:rPr>
        <w:t xml:space="preserve"> denna </w:t>
      </w:r>
      <w:r w:rsidRPr="00D166F5">
        <w:rPr>
          <w:lang w:val="sv-SE"/>
        </w:rPr>
        <w:t>drog</w:t>
      </w:r>
      <w:r w:rsidR="0072666D">
        <w:rPr>
          <w:lang w:val="sv-SE"/>
        </w:rPr>
        <w:t xml:space="preserve"> någon gång i livet</w:t>
      </w:r>
      <w:r w:rsidR="002D3295">
        <w:rPr>
          <w:lang w:val="sv-SE"/>
        </w:rPr>
        <w:t xml:space="preserve">, varav </w:t>
      </w:r>
      <w:r w:rsidRPr="00D166F5">
        <w:rPr>
          <w:lang w:val="sv-SE"/>
        </w:rPr>
        <w:t>3,1 miljoner under det senaste året (se tabellen ”I korthet”). Färsk</w:t>
      </w:r>
      <w:r w:rsidR="002D3295">
        <w:rPr>
          <w:lang w:val="sv-SE"/>
        </w:rPr>
        <w:t xml:space="preserve"> statistik </w:t>
      </w:r>
      <w:r w:rsidRPr="00D166F5">
        <w:rPr>
          <w:lang w:val="sv-SE"/>
        </w:rPr>
        <w:t xml:space="preserve">tyder på </w:t>
      </w:r>
      <w:r w:rsidR="002D3295">
        <w:rPr>
          <w:lang w:val="sv-SE"/>
        </w:rPr>
        <w:t xml:space="preserve">att </w:t>
      </w:r>
      <w:r w:rsidRPr="00D166F5">
        <w:rPr>
          <w:lang w:val="sv-SE"/>
        </w:rPr>
        <w:t>användning</w:t>
      </w:r>
      <w:r w:rsidR="002D3295">
        <w:rPr>
          <w:lang w:val="sv-SE"/>
        </w:rPr>
        <w:t>en</w:t>
      </w:r>
      <w:r w:rsidRPr="00D166F5">
        <w:rPr>
          <w:lang w:val="sv-SE"/>
        </w:rPr>
        <w:t xml:space="preserve"> av kokain</w:t>
      </w:r>
      <w:r w:rsidR="002D3295">
        <w:rPr>
          <w:lang w:val="sv-SE"/>
        </w:rPr>
        <w:t xml:space="preserve"> minskar –</w:t>
      </w:r>
      <w:r w:rsidRPr="00D166F5">
        <w:rPr>
          <w:lang w:val="sv-SE"/>
        </w:rPr>
        <w:t xml:space="preserve"> 11 av 12 länder som </w:t>
      </w:r>
      <w:r w:rsidR="002D3295">
        <w:rPr>
          <w:lang w:val="sv-SE"/>
        </w:rPr>
        <w:t xml:space="preserve">genomförde </w:t>
      </w:r>
      <w:r w:rsidRPr="00D166F5">
        <w:rPr>
          <w:lang w:val="sv-SE"/>
        </w:rPr>
        <w:t xml:space="preserve">undersökningar </w:t>
      </w:r>
      <w:r w:rsidR="002D3295">
        <w:rPr>
          <w:lang w:val="sv-SE"/>
        </w:rPr>
        <w:t xml:space="preserve">under åren </w:t>
      </w:r>
      <w:r w:rsidRPr="00D166F5">
        <w:rPr>
          <w:lang w:val="sv-SE"/>
        </w:rPr>
        <w:t>2011</w:t>
      </w:r>
      <w:r w:rsidR="002D3295">
        <w:rPr>
          <w:lang w:val="sv-SE"/>
        </w:rPr>
        <w:t>–</w:t>
      </w:r>
      <w:r w:rsidRPr="00D166F5">
        <w:rPr>
          <w:lang w:val="sv-SE"/>
        </w:rPr>
        <w:t xml:space="preserve">2013 rapporterar </w:t>
      </w:r>
      <w:r w:rsidR="002D3295">
        <w:rPr>
          <w:lang w:val="sv-SE"/>
        </w:rPr>
        <w:t xml:space="preserve">en </w:t>
      </w:r>
      <w:r w:rsidRPr="00D166F5">
        <w:rPr>
          <w:lang w:val="sv-SE"/>
        </w:rPr>
        <w:t xml:space="preserve">minskad </w:t>
      </w:r>
      <w:r w:rsidR="002D3295">
        <w:rPr>
          <w:lang w:val="sv-SE"/>
        </w:rPr>
        <w:t xml:space="preserve">prevalens </w:t>
      </w:r>
      <w:r w:rsidRPr="00D166F5">
        <w:rPr>
          <w:lang w:val="sv-SE"/>
        </w:rPr>
        <w:t xml:space="preserve">bland </w:t>
      </w:r>
      <w:r w:rsidR="002D3295">
        <w:rPr>
          <w:lang w:val="sv-SE"/>
        </w:rPr>
        <w:t xml:space="preserve">unga </w:t>
      </w:r>
      <w:r w:rsidRPr="00D166F5">
        <w:rPr>
          <w:lang w:val="sv-SE"/>
        </w:rPr>
        <w:t xml:space="preserve">vuxna (15–34 år). </w:t>
      </w:r>
      <w:r w:rsidR="002D3295">
        <w:rPr>
          <w:lang w:val="sv-SE"/>
        </w:rPr>
        <w:t xml:space="preserve">När det gäller </w:t>
      </w:r>
      <w:r w:rsidRPr="00D166F5">
        <w:rPr>
          <w:lang w:val="sv-SE"/>
        </w:rPr>
        <w:t xml:space="preserve">de långsiktiga trenderna för kokainanvändningen konstaterades minskningar i </w:t>
      </w:r>
      <w:r w:rsidRPr="00D166F5">
        <w:rPr>
          <w:b/>
          <w:lang w:val="sv-SE"/>
        </w:rPr>
        <w:t>Danmark</w:t>
      </w:r>
      <w:r w:rsidRPr="00D166F5">
        <w:rPr>
          <w:lang w:val="sv-SE"/>
        </w:rPr>
        <w:t xml:space="preserve">, </w:t>
      </w:r>
      <w:r w:rsidRPr="00D166F5">
        <w:rPr>
          <w:b/>
          <w:lang w:val="sv-SE"/>
        </w:rPr>
        <w:t>Spanien</w:t>
      </w:r>
      <w:r w:rsidRPr="00D166F5">
        <w:rPr>
          <w:lang w:val="sv-SE"/>
        </w:rPr>
        <w:t xml:space="preserve"> och </w:t>
      </w:r>
      <w:r w:rsidRPr="00D166F5">
        <w:rPr>
          <w:b/>
          <w:lang w:val="sv-SE"/>
        </w:rPr>
        <w:t>Storbritannien</w:t>
      </w:r>
      <w:r w:rsidRPr="00D166F5">
        <w:rPr>
          <w:lang w:val="sv-SE"/>
        </w:rPr>
        <w:t xml:space="preserve"> (</w:t>
      </w:r>
      <w:r w:rsidR="002D3295">
        <w:rPr>
          <w:lang w:val="sv-SE"/>
        </w:rPr>
        <w:t xml:space="preserve">som </w:t>
      </w:r>
      <w:r w:rsidRPr="00D166F5">
        <w:rPr>
          <w:lang w:val="sv-SE"/>
        </w:rPr>
        <w:t xml:space="preserve">alla rapporterar en relativt hög </w:t>
      </w:r>
      <w:r w:rsidR="002D3295">
        <w:rPr>
          <w:lang w:val="sv-SE"/>
        </w:rPr>
        <w:t>prevalens</w:t>
      </w:r>
      <w:r w:rsidRPr="00D166F5">
        <w:rPr>
          <w:lang w:val="sv-SE"/>
        </w:rPr>
        <w:t xml:space="preserve">), efter en topp 2008 (figur 2.5). </w:t>
      </w:r>
      <w:r w:rsidR="002D3295">
        <w:rPr>
          <w:lang w:val="sv-SE"/>
        </w:rPr>
        <w:t>I d</w:t>
      </w:r>
      <w:r w:rsidR="002D3295" w:rsidRPr="00D166F5">
        <w:rPr>
          <w:lang w:val="sv-SE"/>
        </w:rPr>
        <w:t xml:space="preserve">e </w:t>
      </w:r>
      <w:r w:rsidRPr="00D166F5">
        <w:rPr>
          <w:lang w:val="sv-SE"/>
        </w:rPr>
        <w:t xml:space="preserve">flesta länder </w:t>
      </w:r>
      <w:r w:rsidR="002D3295">
        <w:rPr>
          <w:lang w:val="sv-SE"/>
        </w:rPr>
        <w:t>är</w:t>
      </w:r>
      <w:r w:rsidRPr="00D166F5">
        <w:rPr>
          <w:lang w:val="sv-SE"/>
        </w:rPr>
        <w:t xml:space="preserve"> trende</w:t>
      </w:r>
      <w:r w:rsidR="002D3295">
        <w:rPr>
          <w:lang w:val="sv-SE"/>
        </w:rPr>
        <w:t>n stabil eller nedåtgående</w:t>
      </w:r>
      <w:r w:rsidRPr="00D166F5">
        <w:rPr>
          <w:lang w:val="sv-SE"/>
        </w:rPr>
        <w:t xml:space="preserve">. </w:t>
      </w:r>
    </w:p>
    <w:p w14:paraId="1A22952A" w14:textId="0827D7BB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lang w:val="sv-SE"/>
        </w:rPr>
        <w:t>Användningen av amfetamin</w:t>
      </w:r>
      <w:r w:rsidR="0025293C">
        <w:rPr>
          <w:lang w:val="sv-SE"/>
        </w:rPr>
        <w:t>er</w:t>
      </w:r>
      <w:r w:rsidRPr="00D166F5">
        <w:rPr>
          <w:lang w:val="sv-SE"/>
        </w:rPr>
        <w:t xml:space="preserve"> (</w:t>
      </w:r>
      <w:r w:rsidR="0072666D">
        <w:rPr>
          <w:lang w:val="sv-SE"/>
        </w:rPr>
        <w:t>omfattande</w:t>
      </w:r>
      <w:r w:rsidR="0025293C">
        <w:rPr>
          <w:lang w:val="sv-SE"/>
        </w:rPr>
        <w:t xml:space="preserve"> </w:t>
      </w:r>
      <w:r w:rsidRPr="00D166F5">
        <w:rPr>
          <w:lang w:val="sv-SE"/>
        </w:rPr>
        <w:t xml:space="preserve">amfetamin och metamfetamin) är </w:t>
      </w:r>
      <w:r w:rsidR="0025293C">
        <w:rPr>
          <w:lang w:val="sv-SE"/>
        </w:rPr>
        <w:t xml:space="preserve">totalt sett mindre </w:t>
      </w:r>
      <w:r w:rsidRPr="00D166F5">
        <w:rPr>
          <w:lang w:val="sv-SE"/>
        </w:rPr>
        <w:t>än kokainanvändningen i Europa</w:t>
      </w:r>
      <w:r w:rsidR="0025293C">
        <w:rPr>
          <w:lang w:val="sv-SE"/>
        </w:rPr>
        <w:t>. O</w:t>
      </w:r>
      <w:r w:rsidRPr="00D166F5">
        <w:rPr>
          <w:lang w:val="sv-SE"/>
        </w:rPr>
        <w:t xml:space="preserve">mkring 11,4 miljoner vuxna </w:t>
      </w:r>
      <w:r w:rsidR="0025293C">
        <w:rPr>
          <w:lang w:val="sv-SE"/>
        </w:rPr>
        <w:t xml:space="preserve">uppger att de har använt amfetaminer någon gång </w:t>
      </w:r>
      <w:r w:rsidRPr="00D166F5">
        <w:rPr>
          <w:lang w:val="sv-SE"/>
        </w:rPr>
        <w:t xml:space="preserve">och 1,5 miljoner </w:t>
      </w:r>
      <w:r w:rsidR="0025293C">
        <w:rPr>
          <w:lang w:val="sv-SE"/>
        </w:rPr>
        <w:t>att de har gjort det under de senaste tolv månaderna</w:t>
      </w:r>
      <w:r w:rsidRPr="00D166F5">
        <w:rPr>
          <w:lang w:val="sv-SE"/>
        </w:rPr>
        <w:t xml:space="preserve">. </w:t>
      </w:r>
      <w:r>
        <w:rPr>
          <w:lang w:val="sv-SE"/>
        </w:rPr>
        <w:t>Am</w:t>
      </w:r>
      <w:r w:rsidRPr="00D166F5">
        <w:rPr>
          <w:lang w:val="sv-SE"/>
        </w:rPr>
        <w:t xml:space="preserve">fetamin </w:t>
      </w:r>
      <w:r w:rsidR="0025293C">
        <w:rPr>
          <w:lang w:val="sv-SE"/>
        </w:rPr>
        <w:t xml:space="preserve">är </w:t>
      </w:r>
      <w:r w:rsidRPr="00D166F5">
        <w:rPr>
          <w:lang w:val="sv-SE"/>
        </w:rPr>
        <w:t>den vanligare</w:t>
      </w:r>
      <w:r w:rsidR="0025293C">
        <w:rPr>
          <w:lang w:val="sv-SE"/>
        </w:rPr>
        <w:t xml:space="preserve"> av dessa två droger</w:t>
      </w:r>
      <w:r w:rsidRPr="00D166F5">
        <w:rPr>
          <w:lang w:val="sv-SE"/>
        </w:rPr>
        <w:t xml:space="preserve">, men det finns </w:t>
      </w:r>
      <w:r w:rsidR="0025293C">
        <w:rPr>
          <w:lang w:val="sv-SE"/>
        </w:rPr>
        <w:t xml:space="preserve">en växande oro över utbudet </w:t>
      </w:r>
      <w:r w:rsidRPr="00D166F5">
        <w:rPr>
          <w:lang w:val="sv-SE"/>
        </w:rPr>
        <w:t xml:space="preserve">och användningen av metamfetamin i Europa. Dagens rapport </w:t>
      </w:r>
      <w:r w:rsidR="0025293C">
        <w:rPr>
          <w:lang w:val="sv-SE"/>
        </w:rPr>
        <w:t xml:space="preserve">visar att </w:t>
      </w:r>
      <w:r w:rsidRPr="00D166F5">
        <w:rPr>
          <w:lang w:val="sv-SE"/>
        </w:rPr>
        <w:t xml:space="preserve">beslagen av metamfetamin, även om de fortfarande är </w:t>
      </w:r>
      <w:r w:rsidR="0025293C">
        <w:rPr>
          <w:lang w:val="sv-SE"/>
        </w:rPr>
        <w:t>begränsade i fråga om antal och kvan</w:t>
      </w:r>
      <w:r w:rsidR="00DC56A8">
        <w:rPr>
          <w:lang w:val="sv-SE"/>
        </w:rPr>
        <w:t>t</w:t>
      </w:r>
      <w:r w:rsidR="0025293C">
        <w:rPr>
          <w:lang w:val="sv-SE"/>
        </w:rPr>
        <w:t>iteter</w:t>
      </w:r>
      <w:r w:rsidRPr="00D166F5">
        <w:rPr>
          <w:lang w:val="sv-SE"/>
        </w:rPr>
        <w:t xml:space="preserve">, har ökat under det senaste årtiondet, vilket tyder på </w:t>
      </w:r>
      <w:r w:rsidR="00DC56A8">
        <w:rPr>
          <w:lang w:val="sv-SE"/>
        </w:rPr>
        <w:t xml:space="preserve">att </w:t>
      </w:r>
      <w:r w:rsidRPr="00D166F5">
        <w:rPr>
          <w:lang w:val="sv-SE"/>
        </w:rPr>
        <w:t>tillgång</w:t>
      </w:r>
      <w:r w:rsidR="00DC56A8">
        <w:rPr>
          <w:lang w:val="sv-SE"/>
        </w:rPr>
        <w:t xml:space="preserve">en till </w:t>
      </w:r>
      <w:r w:rsidRPr="00D166F5">
        <w:rPr>
          <w:lang w:val="sv-SE"/>
        </w:rPr>
        <w:t xml:space="preserve">drogen </w:t>
      </w:r>
      <w:r w:rsidR="00DC56A8">
        <w:rPr>
          <w:lang w:val="sv-SE"/>
        </w:rPr>
        <w:t xml:space="preserve">har ökat </w:t>
      </w:r>
      <w:r w:rsidRPr="00D166F5">
        <w:rPr>
          <w:lang w:val="sv-SE"/>
        </w:rPr>
        <w:t xml:space="preserve">(figur 1.10). Under 2012 rapporterades i </w:t>
      </w:r>
      <w:r w:rsidRPr="00D166F5">
        <w:rPr>
          <w:b/>
          <w:lang w:val="sv-SE"/>
        </w:rPr>
        <w:t>EU</w:t>
      </w:r>
      <w:r w:rsidRPr="00D166F5">
        <w:rPr>
          <w:lang w:val="sv-SE"/>
        </w:rPr>
        <w:t xml:space="preserve"> 7 000 beslag </w:t>
      </w:r>
      <w:r w:rsidR="00D27270">
        <w:rPr>
          <w:lang w:val="sv-SE"/>
        </w:rPr>
        <w:t xml:space="preserve">av sammanlagt </w:t>
      </w:r>
      <w:r w:rsidR="00B56442">
        <w:rPr>
          <w:lang w:val="sv-SE"/>
        </w:rPr>
        <w:t>343 kg. Ytterligare 4 000 </w:t>
      </w:r>
      <w:r w:rsidRPr="00D166F5">
        <w:rPr>
          <w:lang w:val="sv-SE"/>
        </w:rPr>
        <w:t xml:space="preserve">beslag </w:t>
      </w:r>
      <w:r w:rsidR="00D27270">
        <w:rPr>
          <w:lang w:val="sv-SE"/>
        </w:rPr>
        <w:t xml:space="preserve">av </w:t>
      </w:r>
      <w:r w:rsidRPr="00D166F5">
        <w:rPr>
          <w:lang w:val="sv-SE"/>
        </w:rPr>
        <w:t xml:space="preserve">sammanlagt 637 kg rapporterades av </w:t>
      </w:r>
      <w:r w:rsidRPr="00D166F5">
        <w:rPr>
          <w:b/>
          <w:lang w:val="sv-SE"/>
        </w:rPr>
        <w:t>Turkiet</w:t>
      </w:r>
      <w:r w:rsidRPr="00D166F5">
        <w:rPr>
          <w:lang w:val="sv-SE"/>
        </w:rPr>
        <w:t xml:space="preserve"> och </w:t>
      </w:r>
      <w:r w:rsidRPr="00D166F5">
        <w:rPr>
          <w:b/>
          <w:lang w:val="sv-SE"/>
        </w:rPr>
        <w:t xml:space="preserve">Norge </w:t>
      </w:r>
      <w:r w:rsidRPr="00D166F5">
        <w:rPr>
          <w:lang w:val="sv-SE"/>
        </w:rPr>
        <w:t xml:space="preserve">(nästan dubbelt så mycket som i </w:t>
      </w:r>
      <w:r w:rsidRPr="00D166F5">
        <w:rPr>
          <w:b/>
          <w:lang w:val="sv-SE"/>
        </w:rPr>
        <w:t>EU</w:t>
      </w:r>
      <w:r w:rsidR="00D27270">
        <w:rPr>
          <w:b/>
          <w:lang w:val="sv-SE"/>
        </w:rPr>
        <w:t xml:space="preserve"> </w:t>
      </w:r>
      <w:r w:rsidR="00D27270">
        <w:rPr>
          <w:lang w:val="sv-SE"/>
        </w:rPr>
        <w:t>totalt</w:t>
      </w:r>
      <w:r w:rsidRPr="00D166F5">
        <w:rPr>
          <w:lang w:val="sv-SE"/>
        </w:rPr>
        <w:t>).</w:t>
      </w:r>
    </w:p>
    <w:p w14:paraId="3BC13889" w14:textId="36CF89FD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lang w:val="sv-SE"/>
        </w:rPr>
        <w:t>Metamfetamin</w:t>
      </w:r>
      <w:r w:rsidR="00296551">
        <w:rPr>
          <w:lang w:val="sv-SE"/>
        </w:rPr>
        <w:t>användning</w:t>
      </w:r>
      <w:r w:rsidRPr="00D166F5">
        <w:rPr>
          <w:lang w:val="sv-SE"/>
        </w:rPr>
        <w:t xml:space="preserve">, som historiskt sett </w:t>
      </w:r>
      <w:r w:rsidR="00DC56A8">
        <w:rPr>
          <w:lang w:val="sv-SE"/>
        </w:rPr>
        <w:t>varit</w:t>
      </w:r>
      <w:r w:rsidR="00DC56A8" w:rsidRPr="00D166F5">
        <w:rPr>
          <w:lang w:val="sv-SE"/>
        </w:rPr>
        <w:t xml:space="preserve"> </w:t>
      </w:r>
      <w:r w:rsidR="00DC56A8">
        <w:rPr>
          <w:lang w:val="sv-SE"/>
        </w:rPr>
        <w:t xml:space="preserve">begränsat </w:t>
      </w:r>
      <w:r w:rsidRPr="00D166F5">
        <w:rPr>
          <w:lang w:val="sv-SE"/>
        </w:rPr>
        <w:t xml:space="preserve">i Europa och </w:t>
      </w:r>
      <w:r w:rsidR="00DC56A8">
        <w:rPr>
          <w:lang w:val="sv-SE"/>
        </w:rPr>
        <w:t xml:space="preserve">främst </w:t>
      </w:r>
      <w:r w:rsidR="007327A4">
        <w:rPr>
          <w:lang w:val="sv-SE"/>
        </w:rPr>
        <w:t>koncentrerat till</w:t>
      </w:r>
      <w:r w:rsidR="00DC56A8">
        <w:rPr>
          <w:lang w:val="sv-SE"/>
        </w:rPr>
        <w:t xml:space="preserve"> </w:t>
      </w:r>
      <w:r w:rsidRPr="00D166F5">
        <w:rPr>
          <w:b/>
          <w:lang w:val="sv-SE"/>
        </w:rPr>
        <w:t>Tjeckien</w:t>
      </w:r>
      <w:r w:rsidRPr="00D166F5">
        <w:rPr>
          <w:lang w:val="sv-SE"/>
        </w:rPr>
        <w:t xml:space="preserve"> och </w:t>
      </w:r>
      <w:r w:rsidRPr="00D166F5">
        <w:rPr>
          <w:b/>
          <w:lang w:val="sv-SE"/>
        </w:rPr>
        <w:t>Slovakien</w:t>
      </w:r>
      <w:r w:rsidRPr="00D166F5">
        <w:rPr>
          <w:lang w:val="sv-SE"/>
        </w:rPr>
        <w:t xml:space="preserve">, verkar nu </w:t>
      </w:r>
      <w:r w:rsidR="00296551">
        <w:rPr>
          <w:lang w:val="sv-SE"/>
        </w:rPr>
        <w:t>spridas</w:t>
      </w:r>
      <w:r w:rsidR="00DC56A8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(t.ex. i </w:t>
      </w:r>
      <w:r w:rsidRPr="00D166F5">
        <w:rPr>
          <w:b/>
          <w:lang w:val="sv-SE"/>
        </w:rPr>
        <w:t>Tyskland</w:t>
      </w:r>
      <w:r w:rsidRPr="00D166F5">
        <w:rPr>
          <w:lang w:val="sv-SE"/>
        </w:rPr>
        <w:t>). Oroväckande rapporter kommer från sydöstra Europa (</w:t>
      </w:r>
      <w:r w:rsidRPr="00D166F5">
        <w:rPr>
          <w:b/>
          <w:lang w:val="sv-SE"/>
        </w:rPr>
        <w:t>Grekland</w:t>
      </w:r>
      <w:r w:rsidRPr="00D166F5">
        <w:rPr>
          <w:lang w:val="sv-SE"/>
        </w:rPr>
        <w:t xml:space="preserve">, </w:t>
      </w:r>
      <w:r w:rsidRPr="00D166F5">
        <w:rPr>
          <w:b/>
          <w:lang w:val="sv-SE"/>
        </w:rPr>
        <w:t>Cypern</w:t>
      </w:r>
      <w:r w:rsidRPr="00D166F5">
        <w:rPr>
          <w:lang w:val="sv-SE"/>
        </w:rPr>
        <w:t xml:space="preserve">, </w:t>
      </w:r>
      <w:r w:rsidRPr="00D166F5">
        <w:rPr>
          <w:b/>
          <w:lang w:val="sv-SE"/>
        </w:rPr>
        <w:t>Turkiet</w:t>
      </w:r>
      <w:r w:rsidRPr="00D166F5">
        <w:rPr>
          <w:lang w:val="sv-SE"/>
        </w:rPr>
        <w:t xml:space="preserve">) om rökning av metamfetaminkristaller </w:t>
      </w:r>
      <w:r w:rsidR="007327A4">
        <w:rPr>
          <w:lang w:val="sv-SE"/>
        </w:rPr>
        <w:t xml:space="preserve">som </w:t>
      </w:r>
      <w:r w:rsidRPr="00D166F5">
        <w:rPr>
          <w:lang w:val="sv-SE"/>
        </w:rPr>
        <w:t xml:space="preserve">ett begränsat men växande problem </w:t>
      </w:r>
      <w:r w:rsidR="007327A4">
        <w:rPr>
          <w:lang w:val="sv-SE"/>
        </w:rPr>
        <w:t>som</w:t>
      </w:r>
      <w:r w:rsidR="007327A4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kan </w:t>
      </w:r>
      <w:r w:rsidR="007327A4">
        <w:rPr>
          <w:lang w:val="sv-SE"/>
        </w:rPr>
        <w:t xml:space="preserve">öka </w:t>
      </w:r>
      <w:r w:rsidRPr="00D166F5">
        <w:rPr>
          <w:lang w:val="sv-SE"/>
        </w:rPr>
        <w:t xml:space="preserve">bland utsatta befolkningsgrupper. Injicering av metamfetamin har </w:t>
      </w:r>
      <w:r w:rsidR="007327A4">
        <w:rPr>
          <w:lang w:val="sv-SE"/>
        </w:rPr>
        <w:t xml:space="preserve">dessutom </w:t>
      </w:r>
      <w:r w:rsidRPr="00D166F5">
        <w:rPr>
          <w:lang w:val="sv-SE"/>
        </w:rPr>
        <w:t xml:space="preserve">rapporterats </w:t>
      </w:r>
      <w:r w:rsidR="007327A4">
        <w:rPr>
          <w:lang w:val="sv-SE"/>
        </w:rPr>
        <w:t xml:space="preserve">vara </w:t>
      </w:r>
      <w:r w:rsidRPr="00D166F5">
        <w:rPr>
          <w:lang w:val="sv-SE"/>
        </w:rPr>
        <w:t xml:space="preserve">en ny trend </w:t>
      </w:r>
      <w:r w:rsidR="007327A4">
        <w:rPr>
          <w:lang w:val="sv-SE"/>
        </w:rPr>
        <w:t xml:space="preserve">bland </w:t>
      </w:r>
      <w:r w:rsidRPr="00D166F5">
        <w:rPr>
          <w:lang w:val="sv-SE"/>
        </w:rPr>
        <w:t>små grupper av män som har sex med män i vissa europeiska storstäder</w:t>
      </w:r>
      <w:r w:rsidR="00B56442">
        <w:rPr>
          <w:lang w:val="sv-SE"/>
        </w:rPr>
        <w:t> (</w:t>
      </w:r>
      <w:r w:rsidRPr="00D166F5">
        <w:rPr>
          <w:vertAlign w:val="superscript"/>
          <w:lang w:val="sv-SE"/>
        </w:rPr>
        <w:t>4</w:t>
      </w:r>
      <w:r w:rsidR="00B56442">
        <w:rPr>
          <w:lang w:val="sv-SE"/>
        </w:rPr>
        <w:t>).</w:t>
      </w:r>
      <w:r w:rsidRPr="00D166F5">
        <w:rPr>
          <w:lang w:val="sv-SE"/>
        </w:rPr>
        <w:t xml:space="preserve"> </w:t>
      </w:r>
    </w:p>
    <w:p w14:paraId="7EA2B629" w14:textId="77777777" w:rsidR="00A224B3" w:rsidRPr="00D166F5" w:rsidRDefault="007327A4" w:rsidP="000D4542">
      <w:pPr>
        <w:pStyle w:val="newsNotes"/>
        <w:rPr>
          <w:lang w:val="sv-SE"/>
        </w:rPr>
      </w:pPr>
      <w:r>
        <w:rPr>
          <w:lang w:val="sv-SE"/>
        </w:rPr>
        <w:t xml:space="preserve">En annan sak som framkommer i dagens rapport </w:t>
      </w:r>
      <w:r w:rsidR="00A224B3" w:rsidRPr="00D166F5">
        <w:rPr>
          <w:lang w:val="sv-SE"/>
        </w:rPr>
        <w:t xml:space="preserve">är </w:t>
      </w:r>
      <w:r>
        <w:rPr>
          <w:lang w:val="sv-SE"/>
        </w:rPr>
        <w:t xml:space="preserve">oron över </w:t>
      </w:r>
      <w:r w:rsidR="00A224B3" w:rsidRPr="00D166F5">
        <w:rPr>
          <w:lang w:val="sv-SE"/>
        </w:rPr>
        <w:t xml:space="preserve">att ecstasypulver och ecstasytabletter (MDMA) av hög kvalitet har dykt upp igen. Beslag och rapporter om </w:t>
      </w:r>
      <w:r>
        <w:rPr>
          <w:lang w:val="sv-SE"/>
        </w:rPr>
        <w:t>negativa hälsoeffekter</w:t>
      </w:r>
      <w:r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har </w:t>
      </w:r>
      <w:r>
        <w:rPr>
          <w:lang w:val="sv-SE"/>
        </w:rPr>
        <w:t>fått</w:t>
      </w:r>
      <w:r w:rsidR="00A224B3" w:rsidRPr="00D166F5">
        <w:rPr>
          <w:lang w:val="sv-SE"/>
        </w:rPr>
        <w:t xml:space="preserve"> </w:t>
      </w:r>
      <w:r w:rsidR="00A224B3" w:rsidRPr="00D166F5">
        <w:rPr>
          <w:b/>
          <w:lang w:val="sv-SE"/>
        </w:rPr>
        <w:t>Europol</w:t>
      </w:r>
      <w:r w:rsidR="00A224B3" w:rsidRPr="00D166F5">
        <w:rPr>
          <w:lang w:val="sv-SE"/>
        </w:rPr>
        <w:t xml:space="preserve"> och </w:t>
      </w:r>
      <w:r w:rsidR="00A224B3" w:rsidRPr="00D166F5">
        <w:rPr>
          <w:b/>
          <w:lang w:val="sv-SE"/>
        </w:rPr>
        <w:t>EMCDDA</w:t>
      </w:r>
      <w:r w:rsidR="00A224B3" w:rsidRPr="00D166F5">
        <w:rPr>
          <w:lang w:val="sv-SE"/>
        </w:rPr>
        <w:t xml:space="preserve"> </w:t>
      </w:r>
      <w:r>
        <w:rPr>
          <w:lang w:val="sv-SE"/>
        </w:rPr>
        <w:t>att</w:t>
      </w:r>
      <w:r w:rsidRPr="00D166F5">
        <w:rPr>
          <w:lang w:val="sv-SE"/>
        </w:rPr>
        <w:t xml:space="preserve"> </w:t>
      </w:r>
      <w:r>
        <w:rPr>
          <w:lang w:val="sv-SE"/>
        </w:rPr>
        <w:t>gå ut med</w:t>
      </w:r>
      <w:r w:rsidR="00A224B3" w:rsidRPr="00D166F5">
        <w:rPr>
          <w:lang w:val="sv-SE"/>
        </w:rPr>
        <w:t xml:space="preserve"> en gemensam varning om tillgången till </w:t>
      </w:r>
      <w:r>
        <w:rPr>
          <w:lang w:val="sv-SE"/>
        </w:rPr>
        <w:t>utbudet av högpotenta</w:t>
      </w:r>
      <w:r w:rsidRPr="00D166F5">
        <w:rPr>
          <w:lang w:val="sv-SE"/>
        </w:rPr>
        <w:t xml:space="preserve"> </w:t>
      </w:r>
      <w:r w:rsidR="00A224B3" w:rsidRPr="00D166F5">
        <w:rPr>
          <w:lang w:val="sv-SE"/>
        </w:rPr>
        <w:t>produkter som innehåller MDMA (</w:t>
      </w:r>
      <w:r w:rsidR="00A224B3" w:rsidRPr="00D166F5">
        <w:rPr>
          <w:vertAlign w:val="superscript"/>
          <w:lang w:val="sv-SE"/>
        </w:rPr>
        <w:t>5</w:t>
      </w:r>
      <w:r w:rsidR="00A224B3" w:rsidRPr="00D166F5">
        <w:rPr>
          <w:lang w:val="sv-SE"/>
        </w:rPr>
        <w:t xml:space="preserve">). </w:t>
      </w:r>
      <w:r w:rsidR="00A224B3" w:rsidRPr="00D166F5">
        <w:rPr>
          <w:b/>
          <w:lang w:val="sv-SE"/>
        </w:rPr>
        <w:t xml:space="preserve">Europol </w:t>
      </w:r>
      <w:r w:rsidR="00A224B3" w:rsidRPr="00D166F5">
        <w:rPr>
          <w:lang w:val="sv-SE"/>
        </w:rPr>
        <w:t xml:space="preserve">rapporterar </w:t>
      </w:r>
      <w:r>
        <w:rPr>
          <w:lang w:val="sv-SE"/>
        </w:rPr>
        <w:t xml:space="preserve">att </w:t>
      </w:r>
      <w:r w:rsidR="00A224B3" w:rsidRPr="00D166F5">
        <w:rPr>
          <w:lang w:val="sv-SE"/>
        </w:rPr>
        <w:t>de två största narkotikatillverkningsanläggningar</w:t>
      </w:r>
      <w:r w:rsidR="00A16FB7">
        <w:rPr>
          <w:lang w:val="sv-SE"/>
        </w:rPr>
        <w:t>na</w:t>
      </w:r>
      <w:r w:rsidR="00A224B3" w:rsidRPr="00D166F5">
        <w:rPr>
          <w:lang w:val="sv-SE"/>
        </w:rPr>
        <w:t xml:space="preserve"> som någonsin </w:t>
      </w:r>
      <w:r>
        <w:rPr>
          <w:lang w:val="sv-SE"/>
        </w:rPr>
        <w:t xml:space="preserve">har </w:t>
      </w:r>
      <w:r w:rsidR="00A224B3" w:rsidRPr="00D166F5">
        <w:rPr>
          <w:lang w:val="sv-SE"/>
        </w:rPr>
        <w:t xml:space="preserve">påträffats i </w:t>
      </w:r>
      <w:r w:rsidR="00A224B3" w:rsidRPr="00D166F5">
        <w:rPr>
          <w:b/>
          <w:lang w:val="sv-SE"/>
        </w:rPr>
        <w:t>EU</w:t>
      </w:r>
      <w:r w:rsidR="00A42E1A">
        <w:rPr>
          <w:b/>
          <w:lang w:val="sv-SE"/>
        </w:rPr>
        <w:t>,</w:t>
      </w:r>
      <w:r w:rsidR="00A16FB7">
        <w:rPr>
          <w:lang w:val="sv-SE"/>
        </w:rPr>
        <w:t xml:space="preserve"> </w:t>
      </w:r>
      <w:r w:rsidR="00A16FB7" w:rsidRPr="00B56442">
        <w:rPr>
          <w:lang w:val="sv-SE"/>
        </w:rPr>
        <w:t>och</w:t>
      </w:r>
      <w:r w:rsidR="00A224B3" w:rsidRPr="00D166F5">
        <w:rPr>
          <w:lang w:val="sv-SE"/>
        </w:rPr>
        <w:t xml:space="preserve"> som </w:t>
      </w:r>
      <w:r w:rsidR="00A42E1A">
        <w:rPr>
          <w:lang w:val="sv-SE"/>
        </w:rPr>
        <w:t xml:space="preserve">hade kapacitet att </w:t>
      </w:r>
      <w:r w:rsidR="00A224B3" w:rsidRPr="00D166F5">
        <w:rPr>
          <w:lang w:val="sv-SE"/>
        </w:rPr>
        <w:t>snabbt framställa stora mängder MDMA</w:t>
      </w:r>
      <w:r w:rsidR="00A42E1A">
        <w:rPr>
          <w:lang w:val="sv-SE"/>
        </w:rPr>
        <w:t>,</w:t>
      </w:r>
      <w:r w:rsidR="00A16FB7">
        <w:rPr>
          <w:lang w:val="sv-SE"/>
        </w:rPr>
        <w:t xml:space="preserve"> förstördes i </w:t>
      </w:r>
      <w:r w:rsidR="00A16FB7" w:rsidRPr="00B56442">
        <w:rPr>
          <w:b/>
          <w:lang w:val="sv-SE"/>
        </w:rPr>
        <w:t xml:space="preserve">Belgien </w:t>
      </w:r>
      <w:r w:rsidR="00A42E1A" w:rsidRPr="00B56442">
        <w:rPr>
          <w:lang w:val="sv-SE"/>
        </w:rPr>
        <w:t>under</w:t>
      </w:r>
      <w:r w:rsidR="00A42E1A">
        <w:rPr>
          <w:b/>
          <w:lang w:val="sv-SE"/>
        </w:rPr>
        <w:t xml:space="preserve"> </w:t>
      </w:r>
      <w:r w:rsidR="00A16FB7">
        <w:rPr>
          <w:lang w:val="sv-SE"/>
        </w:rPr>
        <w:t>2013</w:t>
      </w:r>
      <w:r w:rsidR="00A224B3" w:rsidRPr="00D166F5">
        <w:rPr>
          <w:rFonts w:ascii="Times New Roman" w:hAnsi="Times New Roman"/>
          <w:lang w:val="sv-SE"/>
        </w:rPr>
        <w:t>.</w:t>
      </w:r>
    </w:p>
    <w:p w14:paraId="43332D4B" w14:textId="77777777" w:rsidR="00A224B3" w:rsidRPr="00E87301" w:rsidRDefault="00A224B3" w:rsidP="000D4542">
      <w:pPr>
        <w:pStyle w:val="newsNotes"/>
        <w:rPr>
          <w:b/>
          <w:lang w:val="sv-SE"/>
        </w:rPr>
      </w:pPr>
      <w:r w:rsidRPr="00E87301">
        <w:rPr>
          <w:b/>
          <w:lang w:val="sv-SE"/>
        </w:rPr>
        <w:t>Nya psykoaktiva ämnen: EU:s system för tidig varning utsatt för allt större påfrestningar</w:t>
      </w:r>
    </w:p>
    <w:p w14:paraId="1D5D6D64" w14:textId="77777777" w:rsidR="00A224B3" w:rsidRPr="00D166F5" w:rsidRDefault="00A16FB7" w:rsidP="000D4542">
      <w:pPr>
        <w:pStyle w:val="newsNotes"/>
        <w:rPr>
          <w:lang w:val="sv-SE"/>
        </w:rPr>
      </w:pPr>
      <w:r>
        <w:rPr>
          <w:lang w:val="sv-SE"/>
        </w:rPr>
        <w:t xml:space="preserve">Enligt </w:t>
      </w:r>
      <w:r>
        <w:rPr>
          <w:b/>
          <w:lang w:val="sv-SE"/>
        </w:rPr>
        <w:t xml:space="preserve">EMCDDA </w:t>
      </w:r>
      <w:r>
        <w:rPr>
          <w:lang w:val="sv-SE"/>
        </w:rPr>
        <w:t xml:space="preserve">finns det inget som tyder på att ökningen </w:t>
      </w:r>
      <w:r w:rsidR="00A42E1A">
        <w:rPr>
          <w:lang w:val="sv-SE"/>
        </w:rPr>
        <w:t xml:space="preserve">i fråga om antal, typer och utbud </w:t>
      </w:r>
      <w:r>
        <w:rPr>
          <w:lang w:val="sv-SE"/>
        </w:rPr>
        <w:t>av n</w:t>
      </w:r>
      <w:r w:rsidR="00A224B3" w:rsidRPr="00D166F5">
        <w:rPr>
          <w:lang w:val="sv-SE"/>
        </w:rPr>
        <w:t xml:space="preserve">ya psykoaktiva ämnen (NPS eller ”nya droger”) i Europa </w:t>
      </w:r>
      <w:r>
        <w:rPr>
          <w:lang w:val="sv-SE"/>
        </w:rPr>
        <w:t xml:space="preserve">är på väg att </w:t>
      </w:r>
      <w:r w:rsidR="00A42E1A">
        <w:rPr>
          <w:lang w:val="sv-SE"/>
        </w:rPr>
        <w:t>avta</w:t>
      </w:r>
      <w:r w:rsidR="00A224B3" w:rsidRPr="00D166F5">
        <w:rPr>
          <w:lang w:val="sv-SE"/>
        </w:rPr>
        <w:t xml:space="preserve">. Under 2013 anmäldes 81 nya droger till </w:t>
      </w:r>
      <w:r w:rsidR="00A224B3" w:rsidRPr="00D166F5">
        <w:rPr>
          <w:b/>
          <w:lang w:val="sv-SE"/>
        </w:rPr>
        <w:t>EU:s system för tidig varning</w:t>
      </w:r>
      <w:r w:rsidR="00A224B3" w:rsidRPr="00D166F5">
        <w:rPr>
          <w:lang w:val="sv-SE"/>
        </w:rPr>
        <w:t xml:space="preserve"> (</w:t>
      </w:r>
      <w:r w:rsidR="00A224B3" w:rsidRPr="00D166F5">
        <w:rPr>
          <w:b/>
          <w:lang w:val="sv-SE"/>
        </w:rPr>
        <w:t>EU–EWS)</w:t>
      </w:r>
      <w:r w:rsidR="00A224B3" w:rsidRPr="00D166F5">
        <w:rPr>
          <w:lang w:val="sv-SE"/>
        </w:rPr>
        <w:t xml:space="preserve"> (</w:t>
      </w:r>
      <w:r w:rsidR="00A224B3" w:rsidRPr="00D166F5">
        <w:rPr>
          <w:vertAlign w:val="superscript"/>
          <w:lang w:val="sv-SE"/>
        </w:rPr>
        <w:t>6</w:t>
      </w:r>
      <w:r w:rsidR="00A224B3" w:rsidRPr="00D166F5">
        <w:rPr>
          <w:lang w:val="sv-SE"/>
        </w:rPr>
        <w:t>)</w:t>
      </w:r>
      <w:r>
        <w:rPr>
          <w:lang w:val="sv-SE"/>
        </w:rPr>
        <w:t>, vilket innebär att</w:t>
      </w:r>
      <w:r>
        <w:rPr>
          <w:rFonts w:ascii="Times New Roman" w:hAnsi="Times New Roman"/>
          <w:lang w:val="sv-SE"/>
        </w:rPr>
        <w:t xml:space="preserve"> </w:t>
      </w:r>
      <w:r w:rsidR="00A224B3" w:rsidRPr="00D166F5">
        <w:rPr>
          <w:lang w:val="sv-SE"/>
        </w:rPr>
        <w:t xml:space="preserve">byrån </w:t>
      </w:r>
      <w:r>
        <w:rPr>
          <w:lang w:val="sv-SE"/>
        </w:rPr>
        <w:t xml:space="preserve">nu </w:t>
      </w:r>
      <w:r w:rsidR="00A224B3" w:rsidRPr="00D166F5">
        <w:rPr>
          <w:lang w:val="sv-SE"/>
        </w:rPr>
        <w:t>över</w:t>
      </w:r>
      <w:r>
        <w:rPr>
          <w:lang w:val="sv-SE"/>
        </w:rPr>
        <w:t>vakar mer än</w:t>
      </w:r>
      <w:r w:rsidR="00B56442">
        <w:rPr>
          <w:lang w:val="sv-SE"/>
        </w:rPr>
        <w:t xml:space="preserve"> 350 </w:t>
      </w:r>
      <w:r w:rsidR="00A224B3" w:rsidRPr="00D166F5">
        <w:rPr>
          <w:lang w:val="sv-SE"/>
        </w:rPr>
        <w:t xml:space="preserve">nya ämnen. Enligt dagens rapport utsätts systemet för </w:t>
      </w:r>
      <w:r w:rsidR="00A42E1A">
        <w:rPr>
          <w:lang w:val="sv-SE"/>
        </w:rPr>
        <w:t xml:space="preserve">en </w:t>
      </w:r>
      <w:r w:rsidR="00A224B3" w:rsidRPr="00D166F5">
        <w:rPr>
          <w:lang w:val="sv-SE"/>
        </w:rPr>
        <w:t xml:space="preserve">allt större </w:t>
      </w:r>
      <w:r>
        <w:rPr>
          <w:lang w:val="sv-SE"/>
        </w:rPr>
        <w:t xml:space="preserve">belastning </w:t>
      </w:r>
      <w:r w:rsidR="00A224B3" w:rsidRPr="00D166F5">
        <w:rPr>
          <w:lang w:val="sv-SE"/>
        </w:rPr>
        <w:t xml:space="preserve">på grund av </w:t>
      </w:r>
      <w:r>
        <w:rPr>
          <w:lang w:val="sv-SE"/>
        </w:rPr>
        <w:t xml:space="preserve">de många </w:t>
      </w:r>
      <w:r w:rsidR="00A224B3" w:rsidRPr="00D166F5">
        <w:rPr>
          <w:lang w:val="sv-SE"/>
        </w:rPr>
        <w:t>nya droger som dyker upp på marknaden</w:t>
      </w:r>
      <w:r>
        <w:rPr>
          <w:lang w:val="sv-SE"/>
        </w:rPr>
        <w:t xml:space="preserve"> och deras utbredning</w:t>
      </w:r>
      <w:r w:rsidR="00A224B3" w:rsidRPr="00D166F5">
        <w:rPr>
          <w:lang w:val="sv-SE"/>
        </w:rPr>
        <w:t xml:space="preserve">. Nästan 250 ämnen </w:t>
      </w:r>
      <w:r w:rsidR="00A42E1A">
        <w:rPr>
          <w:lang w:val="sv-SE"/>
        </w:rPr>
        <w:t>har upptäckts</w:t>
      </w:r>
      <w:r w:rsidR="00A42E1A"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under de senaste fyra åren. </w:t>
      </w:r>
    </w:p>
    <w:p w14:paraId="243A5252" w14:textId="10AF0FEF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lang w:val="sv-SE"/>
        </w:rPr>
        <w:t xml:space="preserve">Nya psykoaktiva </w:t>
      </w:r>
      <w:r w:rsidR="008F02BA">
        <w:rPr>
          <w:lang w:val="sv-SE"/>
        </w:rPr>
        <w:t>substanser</w:t>
      </w:r>
      <w:r w:rsidR="008F02BA" w:rsidRPr="00D166F5">
        <w:rPr>
          <w:lang w:val="sv-SE"/>
        </w:rPr>
        <w:t xml:space="preserve"> </w:t>
      </w:r>
      <w:r w:rsidRPr="00D166F5">
        <w:rPr>
          <w:lang w:val="sv-SE"/>
        </w:rPr>
        <w:t>som inte kontrollera</w:t>
      </w:r>
      <w:r w:rsidR="00A16FB7">
        <w:rPr>
          <w:lang w:val="sv-SE"/>
        </w:rPr>
        <w:t xml:space="preserve">s genom </w:t>
      </w:r>
      <w:r w:rsidRPr="00D166F5">
        <w:rPr>
          <w:lang w:val="sv-SE"/>
        </w:rPr>
        <w:t xml:space="preserve">internationell </w:t>
      </w:r>
      <w:r w:rsidR="00A16FB7">
        <w:rPr>
          <w:lang w:val="sv-SE"/>
        </w:rPr>
        <w:t>lagstiftning</w:t>
      </w:r>
      <w:r w:rsidRPr="00D166F5">
        <w:rPr>
          <w:lang w:val="sv-SE"/>
        </w:rPr>
        <w:t xml:space="preserve"> säljs ofta på marknaden som ”</w:t>
      </w:r>
      <w:r w:rsidR="00A16FB7">
        <w:rPr>
          <w:lang w:val="sv-SE"/>
        </w:rPr>
        <w:t>l</w:t>
      </w:r>
      <w:r w:rsidR="00D41E1D">
        <w:rPr>
          <w:lang w:val="sv-SE"/>
        </w:rPr>
        <w:t>egal highs</w:t>
      </w:r>
      <w:r w:rsidRPr="00D166F5">
        <w:rPr>
          <w:lang w:val="sv-SE"/>
        </w:rPr>
        <w:t>” och f</w:t>
      </w:r>
      <w:r w:rsidR="009023E9">
        <w:rPr>
          <w:lang w:val="sv-SE"/>
        </w:rPr>
        <w:t xml:space="preserve">örsöker </w:t>
      </w:r>
      <w:r w:rsidRPr="00D166F5">
        <w:rPr>
          <w:lang w:val="sv-SE"/>
        </w:rPr>
        <w:t xml:space="preserve">imitera effekterna av kontrollerade droger. </w:t>
      </w:r>
      <w:r w:rsidR="009023E9">
        <w:rPr>
          <w:lang w:val="sv-SE"/>
        </w:rPr>
        <w:t>A</w:t>
      </w:r>
      <w:r w:rsidRPr="00D166F5">
        <w:rPr>
          <w:lang w:val="sv-SE"/>
        </w:rPr>
        <w:t xml:space="preserve">v de droger som upptäcktes förra året var </w:t>
      </w:r>
      <w:r w:rsidR="009023E9">
        <w:rPr>
          <w:lang w:val="sv-SE"/>
        </w:rPr>
        <w:t xml:space="preserve">29 </w:t>
      </w:r>
      <w:r w:rsidRPr="00D166F5">
        <w:rPr>
          <w:lang w:val="sv-SE"/>
        </w:rPr>
        <w:t xml:space="preserve">syntetiska cannabinoider, </w:t>
      </w:r>
      <w:r w:rsidR="009023E9">
        <w:rPr>
          <w:lang w:val="sv-SE"/>
        </w:rPr>
        <w:t xml:space="preserve">vilket är </w:t>
      </w:r>
      <w:r w:rsidRPr="00D166F5">
        <w:rPr>
          <w:lang w:val="sv-SE"/>
        </w:rPr>
        <w:t xml:space="preserve">den största grupp som för närvarande övervakas av </w:t>
      </w:r>
      <w:r>
        <w:rPr>
          <w:lang w:val="sv-SE"/>
        </w:rPr>
        <w:t>EU:s system för tidig varning</w:t>
      </w:r>
      <w:r w:rsidRPr="00D166F5">
        <w:rPr>
          <w:lang w:val="sv-SE"/>
        </w:rPr>
        <w:t xml:space="preserve">. Den hastighet med vilken ämnen som nyligen underställts kontrollåtgärder ersätts med nya ämnen har föranlett </w:t>
      </w:r>
      <w:r w:rsidR="009023E9">
        <w:rPr>
          <w:lang w:val="sv-SE"/>
        </w:rPr>
        <w:t xml:space="preserve">en rad </w:t>
      </w:r>
      <w:r w:rsidRPr="00D166F5">
        <w:rPr>
          <w:lang w:val="sv-SE"/>
        </w:rPr>
        <w:t xml:space="preserve">innovativa rättsliga </w:t>
      </w:r>
      <w:r w:rsidR="009023E9">
        <w:rPr>
          <w:lang w:val="sv-SE"/>
        </w:rPr>
        <w:t xml:space="preserve">åtgärder </w:t>
      </w:r>
      <w:r w:rsidRPr="00D166F5">
        <w:rPr>
          <w:lang w:val="sv-SE"/>
        </w:rPr>
        <w:t>runtom i Europa (kapit</w:t>
      </w:r>
      <w:r w:rsidR="00A42E1A">
        <w:rPr>
          <w:lang w:val="sv-SE"/>
        </w:rPr>
        <w:t>e</w:t>
      </w:r>
      <w:r w:rsidRPr="00D166F5">
        <w:rPr>
          <w:lang w:val="sv-SE"/>
        </w:rPr>
        <w:t>l 4).</w:t>
      </w:r>
    </w:p>
    <w:p w14:paraId="6C74E815" w14:textId="77777777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lang w:val="sv-SE"/>
        </w:rPr>
        <w:t>Nya droger kan framställas i hemliga laboratorier i Europa</w:t>
      </w:r>
      <w:r w:rsidR="009023E9">
        <w:rPr>
          <w:lang w:val="sv-SE"/>
        </w:rPr>
        <w:t xml:space="preserve">, men det vanligaste </w:t>
      </w:r>
      <w:r w:rsidRPr="00D166F5">
        <w:rPr>
          <w:lang w:val="sv-SE"/>
        </w:rPr>
        <w:t xml:space="preserve">är att de </w:t>
      </w:r>
      <w:r w:rsidR="009023E9">
        <w:rPr>
          <w:lang w:val="sv-SE"/>
        </w:rPr>
        <w:t xml:space="preserve">köps </w:t>
      </w:r>
      <w:r w:rsidRPr="00D166F5">
        <w:rPr>
          <w:lang w:val="sv-SE"/>
        </w:rPr>
        <w:t xml:space="preserve">lagligt </w:t>
      </w:r>
      <w:r w:rsidR="009023E9">
        <w:rPr>
          <w:lang w:val="sv-SE"/>
        </w:rPr>
        <w:t xml:space="preserve">i </w:t>
      </w:r>
      <w:r w:rsidRPr="00D166F5">
        <w:rPr>
          <w:lang w:val="sv-SE"/>
        </w:rPr>
        <w:t>pulver</w:t>
      </w:r>
      <w:r w:rsidR="009023E9">
        <w:rPr>
          <w:lang w:val="sv-SE"/>
        </w:rPr>
        <w:t xml:space="preserve">form från framför allt </w:t>
      </w:r>
      <w:r w:rsidRPr="00D166F5">
        <w:rPr>
          <w:b/>
          <w:lang w:val="sv-SE"/>
        </w:rPr>
        <w:t>Kina</w:t>
      </w:r>
      <w:r w:rsidRPr="00D166F5">
        <w:rPr>
          <w:lang w:val="sv-SE"/>
        </w:rPr>
        <w:t xml:space="preserve"> och </w:t>
      </w:r>
      <w:r w:rsidRPr="00D166F5">
        <w:rPr>
          <w:b/>
          <w:lang w:val="sv-SE"/>
        </w:rPr>
        <w:t>Indien</w:t>
      </w:r>
      <w:r w:rsidRPr="00D166F5">
        <w:rPr>
          <w:lang w:val="sv-SE"/>
        </w:rPr>
        <w:t xml:space="preserve">, och importeras till Europa där de bearbetas, förpackas och </w:t>
      </w:r>
      <w:r w:rsidRPr="00D166F5">
        <w:rPr>
          <w:lang w:val="sv-SE"/>
        </w:rPr>
        <w:lastRenderedPageBreak/>
        <w:t>säljs som ”legal high”-produkter eller ”forskningskemikalier”</w:t>
      </w:r>
      <w:r w:rsidR="009023E9">
        <w:rPr>
          <w:lang w:val="sv-SE"/>
        </w:rPr>
        <w:t>,</w:t>
      </w:r>
      <w:r w:rsidRPr="00D166F5">
        <w:rPr>
          <w:lang w:val="sv-SE"/>
        </w:rPr>
        <w:t xml:space="preserve"> samt </w:t>
      </w:r>
      <w:r w:rsidR="00A42E1A">
        <w:rPr>
          <w:lang w:val="sv-SE"/>
        </w:rPr>
        <w:t>även</w:t>
      </w:r>
      <w:r w:rsidR="00A42E1A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direkt på narkotikamarknaden. Internet spelar en fortsatt central roll </w:t>
      </w:r>
      <w:r w:rsidR="009023E9">
        <w:rPr>
          <w:lang w:val="sv-SE"/>
        </w:rPr>
        <w:t>för</w:t>
      </w:r>
      <w:r w:rsidRPr="00D166F5">
        <w:rPr>
          <w:lang w:val="sv-SE"/>
        </w:rPr>
        <w:t xml:space="preserve"> att </w:t>
      </w:r>
      <w:r w:rsidR="009023E9">
        <w:rPr>
          <w:lang w:val="sv-SE"/>
        </w:rPr>
        <w:t xml:space="preserve">skapa en </w:t>
      </w:r>
      <w:r w:rsidR="009023E9" w:rsidRPr="00D166F5">
        <w:rPr>
          <w:lang w:val="sv-SE"/>
        </w:rPr>
        <w:t>marknad</w:t>
      </w:r>
      <w:r w:rsidR="009023E9">
        <w:rPr>
          <w:lang w:val="sv-SE"/>
        </w:rPr>
        <w:t xml:space="preserve"> </w:t>
      </w:r>
      <w:r w:rsidRPr="00D166F5">
        <w:rPr>
          <w:lang w:val="sv-SE"/>
        </w:rPr>
        <w:t xml:space="preserve">för </w:t>
      </w:r>
      <w:r w:rsidR="009023E9">
        <w:rPr>
          <w:lang w:val="sv-SE"/>
        </w:rPr>
        <w:t xml:space="preserve">de </w:t>
      </w:r>
      <w:r w:rsidRPr="00D166F5">
        <w:rPr>
          <w:lang w:val="sv-SE"/>
        </w:rPr>
        <w:t>nya droger</w:t>
      </w:r>
      <w:r w:rsidR="009023E9">
        <w:rPr>
          <w:lang w:val="sv-SE"/>
        </w:rPr>
        <w:t>na</w:t>
      </w:r>
      <w:r w:rsidRPr="00D166F5">
        <w:rPr>
          <w:lang w:val="sv-SE"/>
        </w:rPr>
        <w:t xml:space="preserve">. Under 2013 identifierade </w:t>
      </w:r>
      <w:r w:rsidRPr="00D166F5">
        <w:rPr>
          <w:b/>
          <w:lang w:val="sv-SE"/>
        </w:rPr>
        <w:t xml:space="preserve">EMCDDA </w:t>
      </w:r>
      <w:r w:rsidRPr="00D166F5">
        <w:rPr>
          <w:lang w:val="sv-SE"/>
        </w:rPr>
        <w:t xml:space="preserve">omkring 650 webbplatser som sålde </w:t>
      </w:r>
      <w:r w:rsidR="009023E9">
        <w:rPr>
          <w:lang w:val="sv-SE"/>
        </w:rPr>
        <w:t>sådana droger</w:t>
      </w:r>
      <w:r w:rsidRPr="00D166F5">
        <w:rPr>
          <w:lang w:val="sv-SE"/>
        </w:rPr>
        <w:t xml:space="preserve"> till människor i Europa</w:t>
      </w:r>
      <w:r w:rsidRPr="00D166F5">
        <w:rPr>
          <w:rFonts w:ascii="Times New Roman" w:hAnsi="Times New Roman"/>
          <w:lang w:val="sv-SE"/>
        </w:rPr>
        <w:t>.</w:t>
      </w:r>
      <w:r w:rsidRPr="00D166F5">
        <w:rPr>
          <w:lang w:val="sv-SE"/>
        </w:rPr>
        <w:t xml:space="preserve"> </w:t>
      </w:r>
      <w:r w:rsidR="009023E9">
        <w:rPr>
          <w:lang w:val="sv-SE"/>
        </w:rPr>
        <w:t xml:space="preserve">En ny utmaning för </w:t>
      </w:r>
      <w:r w:rsidR="00A42E1A">
        <w:rPr>
          <w:lang w:val="sv-SE"/>
        </w:rPr>
        <w:t>polis</w:t>
      </w:r>
      <w:r w:rsidR="009023E9">
        <w:rPr>
          <w:lang w:val="sv-SE"/>
        </w:rPr>
        <w:t>myndigheter är dessutom de k</w:t>
      </w:r>
      <w:r w:rsidRPr="00D166F5">
        <w:rPr>
          <w:lang w:val="sv-SE"/>
        </w:rPr>
        <w:t xml:space="preserve">öp av nya och ”gamla” droger </w:t>
      </w:r>
      <w:r w:rsidR="009023E9">
        <w:rPr>
          <w:lang w:val="sv-SE"/>
        </w:rPr>
        <w:t xml:space="preserve">som görs </w:t>
      </w:r>
      <w:r w:rsidRPr="00D166F5">
        <w:rPr>
          <w:lang w:val="sv-SE"/>
        </w:rPr>
        <w:t xml:space="preserve">via ”darknets” – underjordiska nätverk på internet </w:t>
      </w:r>
      <w:r w:rsidR="009023E9">
        <w:rPr>
          <w:lang w:val="sv-SE"/>
        </w:rPr>
        <w:t>där man kan</w:t>
      </w:r>
      <w:r w:rsidRPr="00D166F5">
        <w:rPr>
          <w:lang w:val="sv-SE"/>
        </w:rPr>
        <w:t xml:space="preserve"> </w:t>
      </w:r>
      <w:r w:rsidR="009023E9">
        <w:rPr>
          <w:lang w:val="sv-SE"/>
        </w:rPr>
        <w:t>vara anonym</w:t>
      </w:r>
      <w:r w:rsidRPr="00D166F5">
        <w:rPr>
          <w:lang w:val="sv-SE"/>
        </w:rPr>
        <w:t xml:space="preserve">. </w:t>
      </w:r>
    </w:p>
    <w:p w14:paraId="5BF854BB" w14:textId="77777777" w:rsidR="00A224B3" w:rsidRPr="00D166F5" w:rsidRDefault="00816EC3" w:rsidP="000D4542">
      <w:pPr>
        <w:pStyle w:val="newsNotes"/>
        <w:rPr>
          <w:lang w:val="sv-SE"/>
        </w:rPr>
      </w:pPr>
      <w:r>
        <w:rPr>
          <w:lang w:val="sv-SE"/>
        </w:rPr>
        <w:t xml:space="preserve">I dagens rapport framhålls att dessa droger </w:t>
      </w:r>
      <w:r w:rsidR="00A224B3" w:rsidRPr="00D166F5">
        <w:rPr>
          <w:lang w:val="sv-SE"/>
        </w:rPr>
        <w:t xml:space="preserve">i vissa länder </w:t>
      </w:r>
      <w:r>
        <w:rPr>
          <w:lang w:val="sv-SE"/>
        </w:rPr>
        <w:t xml:space="preserve">riktar in sig på de största segmenten av </w:t>
      </w:r>
      <w:r w:rsidR="00A224B3" w:rsidRPr="00D166F5">
        <w:rPr>
          <w:lang w:val="sv-SE"/>
        </w:rPr>
        <w:t xml:space="preserve">narkotikamarknaden. I april 2014 </w:t>
      </w:r>
      <w:r>
        <w:rPr>
          <w:lang w:val="sv-SE"/>
        </w:rPr>
        <w:t xml:space="preserve">gjorde </w:t>
      </w:r>
      <w:r w:rsidR="00A224B3" w:rsidRPr="00D166F5">
        <w:rPr>
          <w:b/>
          <w:lang w:val="sv-SE"/>
        </w:rPr>
        <w:t xml:space="preserve">EMCDDA:s vetenskapliga kommitté </w:t>
      </w:r>
      <w:r>
        <w:rPr>
          <w:lang w:val="sv-SE"/>
        </w:rPr>
        <w:t xml:space="preserve">riskbedömningar av </w:t>
      </w:r>
      <w:r w:rsidR="00A224B3" w:rsidRPr="00D166F5">
        <w:rPr>
          <w:lang w:val="sv-SE"/>
        </w:rPr>
        <w:t xml:space="preserve">fyra </w:t>
      </w:r>
      <w:r>
        <w:rPr>
          <w:lang w:val="sv-SE"/>
        </w:rPr>
        <w:t xml:space="preserve">starka </w:t>
      </w:r>
      <w:r w:rsidR="00A224B3" w:rsidRPr="00D166F5">
        <w:rPr>
          <w:lang w:val="sv-SE"/>
        </w:rPr>
        <w:t xml:space="preserve">och skadliga nya </w:t>
      </w:r>
      <w:r>
        <w:rPr>
          <w:lang w:val="sv-SE"/>
        </w:rPr>
        <w:t>droger</w:t>
      </w:r>
      <w:r w:rsidR="00A224B3" w:rsidRPr="00D166F5">
        <w:rPr>
          <w:lang w:val="sv-SE"/>
        </w:rPr>
        <w:t xml:space="preserve">: 25I-NBOMe, AH-7921, MDPV och metoxetamin. Dessa säljs som </w:t>
      </w:r>
      <w:r>
        <w:rPr>
          <w:lang w:val="sv-SE"/>
        </w:rPr>
        <w:t xml:space="preserve">substitut </w:t>
      </w:r>
      <w:r w:rsidR="00A224B3" w:rsidRPr="00D166F5">
        <w:rPr>
          <w:lang w:val="sv-SE"/>
        </w:rPr>
        <w:t xml:space="preserve">för, och </w:t>
      </w:r>
      <w:r>
        <w:rPr>
          <w:lang w:val="sv-SE"/>
        </w:rPr>
        <w:t xml:space="preserve">kan </w:t>
      </w:r>
      <w:r w:rsidR="00A224B3" w:rsidRPr="00D166F5">
        <w:rPr>
          <w:lang w:val="sv-SE"/>
        </w:rPr>
        <w:t xml:space="preserve">vara mer skadliga än, de droger de </w:t>
      </w:r>
      <w:r>
        <w:rPr>
          <w:lang w:val="sv-SE"/>
        </w:rPr>
        <w:t xml:space="preserve">försöker </w:t>
      </w:r>
      <w:r w:rsidR="00A224B3" w:rsidRPr="00D166F5">
        <w:rPr>
          <w:lang w:val="sv-SE"/>
        </w:rPr>
        <w:t xml:space="preserve">imitera, </w:t>
      </w:r>
      <w:r>
        <w:rPr>
          <w:lang w:val="sv-SE"/>
        </w:rPr>
        <w:t>dvs.</w:t>
      </w:r>
      <w:r w:rsidR="00A224B3" w:rsidRPr="00D166F5">
        <w:rPr>
          <w:lang w:val="sv-SE"/>
        </w:rPr>
        <w:t xml:space="preserve"> LSD (hallucinogen), morfin (opiat), kokain (stimul</w:t>
      </w:r>
      <w:r>
        <w:rPr>
          <w:lang w:val="sv-SE"/>
        </w:rPr>
        <w:t>erande</w:t>
      </w:r>
      <w:r w:rsidR="00A224B3" w:rsidRPr="00D166F5">
        <w:rPr>
          <w:lang w:val="sv-SE"/>
        </w:rPr>
        <w:t xml:space="preserve">) och ketamin (ett läkemedel med smärtstillande och anestetiska egenskaper). Riskbedömningsrapporter om de fyra </w:t>
      </w:r>
      <w:r>
        <w:rPr>
          <w:lang w:val="sv-SE"/>
        </w:rPr>
        <w:t>drogerna</w:t>
      </w:r>
      <w:r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har överlämnats till </w:t>
      </w:r>
      <w:r w:rsidR="00A224B3" w:rsidRPr="00D166F5">
        <w:rPr>
          <w:b/>
          <w:lang w:val="sv-SE"/>
        </w:rPr>
        <w:t>Europeiska kommissionen</w:t>
      </w:r>
      <w:r w:rsidR="00A224B3" w:rsidRPr="00D166F5">
        <w:rPr>
          <w:lang w:val="sv-SE"/>
        </w:rPr>
        <w:t xml:space="preserve"> och </w:t>
      </w:r>
      <w:r w:rsidR="00A224B3" w:rsidRPr="00D166F5">
        <w:rPr>
          <w:b/>
          <w:lang w:val="sv-SE"/>
        </w:rPr>
        <w:t>Europeiska unionens råd</w:t>
      </w:r>
      <w:r>
        <w:rPr>
          <w:lang w:val="sv-SE"/>
        </w:rPr>
        <w:t xml:space="preserve"> och kan komma att ligga till grund för </w:t>
      </w:r>
      <w:r w:rsidR="00A224B3" w:rsidRPr="00D166F5">
        <w:rPr>
          <w:lang w:val="sv-SE"/>
        </w:rPr>
        <w:t xml:space="preserve">beslut om EU-omfattande kontrollåtgärder. </w:t>
      </w:r>
    </w:p>
    <w:p w14:paraId="60D76160" w14:textId="2380A072" w:rsidR="00A224B3" w:rsidRPr="00D166F5" w:rsidRDefault="00816EC3" w:rsidP="000D4542">
      <w:pPr>
        <w:pStyle w:val="newsNotes"/>
        <w:rPr>
          <w:lang w:val="sv-SE"/>
        </w:rPr>
      </w:pPr>
      <w:r>
        <w:rPr>
          <w:lang w:val="sv-SE"/>
        </w:rPr>
        <w:t>Att framväxten</w:t>
      </w:r>
      <w:r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av </w:t>
      </w:r>
      <w:r>
        <w:rPr>
          <w:lang w:val="sv-SE"/>
        </w:rPr>
        <w:t xml:space="preserve">högpotenta </w:t>
      </w:r>
      <w:r w:rsidR="00A224B3" w:rsidRPr="00D166F5">
        <w:rPr>
          <w:lang w:val="sv-SE"/>
        </w:rPr>
        <w:t xml:space="preserve">syntetiska </w:t>
      </w:r>
      <w:r>
        <w:rPr>
          <w:lang w:val="sv-SE"/>
        </w:rPr>
        <w:t xml:space="preserve">droger </w:t>
      </w:r>
      <w:r w:rsidR="00A224B3" w:rsidRPr="00D166F5">
        <w:rPr>
          <w:lang w:val="sv-SE"/>
        </w:rPr>
        <w:t xml:space="preserve">är ett problem </w:t>
      </w:r>
      <w:r>
        <w:rPr>
          <w:lang w:val="sv-SE"/>
        </w:rPr>
        <w:t xml:space="preserve">framgår av </w:t>
      </w:r>
      <w:r w:rsidR="00A224B3" w:rsidRPr="00D166F5">
        <w:rPr>
          <w:lang w:val="sv-SE"/>
        </w:rPr>
        <w:t>anmälningar</w:t>
      </w:r>
      <w:r>
        <w:rPr>
          <w:lang w:val="sv-SE"/>
        </w:rPr>
        <w:t>na</w:t>
      </w:r>
      <w:r w:rsidR="00A224B3" w:rsidRPr="00D166F5">
        <w:rPr>
          <w:lang w:val="sv-SE"/>
        </w:rPr>
        <w:t xml:space="preserve"> till </w:t>
      </w:r>
      <w:r w:rsidR="00A224B3" w:rsidRPr="00D166F5">
        <w:rPr>
          <w:b/>
          <w:lang w:val="sv-SE"/>
        </w:rPr>
        <w:t>EU:s system för tidig varning</w:t>
      </w:r>
      <w:r w:rsidR="00A224B3" w:rsidRPr="00D166F5">
        <w:rPr>
          <w:lang w:val="sv-SE"/>
        </w:rPr>
        <w:t xml:space="preserve">. Detta </w:t>
      </w:r>
      <w:r>
        <w:rPr>
          <w:lang w:val="sv-SE"/>
        </w:rPr>
        <w:t xml:space="preserve">får </w:t>
      </w:r>
      <w:r w:rsidR="00A224B3" w:rsidRPr="00D166F5">
        <w:rPr>
          <w:lang w:val="sv-SE"/>
        </w:rPr>
        <w:t xml:space="preserve">konsekvenser för både </w:t>
      </w:r>
      <w:r w:rsidR="000E66AA">
        <w:rPr>
          <w:lang w:val="sv-SE"/>
        </w:rPr>
        <w:t>användare</w:t>
      </w:r>
      <w:r w:rsidR="00A42E1A"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och </w:t>
      </w:r>
      <w:r w:rsidR="000E66AA">
        <w:rPr>
          <w:lang w:val="sv-SE"/>
        </w:rPr>
        <w:t>rätts</w:t>
      </w:r>
      <w:r>
        <w:rPr>
          <w:lang w:val="sv-SE"/>
        </w:rPr>
        <w:t xml:space="preserve">myndigheter </w:t>
      </w:r>
      <w:r w:rsidR="00A224B3" w:rsidRPr="00D166F5">
        <w:rPr>
          <w:lang w:val="sv-SE"/>
        </w:rPr>
        <w:t xml:space="preserve">– </w:t>
      </w:r>
      <w:r>
        <w:rPr>
          <w:lang w:val="sv-SE"/>
        </w:rPr>
        <w:t xml:space="preserve">dessa droger </w:t>
      </w:r>
      <w:r w:rsidR="00A224B3" w:rsidRPr="00D166F5">
        <w:rPr>
          <w:lang w:val="sv-SE"/>
        </w:rPr>
        <w:t xml:space="preserve">kan vara giftiga </w:t>
      </w:r>
      <w:r>
        <w:rPr>
          <w:lang w:val="sv-SE"/>
        </w:rPr>
        <w:t xml:space="preserve">även </w:t>
      </w:r>
      <w:r w:rsidR="00A224B3" w:rsidRPr="00D166F5">
        <w:rPr>
          <w:lang w:val="sv-SE"/>
        </w:rPr>
        <w:t xml:space="preserve">i mycket </w:t>
      </w:r>
      <w:r w:rsidR="00A42E1A">
        <w:rPr>
          <w:lang w:val="sv-SE"/>
        </w:rPr>
        <w:t>låga</w:t>
      </w:r>
      <w:r w:rsidR="00A42E1A" w:rsidRPr="00D166F5">
        <w:rPr>
          <w:lang w:val="sv-SE"/>
        </w:rPr>
        <w:t xml:space="preserve"> </w:t>
      </w:r>
      <w:r w:rsidR="00A224B3" w:rsidRPr="00D166F5">
        <w:rPr>
          <w:lang w:val="sv-SE"/>
        </w:rPr>
        <w:t xml:space="preserve">doser och små </w:t>
      </w:r>
      <w:r>
        <w:rPr>
          <w:lang w:val="sv-SE"/>
        </w:rPr>
        <w:t xml:space="preserve">kvantiteter </w:t>
      </w:r>
      <w:r w:rsidR="00A42E1A">
        <w:rPr>
          <w:lang w:val="sv-SE"/>
        </w:rPr>
        <w:t xml:space="preserve">räcker </w:t>
      </w:r>
      <w:r w:rsidR="00A224B3" w:rsidRPr="00D166F5">
        <w:rPr>
          <w:lang w:val="sv-SE"/>
        </w:rPr>
        <w:t xml:space="preserve">för att </w:t>
      </w:r>
      <w:r>
        <w:rPr>
          <w:lang w:val="sv-SE"/>
        </w:rPr>
        <w:t xml:space="preserve">producera ett stort antal </w:t>
      </w:r>
      <w:r w:rsidR="00A224B3" w:rsidRPr="00D166F5">
        <w:rPr>
          <w:lang w:val="sv-SE"/>
        </w:rPr>
        <w:t>individuella doser.</w:t>
      </w:r>
    </w:p>
    <w:p w14:paraId="41BF78BD" w14:textId="1BADCC60" w:rsidR="00A224B3" w:rsidRPr="00E87301" w:rsidRDefault="00A224B3" w:rsidP="000D4542">
      <w:pPr>
        <w:pStyle w:val="newsNotes"/>
        <w:rPr>
          <w:b/>
          <w:lang w:val="sv-SE"/>
        </w:rPr>
      </w:pPr>
      <w:r w:rsidRPr="00E87301">
        <w:rPr>
          <w:b/>
          <w:lang w:val="sv-SE"/>
        </w:rPr>
        <w:t xml:space="preserve">Cannabis: kontroverser, kontraster och </w:t>
      </w:r>
      <w:r w:rsidR="000E66AA" w:rsidRPr="00E87301">
        <w:rPr>
          <w:b/>
          <w:lang w:val="sv-SE"/>
        </w:rPr>
        <w:t xml:space="preserve">motsägelser </w:t>
      </w:r>
    </w:p>
    <w:p w14:paraId="6987D4D5" w14:textId="77777777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lang w:val="sv-SE"/>
        </w:rPr>
        <w:t xml:space="preserve">Enligt attitydundersökningar </w:t>
      </w:r>
      <w:r w:rsidR="0054591A">
        <w:rPr>
          <w:lang w:val="sv-SE"/>
        </w:rPr>
        <w:t xml:space="preserve">inom </w:t>
      </w:r>
      <w:r w:rsidRPr="00D166F5">
        <w:rPr>
          <w:b/>
          <w:lang w:val="sv-SE"/>
        </w:rPr>
        <w:t>EU</w:t>
      </w:r>
      <w:r w:rsidRPr="00D166F5">
        <w:rPr>
          <w:lang w:val="sv-SE"/>
        </w:rPr>
        <w:t xml:space="preserve"> (</w:t>
      </w:r>
      <w:r w:rsidRPr="00D166F5">
        <w:rPr>
          <w:vertAlign w:val="superscript"/>
          <w:lang w:val="sv-SE"/>
        </w:rPr>
        <w:t>7</w:t>
      </w:r>
      <w:r w:rsidRPr="00D166F5">
        <w:rPr>
          <w:lang w:val="sv-SE"/>
        </w:rPr>
        <w:t>) är cannabis fortfarande den drog som splittrar den allmänna opinionen mest</w:t>
      </w:r>
      <w:r w:rsidR="0054591A">
        <w:rPr>
          <w:lang w:val="sv-SE"/>
        </w:rPr>
        <w:t xml:space="preserve">, vilket </w:t>
      </w:r>
      <w:r w:rsidRPr="00D166F5">
        <w:rPr>
          <w:lang w:val="sv-SE"/>
        </w:rPr>
        <w:t xml:space="preserve">bidrar till en livlig </w:t>
      </w:r>
      <w:r w:rsidR="0054591A">
        <w:rPr>
          <w:lang w:val="sv-SE"/>
        </w:rPr>
        <w:t xml:space="preserve">allmän </w:t>
      </w:r>
      <w:r w:rsidRPr="00D166F5">
        <w:rPr>
          <w:lang w:val="sv-SE"/>
        </w:rPr>
        <w:t xml:space="preserve">debatt som </w:t>
      </w:r>
      <w:r w:rsidR="0054591A">
        <w:rPr>
          <w:lang w:val="sv-SE"/>
        </w:rPr>
        <w:t xml:space="preserve">på senare tid har underblåsts </w:t>
      </w:r>
      <w:r w:rsidRPr="00D166F5">
        <w:rPr>
          <w:lang w:val="sv-SE"/>
        </w:rPr>
        <w:t xml:space="preserve">av hur </w:t>
      </w:r>
      <w:r w:rsidR="0054591A">
        <w:rPr>
          <w:lang w:val="sv-SE"/>
        </w:rPr>
        <w:t xml:space="preserve">kontrollen av utbudet </w:t>
      </w:r>
      <w:r w:rsidRPr="00D166F5">
        <w:rPr>
          <w:lang w:val="sv-SE"/>
        </w:rPr>
        <w:t xml:space="preserve">och användningen av cannabis </w:t>
      </w:r>
      <w:r w:rsidR="0054591A">
        <w:rPr>
          <w:lang w:val="sv-SE"/>
        </w:rPr>
        <w:t xml:space="preserve">har utvecklats internationellt </w:t>
      </w:r>
      <w:r w:rsidRPr="00D166F5">
        <w:rPr>
          <w:lang w:val="sv-SE"/>
        </w:rPr>
        <w:t xml:space="preserve">(t.ex. </w:t>
      </w:r>
      <w:r w:rsidR="0054591A">
        <w:rPr>
          <w:lang w:val="sv-SE"/>
        </w:rPr>
        <w:t>ändrad lagst</w:t>
      </w:r>
      <w:r w:rsidR="00A42E1A">
        <w:rPr>
          <w:lang w:val="sv-SE"/>
        </w:rPr>
        <w:t>i</w:t>
      </w:r>
      <w:r w:rsidR="0054591A">
        <w:rPr>
          <w:lang w:val="sv-SE"/>
        </w:rPr>
        <w:t xml:space="preserve">ftning </w:t>
      </w:r>
      <w:r w:rsidRPr="00D166F5">
        <w:rPr>
          <w:lang w:val="sv-SE"/>
        </w:rPr>
        <w:t xml:space="preserve">i </w:t>
      </w:r>
      <w:r w:rsidR="0054591A">
        <w:rPr>
          <w:lang w:val="sv-SE"/>
        </w:rPr>
        <w:t xml:space="preserve">vissa </w:t>
      </w:r>
      <w:r w:rsidRPr="00D166F5">
        <w:rPr>
          <w:lang w:val="sv-SE"/>
        </w:rPr>
        <w:t xml:space="preserve">delstater i </w:t>
      </w:r>
      <w:r w:rsidRPr="00D166F5">
        <w:rPr>
          <w:b/>
          <w:lang w:val="sv-SE"/>
        </w:rPr>
        <w:t>USA</w:t>
      </w:r>
      <w:r w:rsidRPr="00D166F5">
        <w:rPr>
          <w:lang w:val="sv-SE"/>
        </w:rPr>
        <w:t xml:space="preserve"> och i delar av </w:t>
      </w:r>
      <w:r w:rsidRPr="00D166F5">
        <w:rPr>
          <w:b/>
          <w:lang w:val="sv-SE"/>
        </w:rPr>
        <w:t>Latinamerika</w:t>
      </w:r>
      <w:r w:rsidRPr="00D166F5">
        <w:rPr>
          <w:lang w:val="sv-SE"/>
        </w:rPr>
        <w:t xml:space="preserve">). </w:t>
      </w:r>
      <w:r w:rsidR="00601252">
        <w:rPr>
          <w:lang w:val="sv-SE"/>
        </w:rPr>
        <w:t xml:space="preserve">I Europa har </w:t>
      </w:r>
      <w:r w:rsidRPr="00D166F5">
        <w:rPr>
          <w:lang w:val="sv-SE"/>
        </w:rPr>
        <w:t xml:space="preserve">diskussionen om cannabiskontroll tenderat att </w:t>
      </w:r>
      <w:r w:rsidR="00601252">
        <w:rPr>
          <w:lang w:val="sv-SE"/>
        </w:rPr>
        <w:t xml:space="preserve">handla mer om </w:t>
      </w:r>
      <w:r w:rsidRPr="00D166F5">
        <w:rPr>
          <w:lang w:val="sv-SE"/>
        </w:rPr>
        <w:t>narkotika</w:t>
      </w:r>
      <w:r w:rsidR="00601252">
        <w:rPr>
          <w:lang w:val="sv-SE"/>
        </w:rPr>
        <w:t xml:space="preserve">utbud </w:t>
      </w:r>
      <w:r w:rsidRPr="00D166F5">
        <w:rPr>
          <w:lang w:val="sv-SE"/>
        </w:rPr>
        <w:t>och narkotikahandel</w:t>
      </w:r>
      <w:r w:rsidR="00601252">
        <w:rPr>
          <w:lang w:val="sv-SE"/>
        </w:rPr>
        <w:t xml:space="preserve"> än om den enskildes </w:t>
      </w:r>
      <w:r w:rsidRPr="00D166F5">
        <w:rPr>
          <w:lang w:val="sv-SE"/>
        </w:rPr>
        <w:t xml:space="preserve">bruk. </w:t>
      </w:r>
      <w:r w:rsidR="00601252">
        <w:rPr>
          <w:lang w:val="sv-SE"/>
        </w:rPr>
        <w:t>Totalt sett har a</w:t>
      </w:r>
      <w:r w:rsidRPr="00D166F5">
        <w:rPr>
          <w:lang w:val="sv-SE"/>
        </w:rPr>
        <w:t>ntalet cannabisrelaterade brott gällande innehav och bruk emellertid ökat stadigt under nästan tio år (figur 4.1).</w:t>
      </w:r>
    </w:p>
    <w:p w14:paraId="1AFCD7FB" w14:textId="369BD825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lang w:val="sv-SE"/>
        </w:rPr>
        <w:t xml:space="preserve">Omkring 73,6 miljoner européer har </w:t>
      </w:r>
      <w:r w:rsidR="00601252">
        <w:rPr>
          <w:lang w:val="sv-SE"/>
        </w:rPr>
        <w:t>testat</w:t>
      </w:r>
      <w:r w:rsidRPr="00D166F5">
        <w:rPr>
          <w:lang w:val="sv-SE"/>
        </w:rPr>
        <w:t xml:space="preserve"> cannabis </w:t>
      </w:r>
      <w:r w:rsidR="00601252">
        <w:rPr>
          <w:lang w:val="sv-SE"/>
        </w:rPr>
        <w:t xml:space="preserve">någon gång </w:t>
      </w:r>
      <w:r w:rsidR="00DC0DD1">
        <w:rPr>
          <w:lang w:val="sv-SE"/>
        </w:rPr>
        <w:t xml:space="preserve">i livet </w:t>
      </w:r>
      <w:r w:rsidRPr="00D166F5">
        <w:rPr>
          <w:lang w:val="sv-SE"/>
        </w:rPr>
        <w:t xml:space="preserve">och 18,1 miljoner </w:t>
      </w:r>
      <w:r w:rsidR="00F14ACE">
        <w:rPr>
          <w:lang w:val="sv-SE"/>
        </w:rPr>
        <w:t xml:space="preserve">har använt cannabis </w:t>
      </w:r>
      <w:r w:rsidRPr="00D166F5">
        <w:rPr>
          <w:lang w:val="sv-SE"/>
        </w:rPr>
        <w:t xml:space="preserve">det senaste året. Uppskattningsvis 14,6 miljoner unga européer (15–34 år) </w:t>
      </w:r>
      <w:r w:rsidR="00F14ACE">
        <w:rPr>
          <w:lang w:val="sv-SE"/>
        </w:rPr>
        <w:t xml:space="preserve">uppger att de har </w:t>
      </w:r>
      <w:r w:rsidR="00F14ACE" w:rsidRPr="00D166F5">
        <w:rPr>
          <w:lang w:val="sv-SE"/>
        </w:rPr>
        <w:t>använ</w:t>
      </w:r>
      <w:r w:rsidR="00F14ACE">
        <w:rPr>
          <w:lang w:val="sv-SE"/>
        </w:rPr>
        <w:t xml:space="preserve">t cannabis </w:t>
      </w:r>
      <w:r w:rsidRPr="00D166F5">
        <w:rPr>
          <w:lang w:val="sv-SE"/>
        </w:rPr>
        <w:t xml:space="preserve">under det senaste året. </w:t>
      </w:r>
      <w:r w:rsidR="00F14ACE" w:rsidRPr="00D166F5">
        <w:rPr>
          <w:lang w:val="sv-SE"/>
        </w:rPr>
        <w:t>Cannabis</w:t>
      </w:r>
      <w:r w:rsidR="00F14ACE">
        <w:rPr>
          <w:lang w:val="sv-SE"/>
        </w:rPr>
        <w:t xml:space="preserve">bruket </w:t>
      </w:r>
      <w:r w:rsidRPr="00D166F5">
        <w:rPr>
          <w:lang w:val="sv-SE"/>
        </w:rPr>
        <w:t xml:space="preserve">i Europa </w:t>
      </w:r>
      <w:r w:rsidR="00F14ACE">
        <w:rPr>
          <w:lang w:val="sv-SE"/>
        </w:rPr>
        <w:t xml:space="preserve">verkar överlag </w:t>
      </w:r>
      <w:r w:rsidRPr="00D166F5">
        <w:rPr>
          <w:lang w:val="sv-SE"/>
        </w:rPr>
        <w:t>vara stabil</w:t>
      </w:r>
      <w:r w:rsidR="00F14ACE">
        <w:rPr>
          <w:lang w:val="sv-SE"/>
        </w:rPr>
        <w:t>t</w:t>
      </w:r>
      <w:r w:rsidRPr="00D166F5">
        <w:rPr>
          <w:lang w:val="sv-SE"/>
        </w:rPr>
        <w:t xml:space="preserve"> </w:t>
      </w:r>
      <w:r w:rsidR="00F14ACE">
        <w:rPr>
          <w:lang w:val="sv-SE"/>
        </w:rPr>
        <w:t>eller på nedgång</w:t>
      </w:r>
      <w:r w:rsidRPr="00D166F5">
        <w:rPr>
          <w:lang w:val="sv-SE"/>
        </w:rPr>
        <w:t xml:space="preserve">, särskilt i yngre åldersgrupper. </w:t>
      </w:r>
      <w:r w:rsidR="00F14ACE">
        <w:rPr>
          <w:lang w:val="sv-SE"/>
        </w:rPr>
        <w:t>När det gäller d</w:t>
      </w:r>
      <w:r w:rsidRPr="00D166F5">
        <w:rPr>
          <w:lang w:val="sv-SE"/>
        </w:rPr>
        <w:t xml:space="preserve">e nationella trenderna </w:t>
      </w:r>
      <w:r w:rsidR="00F14ACE">
        <w:rPr>
          <w:lang w:val="sv-SE"/>
        </w:rPr>
        <w:t xml:space="preserve">är skillnaderna </w:t>
      </w:r>
      <w:r w:rsidRPr="00D166F5">
        <w:rPr>
          <w:lang w:val="sv-SE"/>
        </w:rPr>
        <w:t xml:space="preserve">dock större: </w:t>
      </w:r>
      <w:r w:rsidR="00F14ACE">
        <w:rPr>
          <w:lang w:val="sv-SE"/>
        </w:rPr>
        <w:t>a</w:t>
      </w:r>
      <w:r w:rsidRPr="00D166F5">
        <w:rPr>
          <w:lang w:val="sv-SE"/>
        </w:rPr>
        <w:t xml:space="preserve">v de länder som </w:t>
      </w:r>
      <w:r w:rsidR="00F14ACE">
        <w:rPr>
          <w:lang w:val="sv-SE"/>
        </w:rPr>
        <w:t xml:space="preserve">har gjort </w:t>
      </w:r>
      <w:r w:rsidRPr="00D166F5">
        <w:rPr>
          <w:lang w:val="sv-SE"/>
        </w:rPr>
        <w:t xml:space="preserve">nya undersökningar sedan 2011 </w:t>
      </w:r>
      <w:r w:rsidR="00F14ACE">
        <w:rPr>
          <w:lang w:val="sv-SE"/>
        </w:rPr>
        <w:t xml:space="preserve">rapporterade </w:t>
      </w:r>
      <w:r w:rsidRPr="00D166F5">
        <w:rPr>
          <w:lang w:val="sv-SE"/>
        </w:rPr>
        <w:t xml:space="preserve">åtta att </w:t>
      </w:r>
      <w:r w:rsidR="00F14ACE">
        <w:rPr>
          <w:lang w:val="sv-SE"/>
        </w:rPr>
        <w:t xml:space="preserve">användningen under de senaste </w:t>
      </w:r>
      <w:r w:rsidRPr="00D166F5">
        <w:rPr>
          <w:lang w:val="sv-SE"/>
        </w:rPr>
        <w:t>tolv</w:t>
      </w:r>
      <w:r w:rsidR="00D95C81">
        <w:rPr>
          <w:lang w:val="sv-SE"/>
        </w:rPr>
        <w:t> </w:t>
      </w:r>
      <w:r w:rsidRPr="00D166F5">
        <w:rPr>
          <w:lang w:val="sv-SE"/>
        </w:rPr>
        <w:t>månader</w:t>
      </w:r>
      <w:r w:rsidR="00F14ACE">
        <w:rPr>
          <w:lang w:val="sv-SE"/>
        </w:rPr>
        <w:t xml:space="preserve">na hade minskat, medan fem rapporterade att den hade ökat (i åldersgruppen </w:t>
      </w:r>
      <w:r w:rsidRPr="00D166F5">
        <w:rPr>
          <w:lang w:val="sv-SE"/>
        </w:rPr>
        <w:t>15–34 år) (fi</w:t>
      </w:r>
      <w:r w:rsidR="00D95C81">
        <w:rPr>
          <w:lang w:val="sv-SE"/>
        </w:rPr>
        <w:t>gur </w:t>
      </w:r>
      <w:r w:rsidRPr="00D166F5">
        <w:rPr>
          <w:lang w:val="sv-SE"/>
        </w:rPr>
        <w:t xml:space="preserve">2.1). </w:t>
      </w:r>
    </w:p>
    <w:p w14:paraId="70F68189" w14:textId="13BFD5B7" w:rsidR="00A224B3" w:rsidRPr="00D166F5" w:rsidRDefault="00F14ACE" w:rsidP="000D4542">
      <w:pPr>
        <w:pStyle w:val="newsNotes"/>
        <w:rPr>
          <w:lang w:val="sv-SE"/>
        </w:rPr>
      </w:pPr>
      <w:r>
        <w:rPr>
          <w:lang w:val="sv-SE"/>
        </w:rPr>
        <w:t xml:space="preserve">Folkhälsoproblemet </w:t>
      </w:r>
      <w:r w:rsidR="00A224B3" w:rsidRPr="00D166F5">
        <w:rPr>
          <w:lang w:val="sv-SE"/>
        </w:rPr>
        <w:t>är störst när det gäller européer som använder drogen dagligen eller nästan dagligen (omkring 1 % av vuxna i Europa</w:t>
      </w:r>
      <w:r>
        <w:rPr>
          <w:lang w:val="sv-SE"/>
        </w:rPr>
        <w:t xml:space="preserve"> i åldersgruppen </w:t>
      </w:r>
      <w:r w:rsidR="00A224B3" w:rsidRPr="00D166F5">
        <w:rPr>
          <w:lang w:val="sv-SE"/>
        </w:rPr>
        <w:t>15–64 år). År 2012 var cannabis den drog som oftast angavs som huvudskäl till narkotikabehandling</w:t>
      </w:r>
      <w:r>
        <w:rPr>
          <w:lang w:val="sv-SE"/>
        </w:rPr>
        <w:t xml:space="preserve"> av personer som skrevs in </w:t>
      </w:r>
      <w:r w:rsidR="00DC0DD1">
        <w:rPr>
          <w:lang w:val="sv-SE"/>
        </w:rPr>
        <w:t xml:space="preserve">för behandling </w:t>
      </w:r>
      <w:r>
        <w:rPr>
          <w:lang w:val="sv-SE"/>
        </w:rPr>
        <w:t>för första gången</w:t>
      </w:r>
      <w:r w:rsidR="00A224B3" w:rsidRPr="00D166F5">
        <w:rPr>
          <w:lang w:val="sv-SE"/>
        </w:rPr>
        <w:t xml:space="preserve">. </w:t>
      </w:r>
      <w:r>
        <w:rPr>
          <w:lang w:val="sv-SE"/>
        </w:rPr>
        <w:t xml:space="preserve">Bristen på systematisk uppföljning av </w:t>
      </w:r>
      <w:r w:rsidR="00A224B3" w:rsidRPr="00D166F5">
        <w:rPr>
          <w:lang w:val="sv-SE"/>
        </w:rPr>
        <w:t xml:space="preserve">drogrelaterade akutfall är </w:t>
      </w:r>
      <w:r>
        <w:rPr>
          <w:lang w:val="sv-SE"/>
        </w:rPr>
        <w:t>”</w:t>
      </w:r>
      <w:r w:rsidR="00A224B3" w:rsidRPr="00D166F5">
        <w:rPr>
          <w:lang w:val="sv-SE"/>
        </w:rPr>
        <w:t xml:space="preserve">en blind fläck i den europeiska övervakningen av framväxande hälsohot”, </w:t>
      </w:r>
      <w:r>
        <w:rPr>
          <w:lang w:val="sv-SE"/>
        </w:rPr>
        <w:t xml:space="preserve">konstaterar </w:t>
      </w:r>
      <w:r w:rsidR="00A224B3" w:rsidRPr="00D166F5">
        <w:rPr>
          <w:b/>
          <w:lang w:val="sv-SE"/>
        </w:rPr>
        <w:t>EMCDDA</w:t>
      </w:r>
      <w:r w:rsidR="00A224B3" w:rsidRPr="00D166F5">
        <w:rPr>
          <w:lang w:val="sv-SE"/>
        </w:rPr>
        <w:t xml:space="preserve">. </w:t>
      </w:r>
      <w:r w:rsidR="00F80060">
        <w:rPr>
          <w:lang w:val="sv-SE"/>
        </w:rPr>
        <w:t>D</w:t>
      </w:r>
      <w:r w:rsidR="00A224B3" w:rsidRPr="00D166F5">
        <w:rPr>
          <w:lang w:val="sv-SE"/>
        </w:rPr>
        <w:t xml:space="preserve">e begränsade uppgifter som finns tillgängliga </w:t>
      </w:r>
      <w:r w:rsidR="00F80060">
        <w:rPr>
          <w:lang w:val="sv-SE"/>
        </w:rPr>
        <w:t xml:space="preserve">tyder på att </w:t>
      </w:r>
      <w:r w:rsidR="00A224B3" w:rsidRPr="00D166F5">
        <w:rPr>
          <w:lang w:val="sv-SE"/>
        </w:rPr>
        <w:t xml:space="preserve">cannabisrelaterade akutfall </w:t>
      </w:r>
      <w:r w:rsidR="00F80060">
        <w:rPr>
          <w:lang w:val="sv-SE"/>
        </w:rPr>
        <w:t xml:space="preserve">är </w:t>
      </w:r>
      <w:r w:rsidR="00A224B3" w:rsidRPr="00D166F5">
        <w:rPr>
          <w:lang w:val="sv-SE"/>
        </w:rPr>
        <w:t>ett växande problem i några länder med hög prevalens.</w:t>
      </w:r>
    </w:p>
    <w:p w14:paraId="3BD45E4E" w14:textId="365D8796" w:rsidR="00A224B3" w:rsidRPr="00D166F5" w:rsidRDefault="00A224B3" w:rsidP="000D4542">
      <w:pPr>
        <w:pStyle w:val="newsNotes"/>
        <w:rPr>
          <w:lang w:val="sv-SE"/>
        </w:rPr>
      </w:pPr>
      <w:r w:rsidRPr="00D166F5">
        <w:rPr>
          <w:b/>
          <w:lang w:val="sv-SE"/>
        </w:rPr>
        <w:t>EMCDDA:s direktör Wolfgang Götz</w:t>
      </w:r>
      <w:r w:rsidRPr="00D166F5">
        <w:rPr>
          <w:lang w:val="sv-SE"/>
        </w:rPr>
        <w:t xml:space="preserve"> säger sammanfattningsvis: ”Jag är stolt över de insikter som denna rapport ger </w:t>
      </w:r>
      <w:r w:rsidR="00471853">
        <w:rPr>
          <w:lang w:val="sv-SE"/>
        </w:rPr>
        <w:t>när det gäller</w:t>
      </w:r>
      <w:r w:rsidR="00471853" w:rsidRPr="00D166F5">
        <w:rPr>
          <w:lang w:val="sv-SE"/>
        </w:rPr>
        <w:t xml:space="preserve"> </w:t>
      </w:r>
      <w:r w:rsidR="00471853">
        <w:rPr>
          <w:lang w:val="sv-SE"/>
        </w:rPr>
        <w:t>såväl</w:t>
      </w:r>
      <w:r w:rsidR="00471853" w:rsidRPr="00D166F5">
        <w:rPr>
          <w:lang w:val="sv-SE"/>
        </w:rPr>
        <w:t xml:space="preserve"> </w:t>
      </w:r>
      <w:r w:rsidRPr="00D166F5">
        <w:rPr>
          <w:lang w:val="sv-SE"/>
        </w:rPr>
        <w:t xml:space="preserve">etablerade problem </w:t>
      </w:r>
      <w:r w:rsidR="00471853">
        <w:rPr>
          <w:lang w:val="sv-SE"/>
        </w:rPr>
        <w:t xml:space="preserve">som </w:t>
      </w:r>
      <w:r w:rsidRPr="00D166F5">
        <w:rPr>
          <w:lang w:val="sv-SE"/>
        </w:rPr>
        <w:t xml:space="preserve">framväxande hot. </w:t>
      </w:r>
      <w:r w:rsidR="00F80060">
        <w:rPr>
          <w:lang w:val="sv-SE"/>
        </w:rPr>
        <w:t>Ett starkt</w:t>
      </w:r>
      <w:r w:rsidR="00F80060" w:rsidRPr="00D166F5">
        <w:rPr>
          <w:lang w:val="sv-SE"/>
        </w:rPr>
        <w:t xml:space="preserve"> </w:t>
      </w:r>
      <w:r w:rsidRPr="00D166F5">
        <w:rPr>
          <w:lang w:val="sv-SE"/>
        </w:rPr>
        <w:t>information</w:t>
      </w:r>
      <w:r w:rsidR="00F80060">
        <w:rPr>
          <w:lang w:val="sv-SE"/>
        </w:rPr>
        <w:t>sunderlag</w:t>
      </w:r>
      <w:r w:rsidRPr="00D166F5">
        <w:rPr>
          <w:lang w:val="sv-SE"/>
        </w:rPr>
        <w:t xml:space="preserve"> </w:t>
      </w:r>
      <w:r w:rsidR="00F80060">
        <w:rPr>
          <w:lang w:val="sv-SE"/>
        </w:rPr>
        <w:t xml:space="preserve">står i centrum </w:t>
      </w:r>
      <w:r w:rsidRPr="00D166F5">
        <w:rPr>
          <w:lang w:val="sv-SE"/>
        </w:rPr>
        <w:t>för Europa</w:t>
      </w:r>
      <w:r w:rsidR="00F80060">
        <w:rPr>
          <w:lang w:val="sv-SE"/>
        </w:rPr>
        <w:t xml:space="preserve">s </w:t>
      </w:r>
      <w:r w:rsidRPr="00D166F5">
        <w:rPr>
          <w:lang w:val="sv-SE"/>
        </w:rPr>
        <w:t>hanter</w:t>
      </w:r>
      <w:r w:rsidR="00F80060">
        <w:rPr>
          <w:lang w:val="sv-SE"/>
        </w:rPr>
        <w:t>ing av</w:t>
      </w:r>
      <w:r w:rsidRPr="00D166F5">
        <w:rPr>
          <w:lang w:val="sv-SE"/>
        </w:rPr>
        <w:t xml:space="preserve"> narkotikaproblem</w:t>
      </w:r>
      <w:r w:rsidR="00F80060">
        <w:rPr>
          <w:lang w:val="sv-SE"/>
        </w:rPr>
        <w:t>en</w:t>
      </w:r>
      <w:r w:rsidRPr="00D166F5">
        <w:rPr>
          <w:lang w:val="sv-SE"/>
        </w:rPr>
        <w:t xml:space="preserve"> och gör våra insatser mer effektiva. För </w:t>
      </w:r>
      <w:r w:rsidR="00F80060">
        <w:rPr>
          <w:lang w:val="sv-SE"/>
        </w:rPr>
        <w:t xml:space="preserve">mer än </w:t>
      </w:r>
      <w:r w:rsidRPr="00D166F5">
        <w:rPr>
          <w:lang w:val="sv-SE"/>
        </w:rPr>
        <w:t xml:space="preserve">15 år sedan </w:t>
      </w:r>
      <w:r w:rsidR="00F80060">
        <w:rPr>
          <w:lang w:val="sv-SE"/>
        </w:rPr>
        <w:t xml:space="preserve">hade </w:t>
      </w:r>
      <w:r w:rsidRPr="00D166F5">
        <w:rPr>
          <w:lang w:val="sv-SE"/>
        </w:rPr>
        <w:t>EU-institutionerna och medlemsstaterna klarsynt</w:t>
      </w:r>
      <w:r w:rsidR="00F80060">
        <w:rPr>
          <w:lang w:val="sv-SE"/>
        </w:rPr>
        <w:t xml:space="preserve">heten att </w:t>
      </w:r>
      <w:r w:rsidRPr="00D166F5">
        <w:rPr>
          <w:lang w:val="sv-SE"/>
        </w:rPr>
        <w:t xml:space="preserve">investera i ett system för tidig varning för nya psykoaktiva ämnen som </w:t>
      </w:r>
      <w:r w:rsidR="00F80060">
        <w:rPr>
          <w:lang w:val="sv-SE"/>
        </w:rPr>
        <w:t>i dag röner stor respekt världen över</w:t>
      </w:r>
      <w:r w:rsidRPr="00D166F5">
        <w:rPr>
          <w:lang w:val="sv-SE"/>
        </w:rPr>
        <w:t xml:space="preserve">. Jag tror att </w:t>
      </w:r>
      <w:r w:rsidR="00F80060">
        <w:rPr>
          <w:lang w:val="sv-SE"/>
        </w:rPr>
        <w:t xml:space="preserve">detta </w:t>
      </w:r>
      <w:r w:rsidRPr="00D166F5">
        <w:rPr>
          <w:lang w:val="sv-SE"/>
        </w:rPr>
        <w:t xml:space="preserve">system – som </w:t>
      </w:r>
      <w:r w:rsidR="00F80060">
        <w:rPr>
          <w:lang w:val="sv-SE"/>
        </w:rPr>
        <w:t xml:space="preserve">gång på </w:t>
      </w:r>
      <w:r w:rsidRPr="00D166F5">
        <w:rPr>
          <w:lang w:val="sv-SE"/>
        </w:rPr>
        <w:t>gång</w:t>
      </w:r>
      <w:r w:rsidR="00F80060">
        <w:rPr>
          <w:lang w:val="sv-SE"/>
        </w:rPr>
        <w:t xml:space="preserve"> </w:t>
      </w:r>
      <w:r w:rsidRPr="00D166F5">
        <w:rPr>
          <w:lang w:val="sv-SE"/>
        </w:rPr>
        <w:t xml:space="preserve">har </w:t>
      </w:r>
      <w:r w:rsidR="00F80060">
        <w:rPr>
          <w:lang w:val="sv-SE"/>
        </w:rPr>
        <w:t>be</w:t>
      </w:r>
      <w:r w:rsidRPr="00D166F5">
        <w:rPr>
          <w:lang w:val="sv-SE"/>
        </w:rPr>
        <w:t>visat si</w:t>
      </w:r>
      <w:r w:rsidR="00F80060">
        <w:rPr>
          <w:lang w:val="sv-SE"/>
        </w:rPr>
        <w:t>tt</w:t>
      </w:r>
      <w:r w:rsidRPr="00D166F5">
        <w:rPr>
          <w:lang w:val="sv-SE"/>
        </w:rPr>
        <w:t xml:space="preserve"> värde</w:t>
      </w:r>
      <w:r w:rsidR="00F80060">
        <w:rPr>
          <w:lang w:val="sv-SE"/>
        </w:rPr>
        <w:t xml:space="preserve"> när det gäller att utbyta </w:t>
      </w:r>
      <w:r w:rsidRPr="00D166F5">
        <w:rPr>
          <w:lang w:val="sv-SE"/>
        </w:rPr>
        <w:t>information</w:t>
      </w:r>
      <w:r w:rsidR="00F80060">
        <w:rPr>
          <w:lang w:val="sv-SE"/>
        </w:rPr>
        <w:t xml:space="preserve"> </w:t>
      </w:r>
      <w:r w:rsidRPr="00D166F5">
        <w:rPr>
          <w:lang w:val="sv-SE"/>
        </w:rPr>
        <w:t>och snabb</w:t>
      </w:r>
      <w:r w:rsidR="00F80060">
        <w:rPr>
          <w:lang w:val="sv-SE"/>
        </w:rPr>
        <w:t>t</w:t>
      </w:r>
      <w:r w:rsidRPr="00D166F5">
        <w:rPr>
          <w:lang w:val="sv-SE"/>
        </w:rPr>
        <w:t xml:space="preserve"> </w:t>
      </w:r>
      <w:r w:rsidR="00F80060" w:rsidRPr="00D166F5">
        <w:rPr>
          <w:lang w:val="sv-SE"/>
        </w:rPr>
        <w:t>rea</w:t>
      </w:r>
      <w:r w:rsidR="00F80060">
        <w:rPr>
          <w:lang w:val="sv-SE"/>
        </w:rPr>
        <w:t xml:space="preserve">gera </w:t>
      </w:r>
      <w:r w:rsidRPr="00D166F5">
        <w:rPr>
          <w:lang w:val="sv-SE"/>
        </w:rPr>
        <w:t xml:space="preserve">på hot – kan stärkas ytterligare. Jag är </w:t>
      </w:r>
      <w:r w:rsidR="00F80060">
        <w:rPr>
          <w:lang w:val="sv-SE"/>
        </w:rPr>
        <w:t xml:space="preserve">emellertid djupt oroad </w:t>
      </w:r>
      <w:r w:rsidRPr="00D166F5">
        <w:rPr>
          <w:lang w:val="sv-SE"/>
        </w:rPr>
        <w:t xml:space="preserve">över att </w:t>
      </w:r>
      <w:r w:rsidR="00F80060">
        <w:rPr>
          <w:lang w:val="sv-SE"/>
        </w:rPr>
        <w:t xml:space="preserve">detta system utsätts för </w:t>
      </w:r>
      <w:r w:rsidRPr="00D166F5">
        <w:rPr>
          <w:lang w:val="sv-SE"/>
        </w:rPr>
        <w:t xml:space="preserve">allt större </w:t>
      </w:r>
      <w:r w:rsidR="00F80060">
        <w:rPr>
          <w:lang w:val="sv-SE"/>
        </w:rPr>
        <w:t xml:space="preserve">belastningar </w:t>
      </w:r>
      <w:r w:rsidRPr="00D166F5">
        <w:rPr>
          <w:lang w:val="sv-SE"/>
        </w:rPr>
        <w:t xml:space="preserve">och </w:t>
      </w:r>
      <w:r w:rsidR="00F80060">
        <w:rPr>
          <w:lang w:val="sv-SE"/>
        </w:rPr>
        <w:t xml:space="preserve">riskerar </w:t>
      </w:r>
      <w:r w:rsidR="00694B2A">
        <w:rPr>
          <w:lang w:val="sv-SE"/>
        </w:rPr>
        <w:t xml:space="preserve">att inte fungera om det inte tilldelas </w:t>
      </w:r>
      <w:r w:rsidRPr="00D166F5">
        <w:rPr>
          <w:lang w:val="sv-SE"/>
        </w:rPr>
        <w:t xml:space="preserve">tillräckliga resurser." </w:t>
      </w:r>
    </w:p>
    <w:p w14:paraId="2ADA2D8B" w14:textId="77777777" w:rsidR="00814A22" w:rsidRDefault="00814A22">
      <w:pPr>
        <w:spacing w:after="0" w:line="240" w:lineRule="auto"/>
        <w:rPr>
          <w:rFonts w:ascii="Arial" w:hAnsi="Arial"/>
          <w:b/>
          <w:sz w:val="16"/>
          <w:szCs w:val="24"/>
          <w:lang w:val="sv-SE"/>
        </w:rPr>
      </w:pPr>
      <w:r>
        <w:rPr>
          <w:rFonts w:ascii="Arial" w:hAnsi="Arial"/>
          <w:b/>
          <w:sz w:val="16"/>
          <w:szCs w:val="24"/>
          <w:lang w:val="sv-SE"/>
        </w:rPr>
        <w:br w:type="page"/>
      </w:r>
    </w:p>
    <w:p w14:paraId="5D32A1CA" w14:textId="3D2761A8" w:rsidR="00A224B3" w:rsidRPr="00D166F5" w:rsidRDefault="00A224B3">
      <w:pPr>
        <w:spacing w:after="0" w:line="280" w:lineRule="auto"/>
        <w:rPr>
          <w:rFonts w:ascii="Arial" w:hAnsi="Arial"/>
          <w:szCs w:val="24"/>
          <w:lang w:val="sv-SE"/>
        </w:rPr>
      </w:pPr>
      <w:r w:rsidRPr="00D166F5">
        <w:rPr>
          <w:rFonts w:ascii="Arial" w:hAnsi="Arial"/>
          <w:b/>
          <w:sz w:val="16"/>
          <w:szCs w:val="24"/>
          <w:lang w:val="sv-SE"/>
        </w:rPr>
        <w:lastRenderedPageBreak/>
        <w:t xml:space="preserve">Noter </w:t>
      </w:r>
    </w:p>
    <w:p w14:paraId="7A7598D9" w14:textId="69D713A1" w:rsidR="00A224B3" w:rsidRPr="00E87301" w:rsidRDefault="00A224B3">
      <w:pPr>
        <w:spacing w:after="0" w:line="280" w:lineRule="auto"/>
        <w:rPr>
          <w:rFonts w:ascii="Arial" w:hAnsi="Arial" w:cs="Arial"/>
          <w:sz w:val="17"/>
          <w:szCs w:val="17"/>
          <w:lang w:val="sv-SE"/>
        </w:rPr>
      </w:pPr>
      <w:r w:rsidRPr="00E87301">
        <w:rPr>
          <w:rFonts w:ascii="Arial" w:hAnsi="Arial" w:cs="Arial"/>
          <w:sz w:val="17"/>
          <w:szCs w:val="17"/>
          <w:lang w:val="sv-SE"/>
        </w:rPr>
        <w:t>(</w:t>
      </w:r>
      <w:r w:rsidR="00B56442" w:rsidRPr="00E87301">
        <w:rPr>
          <w:rFonts w:ascii="Arial" w:hAnsi="Arial" w:cs="Arial"/>
          <w:sz w:val="17"/>
          <w:szCs w:val="17"/>
          <w:vertAlign w:val="superscript"/>
          <w:lang w:val="sv-SE"/>
        </w:rPr>
        <w:t>1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) </w:t>
      </w:r>
      <w:r w:rsidRPr="00E87301">
        <w:rPr>
          <w:rFonts w:ascii="Arial" w:hAnsi="Arial" w:cs="Arial"/>
          <w:b/>
          <w:i/>
          <w:sz w:val="17"/>
          <w:szCs w:val="17"/>
          <w:lang w:val="sv-SE"/>
        </w:rPr>
        <w:t>Europeisk narkotikarapport 2014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: </w:t>
      </w:r>
      <w:r w:rsidRPr="00E87301">
        <w:rPr>
          <w:rFonts w:ascii="Arial" w:hAnsi="Arial" w:cs="Arial"/>
          <w:b/>
          <w:i/>
          <w:sz w:val="17"/>
          <w:szCs w:val="17"/>
          <w:lang w:val="sv-SE"/>
        </w:rPr>
        <w:t xml:space="preserve">Trender och utveckling 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(tillgänglig på 23 språk) och </w:t>
      </w:r>
      <w:r w:rsidRPr="00E87301">
        <w:rPr>
          <w:rFonts w:ascii="Arial" w:hAnsi="Arial" w:cs="Arial"/>
          <w:b/>
          <w:sz w:val="17"/>
          <w:szCs w:val="17"/>
          <w:lang w:val="sv-SE"/>
        </w:rPr>
        <w:t>Perspe</w:t>
      </w:r>
      <w:r w:rsidR="00400ADC">
        <w:rPr>
          <w:rFonts w:ascii="Arial" w:hAnsi="Arial" w:cs="Arial"/>
          <w:b/>
          <w:sz w:val="17"/>
          <w:szCs w:val="17"/>
          <w:lang w:val="sv-SE"/>
        </w:rPr>
        <w:t>k</w:t>
      </w:r>
      <w:r w:rsidRPr="00E87301">
        <w:rPr>
          <w:rFonts w:ascii="Arial" w:hAnsi="Arial" w:cs="Arial"/>
          <w:b/>
          <w:sz w:val="17"/>
          <w:szCs w:val="17"/>
          <w:lang w:val="sv-SE"/>
        </w:rPr>
        <w:t>ti</w:t>
      </w:r>
      <w:r w:rsidR="00E87301" w:rsidRPr="00E87301">
        <w:rPr>
          <w:rFonts w:ascii="Arial" w:hAnsi="Arial" w:cs="Arial"/>
          <w:b/>
          <w:sz w:val="17"/>
          <w:szCs w:val="17"/>
          <w:lang w:val="sv-SE"/>
        </w:rPr>
        <w:t>v p</w:t>
      </w:r>
      <w:r w:rsidR="00E87301" w:rsidRPr="00E87301">
        <w:rPr>
          <w:rFonts w:ascii="Arial" w:hAnsi="Arial" w:cs="Arial"/>
          <w:sz w:val="17"/>
          <w:szCs w:val="17"/>
          <w:lang w:val="sv-SE"/>
        </w:rPr>
        <w:t>å</w:t>
      </w:r>
      <w:r w:rsidR="00E87301" w:rsidRPr="00E87301">
        <w:rPr>
          <w:rFonts w:ascii="Arial" w:hAnsi="Arial" w:cs="Arial"/>
          <w:b/>
          <w:sz w:val="17"/>
          <w:szCs w:val="17"/>
          <w:lang w:val="sv-SE"/>
        </w:rPr>
        <w:t xml:space="preserve"> narkotika </w:t>
      </w:r>
      <w:r w:rsidR="00E87301" w:rsidRPr="00E87301">
        <w:rPr>
          <w:rFonts w:ascii="Arial" w:hAnsi="Arial" w:cs="Arial"/>
          <w:i/>
          <w:sz w:val="17"/>
          <w:szCs w:val="17"/>
          <w:lang w:val="sv-SE"/>
        </w:rPr>
        <w:t xml:space="preserve">Perspectives </w:t>
      </w:r>
      <w:r w:rsidRPr="00E87301">
        <w:rPr>
          <w:rFonts w:ascii="Arial" w:hAnsi="Arial" w:cs="Arial"/>
          <w:i/>
          <w:sz w:val="17"/>
          <w:szCs w:val="17"/>
          <w:lang w:val="sv-SE"/>
        </w:rPr>
        <w:t>on drugs</w:t>
      </w:r>
      <w:r w:rsidR="00E87301" w:rsidRPr="00E87301">
        <w:rPr>
          <w:rFonts w:ascii="Arial" w:hAnsi="Arial" w:cs="Arial"/>
          <w:i/>
          <w:sz w:val="17"/>
          <w:szCs w:val="17"/>
          <w:lang w:val="sv-SE"/>
        </w:rPr>
        <w:t>/</w:t>
      </w:r>
      <w:r w:rsidRPr="00E87301">
        <w:rPr>
          <w:rFonts w:ascii="Arial" w:hAnsi="Arial" w:cs="Arial"/>
          <w:i/>
          <w:sz w:val="17"/>
          <w:szCs w:val="17"/>
          <w:lang w:val="sv-SE"/>
        </w:rPr>
        <w:t>PODs</w:t>
      </w:r>
      <w:r w:rsidR="00E87301" w:rsidRPr="00E87301">
        <w:rPr>
          <w:rFonts w:ascii="Arial" w:hAnsi="Arial" w:cs="Arial"/>
          <w:sz w:val="17"/>
          <w:szCs w:val="17"/>
          <w:lang w:val="sv-SE"/>
        </w:rPr>
        <w:t xml:space="preserve"> </w:t>
      </w:r>
      <w:r w:rsidR="00400ADC">
        <w:rPr>
          <w:rFonts w:ascii="Arial" w:hAnsi="Arial" w:cs="Arial"/>
          <w:sz w:val="17"/>
          <w:szCs w:val="17"/>
          <w:lang w:val="sv-SE"/>
        </w:rPr>
        <w:t>–</w:t>
      </w:r>
      <w:r w:rsidR="00E87301" w:rsidRPr="00E87301">
        <w:rPr>
          <w:rFonts w:ascii="Arial" w:hAnsi="Arial" w:cs="Arial"/>
          <w:sz w:val="17"/>
          <w:szCs w:val="17"/>
          <w:lang w:val="sv-SE"/>
        </w:rPr>
        <w:t xml:space="preserve"> 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engelska) finns tillgängliga på </w:t>
      </w:r>
      <w:hyperlink r:id="rId10" w:history="1">
        <w:r w:rsidRPr="00E87301">
          <w:rPr>
            <w:rStyle w:val="Hyperlink"/>
            <w:rFonts w:cs="Arial"/>
            <w:szCs w:val="17"/>
            <w:lang w:val="sv-SE"/>
          </w:rPr>
          <w:t>www.emcdda.europa.eu/edr2014</w:t>
        </w:r>
      </w:hyperlink>
      <w:r w:rsidRPr="00E87301">
        <w:rPr>
          <w:rFonts w:ascii="Arial" w:hAnsi="Arial" w:cs="Arial"/>
          <w:sz w:val="17"/>
          <w:szCs w:val="17"/>
          <w:lang w:val="sv-SE"/>
        </w:rPr>
        <w:t xml:space="preserve">. Data som presenteras i rapporten gäller 2012 eller det senast tillgängliga året. De siffror som anges i detta pressmeddelande är tagna från själva rapporten. Figurer och tabeller finns i </w:t>
      </w:r>
      <w:r w:rsidR="00E87301" w:rsidRPr="00E87301">
        <w:rPr>
          <w:rFonts w:ascii="Arial" w:hAnsi="Arial" w:cs="Arial"/>
          <w:b/>
          <w:sz w:val="17"/>
          <w:szCs w:val="17"/>
          <w:lang w:val="sv-SE"/>
        </w:rPr>
        <w:t>Europeisk narkotikarapport: D</w:t>
      </w:r>
      <w:r w:rsidRPr="00E87301">
        <w:rPr>
          <w:rFonts w:ascii="Arial" w:hAnsi="Arial" w:cs="Arial"/>
          <w:b/>
          <w:sz w:val="17"/>
          <w:szCs w:val="17"/>
          <w:lang w:val="sv-SE"/>
        </w:rPr>
        <w:t>ata och statistik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 </w:t>
      </w:r>
      <w:hyperlink r:id="rId11" w:history="1">
        <w:r w:rsidRPr="00E87301">
          <w:rPr>
            <w:rStyle w:val="Hyperlink"/>
            <w:rFonts w:cs="Arial"/>
            <w:szCs w:val="17"/>
            <w:lang w:val="sv-SE"/>
          </w:rPr>
          <w:t>www.emcdda.europa.eu/data</w:t>
        </w:r>
      </w:hyperlink>
    </w:p>
    <w:p w14:paraId="0C75AE34" w14:textId="77777777" w:rsidR="00A224B3" w:rsidRPr="00E87301" w:rsidRDefault="00B56442">
      <w:pPr>
        <w:spacing w:after="0" w:line="280" w:lineRule="auto"/>
        <w:rPr>
          <w:rFonts w:ascii="Arial" w:hAnsi="Arial" w:cs="Arial"/>
          <w:sz w:val="17"/>
          <w:szCs w:val="17"/>
          <w:lang w:val="sv-SE"/>
        </w:rPr>
      </w:pPr>
      <w:r w:rsidRPr="00E87301">
        <w:rPr>
          <w:rFonts w:ascii="Arial" w:hAnsi="Arial" w:cs="Arial"/>
          <w:sz w:val="17"/>
          <w:szCs w:val="17"/>
          <w:lang w:val="sv-SE"/>
        </w:rPr>
        <w:t>(</w:t>
      </w:r>
      <w:r w:rsidR="00A224B3" w:rsidRPr="00E87301">
        <w:rPr>
          <w:rFonts w:ascii="Arial" w:hAnsi="Arial" w:cs="Arial"/>
          <w:sz w:val="17"/>
          <w:szCs w:val="17"/>
          <w:vertAlign w:val="superscript"/>
          <w:lang w:val="sv-SE"/>
        </w:rPr>
        <w:t>2</w:t>
      </w:r>
      <w:r w:rsidRPr="00E87301">
        <w:rPr>
          <w:rFonts w:ascii="Arial" w:hAnsi="Arial" w:cs="Arial"/>
          <w:sz w:val="17"/>
          <w:szCs w:val="17"/>
          <w:lang w:val="sv-SE"/>
        </w:rPr>
        <w:t>)</w:t>
      </w:r>
      <w:r w:rsidR="00A224B3" w:rsidRPr="00E87301">
        <w:rPr>
          <w:rFonts w:ascii="Arial" w:hAnsi="Arial" w:cs="Arial"/>
          <w:sz w:val="17"/>
          <w:szCs w:val="17"/>
          <w:lang w:val="sv-SE"/>
        </w:rPr>
        <w:t xml:space="preserve"> På grund av skillnader i rapporteringspraxis och metoder bör länder jämföras med försiktighet.</w:t>
      </w:r>
    </w:p>
    <w:p w14:paraId="19A8ADA0" w14:textId="77777777" w:rsidR="00A224B3" w:rsidRPr="00E87301" w:rsidRDefault="00B56442">
      <w:pPr>
        <w:spacing w:after="0" w:line="280" w:lineRule="auto"/>
        <w:rPr>
          <w:rFonts w:ascii="Arial" w:hAnsi="Arial" w:cs="Arial"/>
          <w:sz w:val="17"/>
          <w:szCs w:val="17"/>
          <w:lang w:val="sv-SE"/>
        </w:rPr>
      </w:pPr>
      <w:r w:rsidRPr="00E87301">
        <w:rPr>
          <w:rFonts w:ascii="Arial" w:hAnsi="Arial" w:cs="Arial"/>
          <w:sz w:val="17"/>
          <w:szCs w:val="17"/>
          <w:lang w:val="sv-SE"/>
        </w:rPr>
        <w:t>(</w:t>
      </w:r>
      <w:r w:rsidR="00A224B3" w:rsidRPr="00E87301">
        <w:rPr>
          <w:rFonts w:ascii="Arial" w:hAnsi="Arial" w:cs="Arial"/>
          <w:sz w:val="17"/>
          <w:szCs w:val="17"/>
          <w:vertAlign w:val="superscript"/>
          <w:lang w:val="sv-SE"/>
        </w:rPr>
        <w:t>3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) </w:t>
      </w:r>
      <w:hyperlink r:id="rId12" w:history="1">
        <w:r w:rsidR="00A224B3" w:rsidRPr="00E87301">
          <w:rPr>
            <w:rStyle w:val="Hyperlink"/>
            <w:rFonts w:cs="Arial"/>
            <w:szCs w:val="17"/>
            <w:lang w:val="sv-SE"/>
          </w:rPr>
          <w:t>www.eurosurveillance.org/ViewArticle.aspx?ArticleId=20648</w:t>
        </w:r>
      </w:hyperlink>
    </w:p>
    <w:p w14:paraId="77199775" w14:textId="77777777" w:rsidR="00A224B3" w:rsidRPr="00E87301" w:rsidRDefault="00B56442">
      <w:pPr>
        <w:spacing w:after="0" w:line="280" w:lineRule="auto"/>
        <w:rPr>
          <w:rFonts w:ascii="Arial" w:hAnsi="Arial" w:cs="Arial"/>
          <w:sz w:val="17"/>
          <w:szCs w:val="17"/>
          <w:lang w:val="sv-SE"/>
        </w:rPr>
      </w:pPr>
      <w:r w:rsidRPr="00E87301">
        <w:rPr>
          <w:rFonts w:ascii="Arial" w:hAnsi="Arial" w:cs="Arial"/>
          <w:sz w:val="17"/>
          <w:szCs w:val="17"/>
          <w:lang w:val="sv-SE"/>
        </w:rPr>
        <w:t>(</w:t>
      </w:r>
      <w:r w:rsidRPr="00E87301">
        <w:rPr>
          <w:rFonts w:ascii="Arial" w:hAnsi="Arial" w:cs="Arial"/>
          <w:sz w:val="17"/>
          <w:szCs w:val="17"/>
          <w:vertAlign w:val="superscript"/>
          <w:lang w:val="sv-SE"/>
        </w:rPr>
        <w:t>4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) </w:t>
      </w:r>
      <w:hyperlink r:id="rId13" w:history="1">
        <w:r w:rsidR="00A224B3" w:rsidRPr="00E87301">
          <w:rPr>
            <w:rStyle w:val="Hyperlink"/>
            <w:rFonts w:cs="Arial"/>
            <w:szCs w:val="17"/>
            <w:lang w:val="sv-SE"/>
          </w:rPr>
          <w:t>www.emcdda.europa.eu/publications/emcdda-papers/exploring-methamphetamine-trends-in-Europe</w:t>
        </w:r>
      </w:hyperlink>
    </w:p>
    <w:p w14:paraId="2BD45685" w14:textId="77777777" w:rsidR="00A224B3" w:rsidRPr="00E87301" w:rsidRDefault="00B56442">
      <w:pPr>
        <w:spacing w:after="0" w:line="280" w:lineRule="auto"/>
        <w:rPr>
          <w:rFonts w:ascii="Arial" w:hAnsi="Arial" w:cs="Arial"/>
          <w:sz w:val="17"/>
          <w:szCs w:val="17"/>
          <w:lang w:val="sv-SE"/>
        </w:rPr>
      </w:pPr>
      <w:r w:rsidRPr="00E87301">
        <w:rPr>
          <w:rFonts w:ascii="Arial" w:hAnsi="Arial" w:cs="Arial"/>
          <w:sz w:val="17"/>
          <w:szCs w:val="17"/>
          <w:lang w:val="sv-SE"/>
        </w:rPr>
        <w:t>(</w:t>
      </w:r>
      <w:r w:rsidRPr="00E87301">
        <w:rPr>
          <w:rFonts w:ascii="Arial" w:hAnsi="Arial" w:cs="Arial"/>
          <w:sz w:val="17"/>
          <w:szCs w:val="17"/>
          <w:vertAlign w:val="superscript"/>
          <w:lang w:val="sv-SE"/>
        </w:rPr>
        <w:t>5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) </w:t>
      </w:r>
      <w:hyperlink r:id="rId14" w:history="1">
        <w:r w:rsidR="00A224B3" w:rsidRPr="00E87301">
          <w:rPr>
            <w:rStyle w:val="Hyperlink"/>
            <w:rFonts w:cs="Arial"/>
            <w:szCs w:val="17"/>
            <w:lang w:val="sv-SE"/>
          </w:rPr>
          <w:t>www.emcdda.europa.eu/news/2014/europol-emcdda1</w:t>
        </w:r>
      </w:hyperlink>
    </w:p>
    <w:p w14:paraId="0C07FF44" w14:textId="77777777" w:rsidR="00A224B3" w:rsidRPr="00E87301" w:rsidRDefault="00B56442">
      <w:pPr>
        <w:spacing w:after="0" w:line="280" w:lineRule="auto"/>
        <w:rPr>
          <w:rFonts w:ascii="Arial" w:hAnsi="Arial" w:cs="Arial"/>
          <w:sz w:val="17"/>
          <w:szCs w:val="17"/>
          <w:lang w:val="sv-SE"/>
        </w:rPr>
      </w:pPr>
      <w:r w:rsidRPr="00E87301">
        <w:rPr>
          <w:rFonts w:ascii="Arial" w:hAnsi="Arial" w:cs="Arial"/>
          <w:sz w:val="17"/>
          <w:szCs w:val="17"/>
          <w:lang w:val="sv-SE"/>
        </w:rPr>
        <w:t>(</w:t>
      </w:r>
      <w:r w:rsidRPr="00E87301">
        <w:rPr>
          <w:rFonts w:ascii="Arial" w:hAnsi="Arial" w:cs="Arial"/>
          <w:sz w:val="17"/>
          <w:szCs w:val="17"/>
          <w:vertAlign w:val="superscript"/>
          <w:lang w:val="sv-SE"/>
        </w:rPr>
        <w:t>6</w:t>
      </w:r>
      <w:r w:rsidRPr="00E87301">
        <w:rPr>
          <w:rFonts w:ascii="Arial" w:hAnsi="Arial" w:cs="Arial"/>
          <w:sz w:val="17"/>
          <w:szCs w:val="17"/>
          <w:lang w:val="sv-SE"/>
        </w:rPr>
        <w:t xml:space="preserve">) </w:t>
      </w:r>
      <w:hyperlink r:id="rId15" w:history="1">
        <w:r w:rsidR="00A224B3" w:rsidRPr="00E87301">
          <w:rPr>
            <w:rStyle w:val="Hyperlink"/>
            <w:rFonts w:cs="Arial"/>
            <w:szCs w:val="17"/>
            <w:lang w:val="sv-SE"/>
          </w:rPr>
          <w:t>www.emcdda.europa.eu/publications/implementation-reports/2013</w:t>
        </w:r>
      </w:hyperlink>
    </w:p>
    <w:p w14:paraId="29D88A1A" w14:textId="77777777" w:rsidR="00A224B3" w:rsidRPr="00E87301" w:rsidRDefault="00B56442">
      <w:pPr>
        <w:spacing w:after="0" w:line="280" w:lineRule="auto"/>
        <w:rPr>
          <w:rFonts w:ascii="Arial" w:hAnsi="Arial" w:cs="Arial"/>
          <w:sz w:val="17"/>
          <w:szCs w:val="17"/>
          <w:lang w:val="sv-SE"/>
        </w:rPr>
      </w:pPr>
      <w:r w:rsidRPr="00E87301">
        <w:rPr>
          <w:rFonts w:ascii="Arial" w:hAnsi="Arial" w:cs="Arial"/>
          <w:sz w:val="17"/>
          <w:szCs w:val="17"/>
          <w:lang w:val="sv-SE"/>
        </w:rPr>
        <w:t>(</w:t>
      </w:r>
      <w:r w:rsidRPr="00E87301">
        <w:rPr>
          <w:rFonts w:ascii="Arial" w:hAnsi="Arial" w:cs="Arial"/>
          <w:sz w:val="17"/>
          <w:szCs w:val="17"/>
          <w:vertAlign w:val="superscript"/>
          <w:lang w:val="sv-SE"/>
        </w:rPr>
        <w:t>7</w:t>
      </w:r>
      <w:r w:rsidRPr="00E87301">
        <w:rPr>
          <w:rFonts w:ascii="Arial" w:hAnsi="Arial" w:cs="Arial"/>
          <w:sz w:val="17"/>
          <w:szCs w:val="17"/>
          <w:lang w:val="sv-SE"/>
        </w:rPr>
        <w:t>)</w:t>
      </w:r>
      <w:r w:rsidR="00A224B3" w:rsidRPr="00E87301">
        <w:rPr>
          <w:rFonts w:ascii="Arial" w:hAnsi="Arial" w:cs="Arial"/>
          <w:sz w:val="17"/>
          <w:szCs w:val="17"/>
          <w:lang w:val="sv-SE"/>
        </w:rPr>
        <w:t xml:space="preserve"> </w:t>
      </w:r>
      <w:hyperlink r:id="rId16" w:history="1">
        <w:r w:rsidR="00A224B3" w:rsidRPr="00E87301">
          <w:rPr>
            <w:rStyle w:val="Hyperlink"/>
            <w:rFonts w:cs="Arial"/>
            <w:szCs w:val="17"/>
            <w:lang w:val="sv-SE"/>
          </w:rPr>
          <w:t>http://ec.europa.eu/public_opinion/flash/fl_330_en.pdf</w:t>
        </w:r>
      </w:hyperlink>
    </w:p>
    <w:p w14:paraId="7336DC56" w14:textId="77777777" w:rsidR="00A224B3" w:rsidRPr="00D166F5" w:rsidRDefault="00A224B3" w:rsidP="000D4542">
      <w:pPr>
        <w:pStyle w:val="newsNotes"/>
        <w:rPr>
          <w:lang w:val="sv-SE"/>
        </w:rPr>
      </w:pPr>
    </w:p>
    <w:sectPr w:rsidR="00A224B3" w:rsidRPr="00D166F5" w:rsidSect="00A224B3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276" w:right="1276" w:bottom="1134" w:left="1276" w:header="73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86828" w15:done="0"/>
  <w15:commentEx w15:paraId="13C9F5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4804" w14:textId="77777777" w:rsidR="00474E96" w:rsidRDefault="00474E96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AE21BA5" w14:textId="77777777" w:rsidR="00474E96" w:rsidRDefault="00474E96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0" w:type="dxa"/>
      <w:tblInd w:w="-510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268"/>
      <w:gridCol w:w="2552"/>
    </w:tblGrid>
    <w:tr w:rsidR="00B56442" w14:paraId="737E9871" w14:textId="77777777" w:rsidTr="000A63CC">
      <w:tc>
        <w:tcPr>
          <w:tcW w:w="2268" w:type="dxa"/>
        </w:tcPr>
        <w:p w14:paraId="24A4CB21" w14:textId="77777777" w:rsidR="00B56442" w:rsidRDefault="003A60F1" w:rsidP="000A63CC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299" distR="114299" simplePos="0" relativeHeight="251657728" behindDoc="1" locked="0" layoutInCell="1" allowOverlap="1" wp14:anchorId="0D30E38A" wp14:editId="2795EB3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C592D0E" id="Straight Connector 14" o:spid="_x0000_s1026" style="position:absolute;flip:x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56442">
            <w:rPr>
              <w:noProof/>
            </w:rPr>
            <w:t>www.emcdda.europa.eu/edr2014</w:t>
          </w:r>
        </w:p>
      </w:tc>
      <w:tc>
        <w:tcPr>
          <w:tcW w:w="2552" w:type="dxa"/>
          <w:vAlign w:val="bottom"/>
        </w:tcPr>
        <w:p w14:paraId="611165E3" w14:textId="77777777" w:rsidR="00B56442" w:rsidRDefault="00B56442">
          <w:pPr>
            <w:pStyle w:val="newsReference"/>
            <w:jc w:val="right"/>
            <w:rPr>
              <w:szCs w:val="24"/>
            </w:rPr>
          </w:pPr>
        </w:p>
      </w:tc>
    </w:tr>
  </w:tbl>
  <w:p w14:paraId="5AAB253B" w14:textId="77777777" w:rsidR="00B56442" w:rsidRDefault="00B56442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B56442" w14:paraId="529C09E7" w14:textId="77777777">
      <w:tc>
        <w:tcPr>
          <w:tcW w:w="7196" w:type="dxa"/>
        </w:tcPr>
        <w:p w14:paraId="4F4330DC" w14:textId="77777777" w:rsidR="00B56442" w:rsidRPr="000A63CC" w:rsidRDefault="00B56442" w:rsidP="000A63CC">
          <w:pPr>
            <w:pStyle w:val="newsCoordinates"/>
            <w:rPr>
              <w:lang w:val="sv-SE"/>
            </w:rPr>
          </w:pPr>
          <w:r w:rsidRPr="000A63CC">
            <w:rPr>
              <w:lang w:val="sv-SE"/>
            </w:rPr>
            <w:t xml:space="preserve">Kontaktperson: Kathy Robertson, Mediekontakter </w:t>
          </w:r>
        </w:p>
        <w:p w14:paraId="5FB6528B" w14:textId="77777777" w:rsidR="00B56442" w:rsidRPr="000A63CC" w:rsidRDefault="00B56442" w:rsidP="000A63CC">
          <w:pPr>
            <w:pStyle w:val="newsCoordinates"/>
            <w:rPr>
              <w:lang w:val="sv-SE"/>
            </w:rPr>
          </w:pPr>
          <w:proofErr w:type="spellStart"/>
          <w:r w:rsidRPr="000A63CC">
            <w:rPr>
              <w:lang w:val="sv-SE"/>
            </w:rPr>
            <w:t>Praça</w:t>
          </w:r>
          <w:proofErr w:type="spellEnd"/>
          <w:r w:rsidRPr="000A63CC">
            <w:rPr>
              <w:lang w:val="sv-SE"/>
            </w:rPr>
            <w:t xml:space="preserve"> Europa 1, Cais do </w:t>
          </w:r>
          <w:proofErr w:type="spellStart"/>
          <w:r w:rsidRPr="000A63CC">
            <w:rPr>
              <w:lang w:val="sv-SE"/>
            </w:rPr>
            <w:t>Sodré</w:t>
          </w:r>
          <w:proofErr w:type="spellEnd"/>
          <w:r w:rsidRPr="000A63CC">
            <w:rPr>
              <w:lang w:val="sv-SE"/>
            </w:rPr>
            <w:t xml:space="preserve">, 1249-289 Lissabon, Portugal </w:t>
          </w:r>
        </w:p>
        <w:p w14:paraId="70898A8A" w14:textId="77777777" w:rsidR="00B56442" w:rsidRPr="000A63CC" w:rsidRDefault="00B56442" w:rsidP="000A63CC">
          <w:pPr>
            <w:pStyle w:val="newsCoordinates"/>
            <w:rPr>
              <w:lang w:val="sv-SE"/>
            </w:rPr>
          </w:pPr>
          <w:proofErr w:type="gramStart"/>
          <w:r w:rsidRPr="000A63CC">
            <w:rPr>
              <w:lang w:val="sv-SE"/>
            </w:rPr>
            <w:t>Tfn.</w:t>
          </w:r>
          <w:proofErr w:type="gramEnd"/>
          <w:r w:rsidRPr="000A63CC">
            <w:rPr>
              <w:lang w:val="sv-SE"/>
            </w:rPr>
            <w:t xml:space="preserve"> (351) 211 21 02 00 </w:t>
          </w:r>
          <w:r w:rsidRPr="000A63CC">
            <w:rPr>
              <w:sz w:val="18"/>
              <w:lang w:val="sv-SE"/>
            </w:rPr>
            <w:t xml:space="preserve">I </w:t>
          </w:r>
          <w:r w:rsidRPr="000A63CC">
            <w:rPr>
              <w:lang w:val="sv-SE"/>
            </w:rPr>
            <w:t xml:space="preserve">press@emcdda.europa.eu </w:t>
          </w:r>
          <w:r w:rsidRPr="000A63CC">
            <w:rPr>
              <w:sz w:val="18"/>
              <w:lang w:val="sv-SE"/>
            </w:rPr>
            <w:t>I</w:t>
          </w:r>
          <w:r w:rsidRPr="000A63CC">
            <w:rPr>
              <w:lang w:val="sv-SE"/>
            </w:rPr>
            <w:t xml:space="preserve"> emcdda.europa.eu</w:t>
          </w:r>
        </w:p>
      </w:tc>
      <w:tc>
        <w:tcPr>
          <w:tcW w:w="3294" w:type="dxa"/>
          <w:vAlign w:val="bottom"/>
        </w:tcPr>
        <w:p w14:paraId="6794CD7C" w14:textId="77777777" w:rsidR="00B56442" w:rsidRDefault="00B56442">
          <w:pPr>
            <w:pStyle w:val="newsReference"/>
            <w:jc w:val="right"/>
            <w:rPr>
              <w:szCs w:val="24"/>
            </w:rPr>
          </w:pPr>
          <w:r>
            <w:rPr>
              <w:szCs w:val="24"/>
            </w:rPr>
            <w:t>SV — Nr 3/2014</w:t>
          </w:r>
        </w:p>
      </w:tc>
    </w:tr>
  </w:tbl>
  <w:p w14:paraId="4734C66C" w14:textId="77777777" w:rsidR="00B56442" w:rsidRPr="00E01B37" w:rsidRDefault="003A60F1">
    <w:pPr>
      <w:pStyle w:val="Footer"/>
      <w:rPr>
        <w:b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58752" behindDoc="1" locked="0" layoutInCell="1" allowOverlap="1" wp14:anchorId="3D6C8A45" wp14:editId="0801603F">
              <wp:simplePos x="0" y="0"/>
              <wp:positionH relativeFrom="page">
                <wp:posOffset>482599</wp:posOffset>
              </wp:positionH>
              <wp:positionV relativeFrom="page">
                <wp:posOffset>9945370</wp:posOffset>
              </wp:positionV>
              <wp:extent cx="0" cy="431800"/>
              <wp:effectExtent l="0" t="0" r="19050" b="254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A08FB1" id="Straight Connector 4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8pt,783.1pt" to="38pt,8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" strokecolor="#009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43DE" w14:textId="77777777" w:rsidR="00474E96" w:rsidRDefault="00474E96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EB7BA00" w14:textId="77777777" w:rsidR="00474E96" w:rsidRDefault="00474E96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B56442" w14:paraId="4C331D5F" w14:textId="77777777">
      <w:tc>
        <w:tcPr>
          <w:tcW w:w="7196" w:type="dxa"/>
        </w:tcPr>
        <w:p w14:paraId="17F8161A" w14:textId="0A7CA0A6" w:rsidR="00B56442" w:rsidRPr="00B56442" w:rsidRDefault="003A60F1" w:rsidP="000A63CC">
          <w:pPr>
            <w:pStyle w:val="newsEmbargo"/>
            <w:rPr>
              <w:lang w:val="sv-SE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299" distR="114299" simplePos="0" relativeHeight="251656704" behindDoc="1" locked="0" layoutInCell="1" allowOverlap="1" wp14:anchorId="4306E58C" wp14:editId="7AA0FDAE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E32B59" id="Straight Connector 11" o:spid="_x0000_s1026" style="position:absolute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56442" w:rsidRPr="00B56442">
            <w:rPr>
              <w:noProof/>
              <w:lang w:val="sv-SE"/>
            </w:rPr>
            <w:t xml:space="preserve">Europeisk narkotikarapport 2014 </w:t>
          </w:r>
          <w:r w:rsidR="00B56442" w:rsidRPr="00B56442">
            <w:rPr>
              <w:noProof/>
              <w:sz w:val="18"/>
              <w:lang w:val="sv-SE"/>
            </w:rPr>
            <w:t>I</w:t>
          </w:r>
          <w:r w:rsidR="00B56442" w:rsidRPr="00B56442">
            <w:rPr>
              <w:noProof/>
              <w:lang w:val="sv-SE"/>
            </w:rPr>
            <w:t xml:space="preserve"> </w:t>
          </w:r>
          <w:r w:rsidR="00B56442" w:rsidRPr="00814A22">
            <w:rPr>
              <w:rFonts w:eastAsia="Calibri"/>
              <w:b/>
              <w:noProof/>
              <w:color w:val="FF0000"/>
              <w:lang w:val="sv-SE" w:eastAsia="en-GB"/>
            </w:rPr>
            <w:t>FÅR PUBLICERAS TIDIGAST 10:00 WET/Lissabontid</w:t>
          </w:r>
        </w:p>
      </w:tc>
      <w:tc>
        <w:tcPr>
          <w:tcW w:w="3294" w:type="dxa"/>
          <w:vAlign w:val="bottom"/>
        </w:tcPr>
        <w:p w14:paraId="2374A037" w14:textId="77777777" w:rsidR="00B56442" w:rsidRDefault="00B56442">
          <w:pPr>
            <w:pStyle w:val="newsReference"/>
            <w:jc w:val="right"/>
            <w:rPr>
              <w:szCs w:val="24"/>
            </w:rPr>
          </w:pPr>
          <w:r>
            <w:rPr>
              <w:szCs w:val="24"/>
            </w:rPr>
            <w:t>27.5.2014</w:t>
          </w:r>
        </w:p>
      </w:tc>
    </w:tr>
  </w:tbl>
  <w:p w14:paraId="5FFA929C" w14:textId="77777777" w:rsidR="00B56442" w:rsidRDefault="00B56442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5CA5"/>
    <w:rsid w:val="00014E8E"/>
    <w:rsid w:val="00026CF2"/>
    <w:rsid w:val="00036DAA"/>
    <w:rsid w:val="000426F1"/>
    <w:rsid w:val="00045CA5"/>
    <w:rsid w:val="0004768F"/>
    <w:rsid w:val="000535B7"/>
    <w:rsid w:val="00067DD3"/>
    <w:rsid w:val="000A63CC"/>
    <w:rsid w:val="000B30FA"/>
    <w:rsid w:val="000C4789"/>
    <w:rsid w:val="000C6200"/>
    <w:rsid w:val="000D15DD"/>
    <w:rsid w:val="000D4542"/>
    <w:rsid w:val="000D6901"/>
    <w:rsid w:val="000E49A5"/>
    <w:rsid w:val="000E4E81"/>
    <w:rsid w:val="000E66AA"/>
    <w:rsid w:val="000F5D27"/>
    <w:rsid w:val="00100BDB"/>
    <w:rsid w:val="00105BFC"/>
    <w:rsid w:val="00107C96"/>
    <w:rsid w:val="00120069"/>
    <w:rsid w:val="001735D3"/>
    <w:rsid w:val="0017713E"/>
    <w:rsid w:val="00177CCE"/>
    <w:rsid w:val="001800D0"/>
    <w:rsid w:val="00180402"/>
    <w:rsid w:val="001A3338"/>
    <w:rsid w:val="001A46CB"/>
    <w:rsid w:val="001C059F"/>
    <w:rsid w:val="001C795A"/>
    <w:rsid w:val="001D5647"/>
    <w:rsid w:val="001D5C26"/>
    <w:rsid w:val="001D7D99"/>
    <w:rsid w:val="001E2AE8"/>
    <w:rsid w:val="001E30F2"/>
    <w:rsid w:val="001F6362"/>
    <w:rsid w:val="001F70B4"/>
    <w:rsid w:val="002062F6"/>
    <w:rsid w:val="00214415"/>
    <w:rsid w:val="00223753"/>
    <w:rsid w:val="00224B71"/>
    <w:rsid w:val="00251310"/>
    <w:rsid w:val="0025293C"/>
    <w:rsid w:val="002557B0"/>
    <w:rsid w:val="002646E4"/>
    <w:rsid w:val="00264952"/>
    <w:rsid w:val="002720CC"/>
    <w:rsid w:val="0027252D"/>
    <w:rsid w:val="0028141E"/>
    <w:rsid w:val="002948E2"/>
    <w:rsid w:val="00296551"/>
    <w:rsid w:val="002A61F7"/>
    <w:rsid w:val="002A70AB"/>
    <w:rsid w:val="002B05CE"/>
    <w:rsid w:val="002B45AC"/>
    <w:rsid w:val="002C20B3"/>
    <w:rsid w:val="002D3295"/>
    <w:rsid w:val="00307E11"/>
    <w:rsid w:val="0033158E"/>
    <w:rsid w:val="00331D42"/>
    <w:rsid w:val="0033412B"/>
    <w:rsid w:val="0036121D"/>
    <w:rsid w:val="00387D02"/>
    <w:rsid w:val="003A195C"/>
    <w:rsid w:val="003A60F1"/>
    <w:rsid w:val="003B41B1"/>
    <w:rsid w:val="003C0395"/>
    <w:rsid w:val="003C0A2A"/>
    <w:rsid w:val="003C2E9B"/>
    <w:rsid w:val="003F41BB"/>
    <w:rsid w:val="00400ADC"/>
    <w:rsid w:val="00410E46"/>
    <w:rsid w:val="004126AD"/>
    <w:rsid w:val="004137B0"/>
    <w:rsid w:val="004221D3"/>
    <w:rsid w:val="00437973"/>
    <w:rsid w:val="0044111C"/>
    <w:rsid w:val="0044259A"/>
    <w:rsid w:val="00445080"/>
    <w:rsid w:val="004521D9"/>
    <w:rsid w:val="0045468D"/>
    <w:rsid w:val="00460000"/>
    <w:rsid w:val="00471853"/>
    <w:rsid w:val="00474A6D"/>
    <w:rsid w:val="00474E96"/>
    <w:rsid w:val="00483B86"/>
    <w:rsid w:val="004847FB"/>
    <w:rsid w:val="00496AFE"/>
    <w:rsid w:val="004C3028"/>
    <w:rsid w:val="004C6069"/>
    <w:rsid w:val="004D5957"/>
    <w:rsid w:val="004D6E0C"/>
    <w:rsid w:val="00513D26"/>
    <w:rsid w:val="00520EF1"/>
    <w:rsid w:val="005273ED"/>
    <w:rsid w:val="00533D5A"/>
    <w:rsid w:val="00542CEE"/>
    <w:rsid w:val="0054591A"/>
    <w:rsid w:val="00563549"/>
    <w:rsid w:val="00583928"/>
    <w:rsid w:val="005839F5"/>
    <w:rsid w:val="005A0DC8"/>
    <w:rsid w:val="005B05A0"/>
    <w:rsid w:val="005B0882"/>
    <w:rsid w:val="005B1B63"/>
    <w:rsid w:val="005C4033"/>
    <w:rsid w:val="005C77F3"/>
    <w:rsid w:val="005E0BEB"/>
    <w:rsid w:val="005F3615"/>
    <w:rsid w:val="00601252"/>
    <w:rsid w:val="006116D9"/>
    <w:rsid w:val="00623A55"/>
    <w:rsid w:val="0063625E"/>
    <w:rsid w:val="0063677C"/>
    <w:rsid w:val="00666A63"/>
    <w:rsid w:val="00672D22"/>
    <w:rsid w:val="00676485"/>
    <w:rsid w:val="00694B2A"/>
    <w:rsid w:val="00695C19"/>
    <w:rsid w:val="006B1CA5"/>
    <w:rsid w:val="006C0688"/>
    <w:rsid w:val="006E5A7F"/>
    <w:rsid w:val="006E71FA"/>
    <w:rsid w:val="006E7479"/>
    <w:rsid w:val="006F542F"/>
    <w:rsid w:val="00704AE8"/>
    <w:rsid w:val="007204F5"/>
    <w:rsid w:val="00724E23"/>
    <w:rsid w:val="0072666D"/>
    <w:rsid w:val="00730132"/>
    <w:rsid w:val="007327A4"/>
    <w:rsid w:val="00755AE0"/>
    <w:rsid w:val="007634E7"/>
    <w:rsid w:val="007717AF"/>
    <w:rsid w:val="00773814"/>
    <w:rsid w:val="00791F09"/>
    <w:rsid w:val="007A2859"/>
    <w:rsid w:val="007B0E03"/>
    <w:rsid w:val="007B1CCD"/>
    <w:rsid w:val="007B5FBB"/>
    <w:rsid w:val="007C23B0"/>
    <w:rsid w:val="007E45A9"/>
    <w:rsid w:val="007E7C7B"/>
    <w:rsid w:val="00801BC0"/>
    <w:rsid w:val="0080528C"/>
    <w:rsid w:val="008107A7"/>
    <w:rsid w:val="00813FB5"/>
    <w:rsid w:val="00814A22"/>
    <w:rsid w:val="00816EC3"/>
    <w:rsid w:val="00817A4E"/>
    <w:rsid w:val="008216AB"/>
    <w:rsid w:val="008322B5"/>
    <w:rsid w:val="0083341E"/>
    <w:rsid w:val="0083560C"/>
    <w:rsid w:val="00841E86"/>
    <w:rsid w:val="00855B1B"/>
    <w:rsid w:val="00881730"/>
    <w:rsid w:val="008A2B16"/>
    <w:rsid w:val="008A4870"/>
    <w:rsid w:val="008A6F08"/>
    <w:rsid w:val="008C1172"/>
    <w:rsid w:val="008C4703"/>
    <w:rsid w:val="008D54B3"/>
    <w:rsid w:val="008F02BA"/>
    <w:rsid w:val="008F177B"/>
    <w:rsid w:val="008F379B"/>
    <w:rsid w:val="008F399E"/>
    <w:rsid w:val="008F644C"/>
    <w:rsid w:val="00902300"/>
    <w:rsid w:val="009023E9"/>
    <w:rsid w:val="009279B4"/>
    <w:rsid w:val="00952A14"/>
    <w:rsid w:val="00955F0C"/>
    <w:rsid w:val="00956141"/>
    <w:rsid w:val="00960793"/>
    <w:rsid w:val="00974A27"/>
    <w:rsid w:val="009A28FB"/>
    <w:rsid w:val="009C1182"/>
    <w:rsid w:val="009D129E"/>
    <w:rsid w:val="009D6255"/>
    <w:rsid w:val="009F4FB0"/>
    <w:rsid w:val="00A0788A"/>
    <w:rsid w:val="00A16B77"/>
    <w:rsid w:val="00A16FB7"/>
    <w:rsid w:val="00A224B3"/>
    <w:rsid w:val="00A311EF"/>
    <w:rsid w:val="00A3254D"/>
    <w:rsid w:val="00A42E1A"/>
    <w:rsid w:val="00A57BAB"/>
    <w:rsid w:val="00A661E2"/>
    <w:rsid w:val="00A72C47"/>
    <w:rsid w:val="00A80952"/>
    <w:rsid w:val="00A81529"/>
    <w:rsid w:val="00A856B7"/>
    <w:rsid w:val="00A97793"/>
    <w:rsid w:val="00AB2D35"/>
    <w:rsid w:val="00AB5EE0"/>
    <w:rsid w:val="00AC25EA"/>
    <w:rsid w:val="00AC31CE"/>
    <w:rsid w:val="00AC3EE4"/>
    <w:rsid w:val="00AD7BFC"/>
    <w:rsid w:val="00AE093C"/>
    <w:rsid w:val="00AE1738"/>
    <w:rsid w:val="00AE4381"/>
    <w:rsid w:val="00AF13B3"/>
    <w:rsid w:val="00AF259D"/>
    <w:rsid w:val="00B11B73"/>
    <w:rsid w:val="00B272F1"/>
    <w:rsid w:val="00B32227"/>
    <w:rsid w:val="00B3420B"/>
    <w:rsid w:val="00B34F9C"/>
    <w:rsid w:val="00B40C7E"/>
    <w:rsid w:val="00B5067F"/>
    <w:rsid w:val="00B51E08"/>
    <w:rsid w:val="00B56442"/>
    <w:rsid w:val="00B56ABF"/>
    <w:rsid w:val="00B57464"/>
    <w:rsid w:val="00B61036"/>
    <w:rsid w:val="00B625C9"/>
    <w:rsid w:val="00B631E8"/>
    <w:rsid w:val="00B65080"/>
    <w:rsid w:val="00B72A94"/>
    <w:rsid w:val="00B72DD3"/>
    <w:rsid w:val="00B7335C"/>
    <w:rsid w:val="00B97BC5"/>
    <w:rsid w:val="00BB60CF"/>
    <w:rsid w:val="00BE1317"/>
    <w:rsid w:val="00BE2967"/>
    <w:rsid w:val="00BF1E3B"/>
    <w:rsid w:val="00C0774A"/>
    <w:rsid w:val="00C123B2"/>
    <w:rsid w:val="00C22CEF"/>
    <w:rsid w:val="00C36BC1"/>
    <w:rsid w:val="00C376BE"/>
    <w:rsid w:val="00C55C0F"/>
    <w:rsid w:val="00C628C4"/>
    <w:rsid w:val="00C63254"/>
    <w:rsid w:val="00C874C0"/>
    <w:rsid w:val="00CA2FF5"/>
    <w:rsid w:val="00CA77AB"/>
    <w:rsid w:val="00CB49DA"/>
    <w:rsid w:val="00CC1F19"/>
    <w:rsid w:val="00CC4FDA"/>
    <w:rsid w:val="00CC6A8B"/>
    <w:rsid w:val="00CC7EEC"/>
    <w:rsid w:val="00CF05E0"/>
    <w:rsid w:val="00CF2AAA"/>
    <w:rsid w:val="00D01335"/>
    <w:rsid w:val="00D03EC6"/>
    <w:rsid w:val="00D1198A"/>
    <w:rsid w:val="00D166F5"/>
    <w:rsid w:val="00D27270"/>
    <w:rsid w:val="00D3312B"/>
    <w:rsid w:val="00D340AE"/>
    <w:rsid w:val="00D37865"/>
    <w:rsid w:val="00D40DB9"/>
    <w:rsid w:val="00D416FF"/>
    <w:rsid w:val="00D41E1D"/>
    <w:rsid w:val="00D57367"/>
    <w:rsid w:val="00D62014"/>
    <w:rsid w:val="00D62CC3"/>
    <w:rsid w:val="00D84AE3"/>
    <w:rsid w:val="00D86205"/>
    <w:rsid w:val="00D92A34"/>
    <w:rsid w:val="00D95C81"/>
    <w:rsid w:val="00DC0DD1"/>
    <w:rsid w:val="00DC56A8"/>
    <w:rsid w:val="00DD370A"/>
    <w:rsid w:val="00E01B37"/>
    <w:rsid w:val="00E2598F"/>
    <w:rsid w:val="00E27957"/>
    <w:rsid w:val="00E52320"/>
    <w:rsid w:val="00E57C9D"/>
    <w:rsid w:val="00E66CCD"/>
    <w:rsid w:val="00E81F3D"/>
    <w:rsid w:val="00E83855"/>
    <w:rsid w:val="00E83FC3"/>
    <w:rsid w:val="00E87301"/>
    <w:rsid w:val="00E9043D"/>
    <w:rsid w:val="00EA5269"/>
    <w:rsid w:val="00EA67AB"/>
    <w:rsid w:val="00EE23CC"/>
    <w:rsid w:val="00EE5341"/>
    <w:rsid w:val="00EF4354"/>
    <w:rsid w:val="00F06CDE"/>
    <w:rsid w:val="00F14ACE"/>
    <w:rsid w:val="00F17FAE"/>
    <w:rsid w:val="00F21CA9"/>
    <w:rsid w:val="00F24096"/>
    <w:rsid w:val="00F36273"/>
    <w:rsid w:val="00F366F6"/>
    <w:rsid w:val="00F41212"/>
    <w:rsid w:val="00F414EF"/>
    <w:rsid w:val="00F42743"/>
    <w:rsid w:val="00F47542"/>
    <w:rsid w:val="00F530CD"/>
    <w:rsid w:val="00F53229"/>
    <w:rsid w:val="00F80060"/>
    <w:rsid w:val="00F87C25"/>
    <w:rsid w:val="00FB0613"/>
    <w:rsid w:val="00FB351B"/>
    <w:rsid w:val="00FC0187"/>
    <w:rsid w:val="00FC2A42"/>
    <w:rsid w:val="00FE3590"/>
    <w:rsid w:val="00FE3721"/>
    <w:rsid w:val="00FE4789"/>
    <w:rsid w:val="00FF37E9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21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newsTitle">
    <w:name w:val="newsTitle"/>
    <w:basedOn w:val="Normal"/>
    <w:autoRedefine/>
    <w:uiPriority w:val="99"/>
    <w:rsid w:val="00814A22"/>
    <w:pPr>
      <w:tabs>
        <w:tab w:val="left" w:pos="5205"/>
      </w:tabs>
      <w:spacing w:before="480" w:after="120" w:line="220" w:lineRule="exact"/>
    </w:pPr>
    <w:rPr>
      <w:rFonts w:ascii="Arial" w:hAnsi="Arial"/>
      <w:caps/>
      <w:sz w:val="20"/>
      <w:szCs w:val="20"/>
      <w:lang w:val="sv-SE"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link w:val="Footer"/>
    <w:uiPriority w:val="99"/>
    <w:locked/>
    <w:rPr>
      <w:rFonts w:cs="Times New Roman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locked/>
    <w:rPr>
      <w:rFonts w:cs="Times New Roman"/>
    </w:rPr>
  </w:style>
  <w:style w:type="character" w:styleId="Hyperlink">
    <w:name w:val="Hyperlink"/>
    <w:uiPriority w:val="99"/>
    <w:rPr>
      <w:rFonts w:ascii="Arial" w:hAnsi="Arial" w:cs="Times New Roman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uiPriority w:val="99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autoRedefine/>
    <w:qFormat/>
    <w:rsid w:val="000D4542"/>
    <w:pPr>
      <w:spacing w:after="260" w:line="260" w:lineRule="exact"/>
      <w:ind w:right="-285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uiPriority w:val="99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uiPriority w:val="99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uiPriority w:val="99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customStyle="1" w:styleId="newsCoordinates">
    <w:name w:val="newsCoordinates"/>
    <w:basedOn w:val="Footer"/>
    <w:autoRedefine/>
    <w:uiPriority w:val="99"/>
    <w:rsid w:val="000A63CC"/>
    <w:pPr>
      <w:tabs>
        <w:tab w:val="clear" w:pos="9072"/>
        <w:tab w:val="right" w:pos="8222"/>
      </w:tabs>
      <w:spacing w:line="200" w:lineRule="exact"/>
      <w:ind w:left="84" w:right="-57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uiPriority w:val="99"/>
    <w:rPr>
      <w:color w:val="000000"/>
      <w:sz w:val="15"/>
    </w:rPr>
  </w:style>
  <w:style w:type="paragraph" w:customStyle="1" w:styleId="newsDate">
    <w:name w:val="newsDate"/>
    <w:basedOn w:val="newsEmbargo"/>
    <w:autoRedefine/>
    <w:uiPriority w:val="99"/>
    <w:pPr>
      <w:jc w:val="center"/>
    </w:pPr>
  </w:style>
  <w:style w:type="paragraph" w:customStyle="1" w:styleId="newsNotes">
    <w:name w:val="newsNotes"/>
    <w:basedOn w:val="newsContent"/>
    <w:autoRedefine/>
    <w:uiPriority w:val="99"/>
    <w:pPr>
      <w:ind w:right="-144"/>
    </w:pPr>
    <w:rPr>
      <w:color w:val="auto"/>
      <w:szCs w:val="20"/>
    </w:rPr>
  </w:style>
  <w:style w:type="table" w:styleId="TableGrid">
    <w:name w:val="Table Grid"/>
    <w:basedOn w:val="TableNormal"/>
    <w:uiPriority w:val="9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uiPriority w:val="99"/>
    <w:rPr>
      <w:color w:val="0000FF"/>
      <w:sz w:val="24"/>
      <w:lang w:val="en-US" w:eastAsia="sv-SE"/>
    </w:rPr>
  </w:style>
  <w:style w:type="paragraph" w:customStyle="1" w:styleId="newsNotesNumber">
    <w:name w:val="newsNotesNumber"/>
    <w:basedOn w:val="newsNotes"/>
    <w:next w:val="Normal"/>
    <w:autoRedefine/>
    <w:uiPriority w:val="99"/>
    <w:rPr>
      <w:vertAlign w:val="superscript"/>
    </w:rPr>
  </w:style>
  <w:style w:type="character" w:customStyle="1" w:styleId="newsContentChar">
    <w:name w:val="newsContent Char"/>
    <w:locked/>
    <w:rPr>
      <w:rFonts w:ascii="Arial" w:hAnsi="Arial" w:cs="Times New Roman"/>
      <w:color w:val="000000"/>
      <w:sz w:val="20"/>
    </w:rPr>
  </w:style>
  <w:style w:type="character" w:customStyle="1" w:styleId="newsNotesChar">
    <w:name w:val="newsNotes Char"/>
    <w:uiPriority w:val="99"/>
    <w:locked/>
    <w:rPr>
      <w:rFonts w:ascii="Arial" w:hAnsi="Arial" w:cs="Times New Roman"/>
      <w:color w:val="000000"/>
      <w:sz w:val="20"/>
      <w:szCs w:val="20"/>
    </w:rPr>
  </w:style>
  <w:style w:type="character" w:customStyle="1" w:styleId="newsNotesNumberChar">
    <w:name w:val="newsNotesNumber Char"/>
    <w:uiPriority w:val="99"/>
    <w:locked/>
    <w:rPr>
      <w:rFonts w:ascii="Arial" w:hAnsi="Arial" w:cs="Times New Roman"/>
      <w:color w:val="000000"/>
      <w:sz w:val="20"/>
      <w:szCs w:val="20"/>
      <w:vertAlign w:val="superscript"/>
    </w:rPr>
  </w:style>
  <w:style w:type="paragraph" w:customStyle="1" w:styleId="CarcterCarcter">
    <w:name w:val="Carácter Carácter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  <w:lang w:val="pl-PL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2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D22"/>
    <w:rPr>
      <w:rFonts w:ascii="Calibri" w:hAnsi="Calibri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D22"/>
    <w:rPr>
      <w:rFonts w:ascii="Calibri" w:hAnsi="Calibri"/>
      <w:b/>
      <w:bCs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newsTitle">
    <w:name w:val="newsTitle"/>
    <w:basedOn w:val="Normal"/>
    <w:autoRedefine/>
    <w:uiPriority w:val="99"/>
    <w:rsid w:val="00814A22"/>
    <w:pPr>
      <w:tabs>
        <w:tab w:val="left" w:pos="5205"/>
      </w:tabs>
      <w:spacing w:before="480" w:after="120" w:line="220" w:lineRule="exact"/>
    </w:pPr>
    <w:rPr>
      <w:rFonts w:ascii="Arial" w:hAnsi="Arial"/>
      <w:caps/>
      <w:sz w:val="20"/>
      <w:szCs w:val="20"/>
      <w:lang w:val="sv-SE"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link w:val="Footer"/>
    <w:uiPriority w:val="99"/>
    <w:locked/>
    <w:rPr>
      <w:rFonts w:cs="Times New Roman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locked/>
    <w:rPr>
      <w:rFonts w:cs="Times New Roman"/>
    </w:rPr>
  </w:style>
  <w:style w:type="character" w:styleId="Hyperlink">
    <w:name w:val="Hyperlink"/>
    <w:uiPriority w:val="99"/>
    <w:rPr>
      <w:rFonts w:ascii="Arial" w:hAnsi="Arial" w:cs="Times New Roman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uiPriority w:val="99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autoRedefine/>
    <w:qFormat/>
    <w:rsid w:val="000D4542"/>
    <w:pPr>
      <w:spacing w:after="260" w:line="260" w:lineRule="exact"/>
      <w:ind w:right="-285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uiPriority w:val="99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uiPriority w:val="99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uiPriority w:val="99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customStyle="1" w:styleId="newsCoordinates">
    <w:name w:val="newsCoordinates"/>
    <w:basedOn w:val="Footer"/>
    <w:autoRedefine/>
    <w:uiPriority w:val="99"/>
    <w:rsid w:val="000A63CC"/>
    <w:pPr>
      <w:tabs>
        <w:tab w:val="clear" w:pos="9072"/>
        <w:tab w:val="right" w:pos="8222"/>
      </w:tabs>
      <w:spacing w:line="200" w:lineRule="exact"/>
      <w:ind w:left="84" w:right="-57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uiPriority w:val="99"/>
    <w:rPr>
      <w:color w:val="000000"/>
      <w:sz w:val="15"/>
    </w:rPr>
  </w:style>
  <w:style w:type="paragraph" w:customStyle="1" w:styleId="newsDate">
    <w:name w:val="newsDate"/>
    <w:basedOn w:val="newsEmbargo"/>
    <w:autoRedefine/>
    <w:uiPriority w:val="99"/>
    <w:pPr>
      <w:jc w:val="center"/>
    </w:pPr>
  </w:style>
  <w:style w:type="paragraph" w:customStyle="1" w:styleId="newsNotes">
    <w:name w:val="newsNotes"/>
    <w:basedOn w:val="newsContent"/>
    <w:autoRedefine/>
    <w:uiPriority w:val="99"/>
    <w:pPr>
      <w:ind w:right="-144"/>
    </w:pPr>
    <w:rPr>
      <w:color w:val="auto"/>
      <w:szCs w:val="20"/>
    </w:rPr>
  </w:style>
  <w:style w:type="table" w:styleId="TableGrid">
    <w:name w:val="Table Grid"/>
    <w:basedOn w:val="TableNormal"/>
    <w:uiPriority w:val="9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uiPriority w:val="99"/>
    <w:rPr>
      <w:color w:val="0000FF"/>
      <w:sz w:val="24"/>
      <w:lang w:val="en-US" w:eastAsia="sv-SE"/>
    </w:rPr>
  </w:style>
  <w:style w:type="paragraph" w:customStyle="1" w:styleId="newsNotesNumber">
    <w:name w:val="newsNotesNumber"/>
    <w:basedOn w:val="newsNotes"/>
    <w:next w:val="Normal"/>
    <w:autoRedefine/>
    <w:uiPriority w:val="99"/>
    <w:rPr>
      <w:vertAlign w:val="superscript"/>
    </w:rPr>
  </w:style>
  <w:style w:type="character" w:customStyle="1" w:styleId="newsContentChar">
    <w:name w:val="newsContent Char"/>
    <w:locked/>
    <w:rPr>
      <w:rFonts w:ascii="Arial" w:hAnsi="Arial" w:cs="Times New Roman"/>
      <w:color w:val="000000"/>
      <w:sz w:val="20"/>
    </w:rPr>
  </w:style>
  <w:style w:type="character" w:customStyle="1" w:styleId="newsNotesChar">
    <w:name w:val="newsNotes Char"/>
    <w:uiPriority w:val="99"/>
    <w:locked/>
    <w:rPr>
      <w:rFonts w:ascii="Arial" w:hAnsi="Arial" w:cs="Times New Roman"/>
      <w:color w:val="000000"/>
      <w:sz w:val="20"/>
      <w:szCs w:val="20"/>
    </w:rPr>
  </w:style>
  <w:style w:type="character" w:customStyle="1" w:styleId="newsNotesNumberChar">
    <w:name w:val="newsNotesNumber Char"/>
    <w:uiPriority w:val="99"/>
    <w:locked/>
    <w:rPr>
      <w:rFonts w:ascii="Arial" w:hAnsi="Arial" w:cs="Times New Roman"/>
      <w:color w:val="000000"/>
      <w:sz w:val="20"/>
      <w:szCs w:val="20"/>
      <w:vertAlign w:val="superscript"/>
    </w:rPr>
  </w:style>
  <w:style w:type="paragraph" w:customStyle="1" w:styleId="CarcterCarcter">
    <w:name w:val="Carácter Carácter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  <w:lang w:val="pl-PL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2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D22"/>
    <w:rPr>
      <w:rFonts w:ascii="Calibri" w:hAnsi="Calibri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D22"/>
    <w:rPr>
      <w:rFonts w:ascii="Calibri" w:hAnsi="Calibri"/>
      <w:b/>
      <w:bCs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publications/emcdda-papers/exploring-methamphetamine-trends-in-Europ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surveillance.org/ViewArticle.aspx?ArticleId=2064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public_opinion/flash/fl_330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publications/implementation-reports/2013" TargetMode="External"/><Relationship Id="rId10" Type="http://schemas.openxmlformats.org/officeDocument/2006/relationships/hyperlink" Target="http://www.emcdda.europa.eu/edr20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emcdda.europa.eu/news/2014/europol-emcdda1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BA63-AF8A-4476-A865-F1D979D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2527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2014-05-20T15:09:00Z</dcterms:created>
  <dcterms:modified xsi:type="dcterms:W3CDTF">2014-05-21T08:25:00Z</dcterms:modified>
</cp:coreProperties>
</file>