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8916F4" w:rsidTr="00025C96">
        <w:trPr>
          <w:trHeight w:val="1695"/>
        </w:trPr>
        <w:tc>
          <w:tcPr>
            <w:tcW w:w="2331" w:type="pct"/>
          </w:tcPr>
          <w:p w:rsidR="00EE23CC" w:rsidRPr="008916F4" w:rsidRDefault="00EE23CC" w:rsidP="00025C96">
            <w:r w:rsidRPr="008916F4">
              <w:rPr>
                <w:noProof/>
                <w:lang w:val="en-GB" w:eastAsia="en-GB"/>
              </w:rPr>
              <w:drawing>
                <wp:inline distT="0" distB="0" distL="0" distR="0">
                  <wp:extent cx="2810161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161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8916F4" w:rsidRDefault="00EE23CC" w:rsidP="00025C96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8916F4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8916F4" w:rsidRDefault="001F70B4" w:rsidP="001F70B4">
            <w:r w:rsidRPr="008916F4">
              <w:rPr>
                <w:noProof/>
                <w:lang w:val="en-GB" w:eastAsia="en-GB"/>
              </w:rPr>
              <w:drawing>
                <wp:inline distT="0" distB="0" distL="0" distR="0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056" w:rsidRPr="00BA494C" w:rsidRDefault="0015747F" w:rsidP="00BA494C">
      <w:pPr>
        <w:pStyle w:val="newsTitle"/>
        <w:rPr>
          <w:b/>
        </w:rPr>
      </w:pPr>
      <w:r w:rsidRPr="00BA494C">
        <w:t>drogy na meniacom sa európskom trhu – analýza emcdda 2014</w:t>
      </w:r>
    </w:p>
    <w:p w:rsidR="00A46056" w:rsidRPr="008916F4" w:rsidRDefault="0015747F" w:rsidP="00A46056">
      <w:pPr>
        <w:pStyle w:val="newsSubTitle"/>
      </w:pPr>
      <w:r>
        <w:t>Dne</w:t>
      </w:r>
      <w:r w:rsidR="00BD2342">
        <w:t>s</w:t>
      </w:r>
      <w:r>
        <w:t xml:space="preserve"> </w:t>
      </w:r>
      <w:r w:rsidR="00BD2342">
        <w:t xml:space="preserve">bola </w:t>
      </w:r>
      <w:r>
        <w:t>uverejnen</w:t>
      </w:r>
      <w:r w:rsidR="00BD2342">
        <w:t>á</w:t>
      </w:r>
      <w:r>
        <w:t xml:space="preserve"> </w:t>
      </w:r>
      <w:r w:rsidR="00635066">
        <w:t>E</w:t>
      </w:r>
      <w:r>
        <w:t>urópsk</w:t>
      </w:r>
      <w:r w:rsidR="00BD2342">
        <w:t>a</w:t>
      </w:r>
      <w:r>
        <w:t xml:space="preserve"> správ</w:t>
      </w:r>
      <w:r w:rsidR="00BD2342">
        <w:t>a</w:t>
      </w:r>
      <w:r>
        <w:t xml:space="preserve"> o drogách – drogová problematika </w:t>
      </w:r>
      <w:r w:rsidR="00635066">
        <w:t xml:space="preserve">v </w:t>
      </w:r>
      <w:r>
        <w:t>Európ</w:t>
      </w:r>
      <w:r w:rsidR="00635066">
        <w:t>e</w:t>
      </w:r>
      <w:r>
        <w:t xml:space="preserve"> je „čoraz zložitejšia“</w:t>
      </w:r>
      <w:r w:rsidR="00A46056" w:rsidRPr="008916F4">
        <w:t xml:space="preserve"> </w:t>
      </w:r>
    </w:p>
    <w:p w:rsidR="00A46056" w:rsidRPr="008916F4" w:rsidRDefault="0015747F" w:rsidP="00816731">
      <w:pPr>
        <w:pStyle w:val="newsContent"/>
      </w:pPr>
      <w:r>
        <w:t>(27.</w:t>
      </w:r>
      <w:r w:rsidR="00CD1CF0">
        <w:t xml:space="preserve"> </w:t>
      </w:r>
      <w:r>
        <w:t>5.</w:t>
      </w:r>
      <w:r w:rsidR="00CD1CF0">
        <w:t xml:space="preserve"> </w:t>
      </w:r>
      <w:r>
        <w:t xml:space="preserve">2014, LISABON </w:t>
      </w:r>
      <w:r w:rsidR="007B6F08" w:rsidRPr="00BA494C">
        <w:rPr>
          <w:b/>
          <w:color w:val="FF0000"/>
        </w:rPr>
        <w:t>EMBARGO 10.00 ZEČ/l</w:t>
      </w:r>
      <w:r w:rsidRPr="00BA494C">
        <w:rPr>
          <w:b/>
          <w:color w:val="FF0000"/>
        </w:rPr>
        <w:t>isabonsk</w:t>
      </w:r>
      <w:r w:rsidR="00CD1CF0" w:rsidRPr="00BA494C">
        <w:rPr>
          <w:b/>
          <w:color w:val="FF0000"/>
        </w:rPr>
        <w:t>ého</w:t>
      </w:r>
      <w:r w:rsidRPr="00BA494C">
        <w:rPr>
          <w:b/>
          <w:color w:val="FF0000"/>
        </w:rPr>
        <w:t xml:space="preserve"> čas</w:t>
      </w:r>
      <w:r w:rsidR="00CD1CF0" w:rsidRPr="00BA494C">
        <w:rPr>
          <w:b/>
          <w:color w:val="FF0000"/>
        </w:rPr>
        <w:t>u</w:t>
      </w:r>
      <w:r>
        <w:t>) Európsk</w:t>
      </w:r>
      <w:r w:rsidR="00B9762F">
        <w:t>a</w:t>
      </w:r>
      <w:r>
        <w:t xml:space="preserve"> drogov</w:t>
      </w:r>
      <w:r w:rsidR="00B9762F">
        <w:t>á</w:t>
      </w:r>
      <w:r>
        <w:t xml:space="preserve"> probl</w:t>
      </w:r>
      <w:r w:rsidR="00B9762F">
        <w:t>e</w:t>
      </w:r>
      <w:r>
        <w:t>m</w:t>
      </w:r>
      <w:r w:rsidR="00B9762F">
        <w:t>atika</w:t>
      </w:r>
      <w:r>
        <w:t xml:space="preserve"> je čoraz zložitejš</w:t>
      </w:r>
      <w:r w:rsidR="00947B7C">
        <w:t>ia</w:t>
      </w:r>
      <w:r>
        <w:t xml:space="preserve"> vzhľadom na nové </w:t>
      </w:r>
      <w:r w:rsidR="00947B7C">
        <w:t xml:space="preserve">objavujúce sa </w:t>
      </w:r>
      <w:r w:rsidR="005E267B">
        <w:t xml:space="preserve">problémy, </w:t>
      </w:r>
      <w:r>
        <w:t>ktoré vyvolávajú obavy týkajúce sa verejného zdravia. Uvádza sa to v </w:t>
      </w:r>
      <w:r>
        <w:rPr>
          <w:b/>
          <w:i/>
        </w:rPr>
        <w:t>Európskej správe o drogách za rok 2014: Trendy a vývojové zmeny</w:t>
      </w:r>
      <w:r>
        <w:t>, ktorú dnes uverejnila</w:t>
      </w:r>
      <w:r>
        <w:rPr>
          <w:b/>
        </w:rPr>
        <w:t xml:space="preserve"> agentúra EÚ pre drogy (EMCDDA) </w:t>
      </w:r>
      <w:r>
        <w:t>v Lisabone (</w:t>
      </w:r>
      <w:r>
        <w:rPr>
          <w:vertAlign w:val="superscript"/>
        </w:rPr>
        <w:t>1</w:t>
      </w:r>
      <w:r>
        <w:t>). Agentúra vo svojej výročnej správe o</w:t>
      </w:r>
      <w:r w:rsidR="00A07D70">
        <w:t> </w:t>
      </w:r>
      <w:r>
        <w:t>drogovej problematike znovu opisuje celkov</w:t>
      </w:r>
      <w:r w:rsidR="005E267B">
        <w:t>o</w:t>
      </w:r>
      <w:r>
        <w:t xml:space="preserve"> stabilnú situáciu s niekoľkými pozitívnymi znakmi, ktoré sa týkajú tradičnejších drog. </w:t>
      </w:r>
      <w:r w:rsidR="005E267B">
        <w:t xml:space="preserve">Na druhej strane je </w:t>
      </w:r>
      <w:r w:rsidR="008B4AB5">
        <w:t>tento pozitívny trend</w:t>
      </w:r>
      <w:r w:rsidR="00BA494C">
        <w:t xml:space="preserve"> </w:t>
      </w:r>
      <w:r w:rsidR="005E267B">
        <w:t>v</w:t>
      </w:r>
      <w:r>
        <w:t>yvážen</w:t>
      </w:r>
      <w:r w:rsidR="008B4AB5">
        <w:t>ý</w:t>
      </w:r>
      <w:r>
        <w:t xml:space="preserve"> novými hrozbami</w:t>
      </w:r>
      <w:r w:rsidR="005E267B">
        <w:t xml:space="preserve"> v podobe</w:t>
      </w:r>
      <w:r w:rsidR="00BA494C">
        <w:t xml:space="preserve"> </w:t>
      </w:r>
      <w:r>
        <w:t>syntetick</w:t>
      </w:r>
      <w:r w:rsidR="005E267B">
        <w:t>ých drog</w:t>
      </w:r>
      <w:r>
        <w:t xml:space="preserve"> vrátane stimulantov, nových psychoaktívnych látok a liekov, ktoré sú na meniacom sa európskom</w:t>
      </w:r>
      <w:r w:rsidR="008B4AB5">
        <w:t xml:space="preserve"> drogovom</w:t>
      </w:r>
      <w:r w:rsidR="00BA494C">
        <w:t xml:space="preserve"> </w:t>
      </w:r>
      <w:r>
        <w:t xml:space="preserve">trhu čoraz viac </w:t>
      </w:r>
      <w:r w:rsidR="005E267B">
        <w:t>rozšírené.</w:t>
      </w:r>
    </w:p>
    <w:p w:rsidR="00A46056" w:rsidRPr="008916F4" w:rsidRDefault="0015747F" w:rsidP="00816731">
      <w:pPr>
        <w:pStyle w:val="newsContent"/>
      </w:pPr>
      <w:r>
        <w:rPr>
          <w:b/>
        </w:rPr>
        <w:t>Európska komisárka pre vnútorné záležitosti Cecilia Malmströmová</w:t>
      </w:r>
      <w:r>
        <w:t xml:space="preserve"> uviedla: „Som hlboko znepokojená tým, že drogy, ktoré sa v Európe v súčasnosti užívajú, môžu byť pre užívateľov ešte škodlivejšie ako v minulosti. </w:t>
      </w:r>
      <w:r w:rsidR="00D16374">
        <w:t>Existujú</w:t>
      </w:r>
      <w:r>
        <w:t xml:space="preserve"> náznaky, že</w:t>
      </w:r>
      <w:r w:rsidR="00D16374">
        <w:t xml:space="preserve"> sa </w:t>
      </w:r>
      <w:r w:rsidR="008B4AB5">
        <w:t xml:space="preserve">účinok extázy a kanabisu predávaných na ulici </w:t>
      </w:r>
      <w:r w:rsidR="00D16374">
        <w:t>zvyšuje</w:t>
      </w:r>
      <w:r w:rsidR="008B4AB5">
        <w:t xml:space="preserve">. </w:t>
      </w:r>
      <w:r w:rsidR="00D16374">
        <w:t>Všímam si tiež</w:t>
      </w:r>
      <w:r>
        <w:t xml:space="preserve">, že systém včasného varovania EÚ, ktorý je našou prvou obrannou líniou proti novým drogám, </w:t>
      </w:r>
      <w:r w:rsidR="008B4AB5">
        <w:t>sa ocitá</w:t>
      </w:r>
      <w:r w:rsidR="00BA494C">
        <w:t xml:space="preserve"> </w:t>
      </w:r>
      <w:r>
        <w:t xml:space="preserve">pod čoraz väčším tlakom, </w:t>
      </w:r>
      <w:r w:rsidR="008B4AB5">
        <w:t>v dôsledku prudko stúpajúceho</w:t>
      </w:r>
      <w:r w:rsidR="00BA494C">
        <w:t xml:space="preserve"> </w:t>
      </w:r>
      <w:r>
        <w:t>poč</w:t>
      </w:r>
      <w:r w:rsidR="008B4AB5">
        <w:t>tu</w:t>
      </w:r>
      <w:r>
        <w:t xml:space="preserve"> a</w:t>
      </w:r>
      <w:r w:rsidR="008B4AB5">
        <w:t> </w:t>
      </w:r>
      <w:r>
        <w:t>rozmanitos</w:t>
      </w:r>
      <w:r w:rsidR="008B4AB5">
        <w:t xml:space="preserve">ti </w:t>
      </w:r>
      <w:r w:rsidR="00125134">
        <w:t>týchto látok</w:t>
      </w:r>
      <w:r>
        <w:t>. Tento systém už v tomto roku prehodnotil štyri nové látky, ktoré v členských štátoch viedli k akútnej intoxikácii a</w:t>
      </w:r>
      <w:r w:rsidR="00D16374">
        <w:t> </w:t>
      </w:r>
      <w:r>
        <w:t>úmrtiam</w:t>
      </w:r>
      <w:r w:rsidR="00D16374">
        <w:t>.“</w:t>
      </w:r>
    </w:p>
    <w:p w:rsidR="00A46056" w:rsidRPr="008916F4" w:rsidRDefault="00D16374" w:rsidP="00816731">
      <w:pPr>
        <w:pStyle w:val="newsContent"/>
      </w:pPr>
      <w:r>
        <w:rPr>
          <w:b/>
        </w:rPr>
        <w:t>Komisárka Malmströmová</w:t>
      </w:r>
      <w:r>
        <w:t xml:space="preserve"> dodáva: „Európske orgány presadzovania práva sa čoraz častejšie stretávajú s tým, že malé, ľahko prenosné balenia zdanlivo neškodných práškov môžu obsahovať tisíc</w:t>
      </w:r>
      <w:r w:rsidR="004E5186">
        <w:t>ky</w:t>
      </w:r>
      <w:r>
        <w:t xml:space="preserve"> jednotlivých dávok. Táto </w:t>
      </w:r>
      <w:r w:rsidR="00671B71">
        <w:t>každo</w:t>
      </w:r>
      <w:r>
        <w:t>ročná analýza agentúry EMCDDA nám poskytuje veľmi dôležitý obraz o</w:t>
      </w:r>
      <w:r w:rsidR="00671B71">
        <w:t> </w:t>
      </w:r>
      <w:r>
        <w:t xml:space="preserve">vývoji drogovej problematiky v Európe. </w:t>
      </w:r>
      <w:r w:rsidR="008B4AB5">
        <w:t>I</w:t>
      </w:r>
      <w:r>
        <w:t xml:space="preserve">nformácie však teraz musia </w:t>
      </w:r>
      <w:r w:rsidR="00FA694F">
        <w:t>premietnuť do oblasti</w:t>
      </w:r>
      <w:r>
        <w:t xml:space="preserve"> presadzovani</w:t>
      </w:r>
      <w:r w:rsidR="00FA694F">
        <w:t>a</w:t>
      </w:r>
      <w:r>
        <w:t xml:space="preserve"> práva, prevenci</w:t>
      </w:r>
      <w:r w:rsidR="00FA694F">
        <w:t>e</w:t>
      </w:r>
      <w:r>
        <w:t xml:space="preserve"> a </w:t>
      </w:r>
      <w:r w:rsidR="00FA694F">
        <w:t>liečby</w:t>
      </w:r>
      <w:r>
        <w:t xml:space="preserve">. Je nevyhnutné, aby sme tieto údaje </w:t>
      </w:r>
      <w:r w:rsidR="008B4AB5">
        <w:t>využili</w:t>
      </w:r>
      <w:r w:rsidR="00BA494C">
        <w:t xml:space="preserve"> </w:t>
      </w:r>
      <w:r w:rsidR="008B4AB5">
        <w:t xml:space="preserve">tak, aby </w:t>
      </w:r>
      <w:r>
        <w:t>reakcia európskych orgánov zodpovedala meniacim sa výzvam, ktorým čelíme.</w:t>
      </w:r>
      <w:r w:rsidR="00936B9B">
        <w:t>“</w:t>
      </w:r>
    </w:p>
    <w:p w:rsidR="00A46056" w:rsidRPr="008916F4" w:rsidRDefault="00D16374" w:rsidP="00816731">
      <w:pPr>
        <w:pStyle w:val="newsContent"/>
      </w:pPr>
      <w:r>
        <w:rPr>
          <w:b/>
        </w:rPr>
        <w:t>Riaditeľ agentúry EMCDDA Wolfgang Götz</w:t>
      </w:r>
      <w:r>
        <w:t xml:space="preserve"> </w:t>
      </w:r>
      <w:r w:rsidR="001E09E1">
        <w:t>uviedol</w:t>
      </w:r>
      <w:r>
        <w:t xml:space="preserve">: „Keď sa pozrieme </w:t>
      </w:r>
      <w:r w:rsidR="007750B5">
        <w:t xml:space="preserve">na </w:t>
      </w:r>
      <w:r w:rsidR="00DB085B">
        <w:t>celkovú situáciu</w:t>
      </w:r>
      <w:r>
        <w:t xml:space="preserve">, vidíme, </w:t>
      </w:r>
      <w:r w:rsidR="00BA494C">
        <w:t xml:space="preserve">         </w:t>
      </w:r>
      <w:r>
        <w:t xml:space="preserve">že oproti minulosti sa v Európe dosiahol pokrok v súvislosti s niektorými </w:t>
      </w:r>
      <w:r w:rsidR="008B4AB5">
        <w:t xml:space="preserve">politickými cieľmi </w:t>
      </w:r>
      <w:r w:rsidR="00980041">
        <w:t xml:space="preserve">v oblasti </w:t>
      </w:r>
      <w:r>
        <w:t>zdravia</w:t>
      </w:r>
      <w:r w:rsidR="009A6CBF">
        <w:t xml:space="preserve"> vytýčenými v minulosti</w:t>
      </w:r>
      <w:r>
        <w:t xml:space="preserve">. </w:t>
      </w:r>
      <w:r w:rsidR="00FD5AD2">
        <w:t>Tento e</w:t>
      </w:r>
      <w:r>
        <w:t>uróp</w:t>
      </w:r>
      <w:r w:rsidR="00DD6635">
        <w:t>sky pohľad</w:t>
      </w:r>
      <w:r>
        <w:t xml:space="preserve"> však môže zatieniť niektoré dôležité rozdiely</w:t>
      </w:r>
      <w:r w:rsidR="00FD5AD2">
        <w:t xml:space="preserve"> medzi jednotlivými krajinami.</w:t>
      </w:r>
      <w:r w:rsidR="00BA494C">
        <w:t xml:space="preserve"> </w:t>
      </w:r>
      <w:r>
        <w:t>Z</w:t>
      </w:r>
      <w:r w:rsidR="003F2C14">
        <w:t> </w:t>
      </w:r>
      <w:r>
        <w:t>našich najnovších údajov vyplýva, že celkov</w:t>
      </w:r>
      <w:r w:rsidR="00FD5AD2">
        <w:t>o – v rámci EÚ -</w:t>
      </w:r>
      <w:r w:rsidR="00BA494C">
        <w:t xml:space="preserve"> </w:t>
      </w:r>
      <w:r>
        <w:t>p</w:t>
      </w:r>
      <w:r w:rsidR="00FD5AD2">
        <w:t>riaznivé</w:t>
      </w:r>
      <w:r w:rsidR="00BA494C">
        <w:t xml:space="preserve"> </w:t>
      </w:r>
      <w:r>
        <w:t xml:space="preserve">trendy EÚ týkajúce sa napríklad úmrtí zapríčinených predávkovaním a HIV infekcií súvisiacich s drogami sú v ostrom kontraste so znepokojujúcim vývojom v niektorých </w:t>
      </w:r>
      <w:r w:rsidR="00800CE5">
        <w:t xml:space="preserve">konkrétnych </w:t>
      </w:r>
      <w:r>
        <w:t>členských štátoch.“</w:t>
      </w:r>
    </w:p>
    <w:p w:rsidR="00A46056" w:rsidRPr="008916F4" w:rsidRDefault="00D16374" w:rsidP="00816731">
      <w:pPr>
        <w:pStyle w:val="newsContent"/>
      </w:pPr>
      <w:r>
        <w:t>V správe sa táto zložitosť</w:t>
      </w:r>
      <w:r w:rsidR="00783C1D">
        <w:t xml:space="preserve"> potvrdzuje</w:t>
      </w:r>
      <w:r>
        <w:t xml:space="preserve"> a </w:t>
      </w:r>
      <w:r w:rsidR="00783C1D">
        <w:t>prináša</w:t>
      </w:r>
      <w:r>
        <w:t xml:space="preserve"> prehľad na najvyššej úrovni o dlhodobých trendoch a</w:t>
      </w:r>
      <w:r w:rsidR="0023151A">
        <w:t> </w:t>
      </w:r>
      <w:r>
        <w:t xml:space="preserve">vývoji v oblasti drog na európskej úrovni a zároveň je zameraná na </w:t>
      </w:r>
      <w:r w:rsidR="00783C1D">
        <w:t>novo sa objavujúce</w:t>
      </w:r>
      <w:r>
        <w:t xml:space="preserve"> problémy v</w:t>
      </w:r>
      <w:r w:rsidR="0023151A">
        <w:t> </w:t>
      </w:r>
      <w:r>
        <w:t>niektorých krajinách.</w:t>
      </w:r>
      <w:r w:rsidR="00A46056" w:rsidRPr="008916F4">
        <w:t xml:space="preserve"> </w:t>
      </w:r>
    </w:p>
    <w:p w:rsidR="004873E3" w:rsidRDefault="004873E3">
      <w:pPr>
        <w:rPr>
          <w:rFonts w:ascii="Arial" w:hAnsi="Arial" w:cs="Arial"/>
          <w:b/>
          <w:sz w:val="20"/>
          <w:szCs w:val="20"/>
          <w:lang w:eastAsia="sk-SK" w:bidi="sk-SK"/>
        </w:rPr>
      </w:pPr>
      <w:r>
        <w:rPr>
          <w:b/>
        </w:rPr>
        <w:br w:type="page"/>
      </w:r>
    </w:p>
    <w:p w:rsidR="00A46056" w:rsidRPr="001114FE" w:rsidRDefault="00D16374" w:rsidP="00816731">
      <w:pPr>
        <w:pStyle w:val="newsContent"/>
        <w:rPr>
          <w:b/>
        </w:rPr>
      </w:pPr>
      <w:r w:rsidRPr="001114FE">
        <w:rPr>
          <w:b/>
        </w:rPr>
        <w:lastRenderedPageBreak/>
        <w:t>Heroín na zostupe, ale obavy spôsobujú náhradné látky</w:t>
      </w:r>
      <w:r w:rsidR="00A46056" w:rsidRPr="001114FE">
        <w:rPr>
          <w:b/>
        </w:rPr>
        <w:t xml:space="preserve"> </w:t>
      </w:r>
    </w:p>
    <w:p w:rsidR="00A46056" w:rsidRPr="008916F4" w:rsidRDefault="00D16374" w:rsidP="00816731">
      <w:pPr>
        <w:pStyle w:val="newsContent"/>
      </w:pPr>
      <w:r>
        <w:t xml:space="preserve">Hoci je výroba heroínu v celosvetovom rozsahu </w:t>
      </w:r>
      <w:r w:rsidR="00EC78E1">
        <w:t>naďalej</w:t>
      </w:r>
      <w:r>
        <w:t xml:space="preserve"> vysoká a počet záchytov v </w:t>
      </w:r>
      <w:r>
        <w:rPr>
          <w:b/>
        </w:rPr>
        <w:t>Turecku</w:t>
      </w:r>
      <w:r>
        <w:t xml:space="preserve"> sa zvyšuje (obr</w:t>
      </w:r>
      <w:r w:rsidR="00EC78E1">
        <w:t>ázky</w:t>
      </w:r>
      <w:r>
        <w:t xml:space="preserve"> 1.4; 1.5), </w:t>
      </w:r>
      <w:r w:rsidR="00EC78E1">
        <w:t>najnovšie</w:t>
      </w:r>
      <w:r>
        <w:t xml:space="preserve"> údaje </w:t>
      </w:r>
      <w:r w:rsidR="00EC78E1">
        <w:t>týkajúce sa</w:t>
      </w:r>
      <w:r>
        <w:t xml:space="preserve"> dopyt</w:t>
      </w:r>
      <w:r w:rsidR="00EC78E1">
        <w:t xml:space="preserve">u </w:t>
      </w:r>
      <w:r>
        <w:t>po liečbe a záchyt</w:t>
      </w:r>
      <w:r w:rsidR="00EC78E1">
        <w:t>ov</w:t>
      </w:r>
      <w:r>
        <w:t xml:space="preserve"> v Európe vykazujú klesajúci trend užívania a dostupnosti tejto drogy. Počet oznámených klientov prvýkrát nastupujúcich na špecializovanú protidrogovú liečbu pre problémy s heroínom klesol z</w:t>
      </w:r>
      <w:r w:rsidR="00AC5EA8">
        <w:t> maximálnej hodnoty</w:t>
      </w:r>
      <w:r w:rsidR="00BA494C">
        <w:t xml:space="preserve"> </w:t>
      </w:r>
      <w:r>
        <w:t xml:space="preserve">59 000 v roku 2007 na 31 000 v roku 2012. </w:t>
      </w:r>
      <w:r w:rsidR="00EC78E1">
        <w:t>Z ú</w:t>
      </w:r>
      <w:r>
        <w:t>daj</w:t>
      </w:r>
      <w:r w:rsidR="00EC78E1">
        <w:t>ov</w:t>
      </w:r>
      <w:r>
        <w:t xml:space="preserve"> o ponuke drog </w:t>
      </w:r>
      <w:r w:rsidR="00EC78E1">
        <w:t>vyplýva</w:t>
      </w:r>
      <w:r>
        <w:t>, že množstvo heroínu zachyteného v roku 2012 (5</w:t>
      </w:r>
      <w:r w:rsidR="00EC78E1">
        <w:t> </w:t>
      </w:r>
      <w:r>
        <w:t xml:space="preserve">ton) bolo najnižšie množstvo </w:t>
      </w:r>
      <w:r w:rsidR="00B25AAF">
        <w:t>na</w:t>
      </w:r>
      <w:r>
        <w:t>hlásené za posledné desaťročie</w:t>
      </w:r>
      <w:r w:rsidR="00FD5AD2">
        <w:rPr>
          <w:rFonts w:ascii="Calibri" w:hAnsi="Calibri"/>
        </w:rPr>
        <w:t>;</w:t>
      </w:r>
      <w:r w:rsidR="00FD5AD2">
        <w:t xml:space="preserve"> v porovnaní</w:t>
      </w:r>
      <w:r w:rsidR="00BA494C">
        <w:t xml:space="preserve"> </w:t>
      </w:r>
      <w:r w:rsidR="00EC78E1">
        <w:t>v porovnaní s</w:t>
      </w:r>
      <w:r w:rsidR="00550F25">
        <w:t> </w:t>
      </w:r>
      <w:r w:rsidR="00EC78E1">
        <w:t>množstvom</w:t>
      </w:r>
      <w:r>
        <w:t xml:space="preserve"> zachyten</w:t>
      </w:r>
      <w:r w:rsidR="00EC78E1">
        <w:t>ým</w:t>
      </w:r>
      <w:r>
        <w:t xml:space="preserve"> v roku 2002 (10 ton)</w:t>
      </w:r>
      <w:r w:rsidR="00FD5AD2">
        <w:t xml:space="preserve"> ide o polovicu</w:t>
      </w:r>
      <w:r>
        <w:t>.</w:t>
      </w:r>
      <w:r w:rsidR="00BA494C">
        <w:t xml:space="preserve"> </w:t>
      </w:r>
      <w:r w:rsidR="00FD5AD2">
        <w:t>Aj p</w:t>
      </w:r>
      <w:r>
        <w:t>očet záchytov heroínu takisto klesol z približne 50 000 v</w:t>
      </w:r>
      <w:r w:rsidR="00EC78E1">
        <w:t> </w:t>
      </w:r>
      <w:r>
        <w:t>roku 2010 na 32 000 v roku 2012.</w:t>
      </w:r>
      <w:r w:rsidR="00A46056" w:rsidRPr="008916F4">
        <w:t xml:space="preserve"> </w:t>
      </w:r>
    </w:p>
    <w:p w:rsidR="00A46056" w:rsidRPr="008916F4" w:rsidRDefault="00EC78E1" w:rsidP="00816731">
      <w:pPr>
        <w:pStyle w:val="newsContent"/>
      </w:pPr>
      <w:r>
        <w:t>Odhaduje sa, že v Európe žije 1,3 mil</w:t>
      </w:r>
      <w:r w:rsidR="00550F25">
        <w:t>.</w:t>
      </w:r>
      <w:r>
        <w:t xml:space="preserve"> problémových užívateľov opioidov, prevažne užívateľov </w:t>
      </w:r>
      <w:r w:rsidR="00AC0769">
        <w:t>heroínu. Správa</w:t>
      </w:r>
      <w:r w:rsidR="00FD5AD2">
        <w:t xml:space="preserve"> sa zmieňuje aj o obavách v súvislosti</w:t>
      </w:r>
      <w:r w:rsidR="00BA494C">
        <w:t xml:space="preserve"> </w:t>
      </w:r>
      <w:r>
        <w:t xml:space="preserve">heroín nahrádzajú iné látky, napríklad syntetické opioidy. Medzi tieto látky, ktoré sú vyrábané </w:t>
      </w:r>
      <w:r w:rsidR="00AC0769">
        <w:t xml:space="preserve">nezákonne </w:t>
      </w:r>
      <w:r>
        <w:t xml:space="preserve">alebo </w:t>
      </w:r>
      <w:r w:rsidR="00AC0769">
        <w:t>sú ako liečivá zneužívané,</w:t>
      </w:r>
      <w:r>
        <w:t xml:space="preserve"> patria vysoko účinné fentanyly a látky používané pri </w:t>
      </w:r>
      <w:r w:rsidR="008C2011">
        <w:t>substitučnej liečbe závislostí od</w:t>
      </w:r>
      <w:r w:rsidR="00BA494C">
        <w:t xml:space="preserve"> </w:t>
      </w:r>
      <w:r w:rsidR="008C2011">
        <w:t xml:space="preserve">opioidov </w:t>
      </w:r>
      <w:r>
        <w:t xml:space="preserve">(napr. metadón, buprenorfín). </w:t>
      </w:r>
      <w:r w:rsidR="00BA494C">
        <w:t xml:space="preserve">         </w:t>
      </w:r>
      <w:r>
        <w:t>V roku 2012 oznámilo 17 krajín, že viac ako 10 % osôb, ktoré prvýkrát nastúpili na špecializovanú protidrogovú liečbu, užívalo</w:t>
      </w:r>
      <w:r w:rsidR="00BA494C">
        <w:t xml:space="preserve"> </w:t>
      </w:r>
      <w:r w:rsidR="008C2011">
        <w:t xml:space="preserve">iné </w:t>
      </w:r>
      <w:r>
        <w:t>opioidy ako heroín (obrázok 2.9).</w:t>
      </w:r>
      <w:r w:rsidR="00A46056" w:rsidRPr="008916F4">
        <w:t xml:space="preserve"> </w:t>
      </w:r>
    </w:p>
    <w:p w:rsidR="00A46056" w:rsidRPr="003C0973" w:rsidRDefault="00EC78E1" w:rsidP="00816731">
      <w:pPr>
        <w:pStyle w:val="newsContent"/>
        <w:rPr>
          <w:b/>
        </w:rPr>
      </w:pPr>
      <w:r w:rsidRPr="003C0973">
        <w:rPr>
          <w:b/>
        </w:rPr>
        <w:t xml:space="preserve">Úmrtia súvisiace s drogami: </w:t>
      </w:r>
      <w:r w:rsidR="00B961C6">
        <w:rPr>
          <w:b/>
        </w:rPr>
        <w:t>vo všeobecnosti pokles</w:t>
      </w:r>
      <w:r w:rsidRPr="003C0973">
        <w:rPr>
          <w:b/>
        </w:rPr>
        <w:t>, ale zvýšenie v niektorých krajinách</w:t>
      </w:r>
    </w:p>
    <w:p w:rsidR="00A46056" w:rsidRPr="008916F4" w:rsidRDefault="00EC78E1" w:rsidP="00816731">
      <w:pPr>
        <w:pStyle w:val="newsContent"/>
      </w:pPr>
      <w:r>
        <w:t>Užívanie drog predstavuje jednu z hlavných príčin úmrtnosti mladých ľudí v Európe, a to buď priamo na následky predávkovania (úmrtia spôsobené drogami), alebo nepriamo na následky chorôb</w:t>
      </w:r>
      <w:r w:rsidR="00B961C6">
        <w:t>,</w:t>
      </w:r>
      <w:r w:rsidR="00BA494C">
        <w:t xml:space="preserve"> </w:t>
      </w:r>
      <w:r>
        <w:t>nehôd,</w:t>
      </w:r>
      <w:r w:rsidR="00BA494C">
        <w:t xml:space="preserve"> </w:t>
      </w:r>
      <w:r>
        <w:t>násilia a</w:t>
      </w:r>
      <w:r w:rsidR="00B961C6">
        <w:t>ko aj</w:t>
      </w:r>
      <w:r w:rsidR="00BA494C">
        <w:t xml:space="preserve"> </w:t>
      </w:r>
      <w:r>
        <w:t>samovr</w:t>
      </w:r>
      <w:r w:rsidR="00B961C6">
        <w:t>ážd súvisiacich s drogami</w:t>
      </w:r>
      <w:r>
        <w:t xml:space="preserve">. V roku 2012 bolo v Európe zaznamenaných približne 6 100 úmrtí spôsobených predávkovaním, najmä opioidmi. Na porovnanie v roku 2011 bolo ohlásených 6 500 úmrtí a v roku 2009 to bolo 7 100 úmrtí. </w:t>
      </w:r>
      <w:r w:rsidR="00B961C6">
        <w:t>Zníženie počtu úmrtí</w:t>
      </w:r>
      <w:r w:rsidR="00BA494C">
        <w:t xml:space="preserve"> </w:t>
      </w:r>
      <w:r>
        <w:t>v tejto oblasti možno čiastočne pripísať rozširovaniu liečby a</w:t>
      </w:r>
      <w:r w:rsidR="00B961C6">
        <w:t> minimalizácii škôd spojených s užívaním drog</w:t>
      </w:r>
      <w:r w:rsidR="00BA494C">
        <w:t xml:space="preserve"> </w:t>
      </w:r>
      <w:r>
        <w:t>(napr. opioidná substitučná liečba). Na rozdiel od celkovo p</w:t>
      </w:r>
      <w:r w:rsidR="00B961C6">
        <w:t>riaznivého</w:t>
      </w:r>
      <w:r w:rsidR="00BA494C">
        <w:t xml:space="preserve"> </w:t>
      </w:r>
      <w:r>
        <w:t>európskeho trendu je miera úmrtí spôsobených predávkovaním v niektorých krajinách naďalej vysoká alebo rastie.</w:t>
      </w:r>
      <w:r w:rsidR="00A46056" w:rsidRPr="008916F4">
        <w:t xml:space="preserve"> </w:t>
      </w:r>
    </w:p>
    <w:p w:rsidR="00A46056" w:rsidRPr="008916F4" w:rsidRDefault="00EC78E1" w:rsidP="00816731">
      <w:pPr>
        <w:pStyle w:val="newsContent"/>
      </w:pPr>
      <w:r>
        <w:t xml:space="preserve">Priemerná miera úmrtnosti zapríčinenej predávkovaním sa v Európe odhaduje na 17 úmrtí na milión obyvateľov (15 – 64 rokov), rozdiely medzi jednotlivými krajinami sú však veľké. </w:t>
      </w:r>
      <w:r w:rsidR="00B961C6">
        <w:t>Päť krajín uviedlo počet vyšší</w:t>
      </w:r>
      <w:r w:rsidR="00BA494C">
        <w:t xml:space="preserve"> </w:t>
      </w:r>
      <w:r>
        <w:t>ako 50 úmrtí na milión obyvateľov, pričom najväčš</w:t>
      </w:r>
      <w:r w:rsidR="00B961C6">
        <w:t>í</w:t>
      </w:r>
      <w:r>
        <w:t xml:space="preserve"> </w:t>
      </w:r>
      <w:r w:rsidR="00B961C6">
        <w:t>počet</w:t>
      </w:r>
      <w:r w:rsidR="00BA494C">
        <w:t xml:space="preserve"> </w:t>
      </w:r>
      <w:r>
        <w:t xml:space="preserve">uviedlo </w:t>
      </w:r>
      <w:r>
        <w:rPr>
          <w:b/>
        </w:rPr>
        <w:t>Estónsko</w:t>
      </w:r>
      <w:r>
        <w:t xml:space="preserve"> (191 na milión obyvateľov) a </w:t>
      </w:r>
      <w:r>
        <w:rPr>
          <w:b/>
        </w:rPr>
        <w:t>Nórsko</w:t>
      </w:r>
      <w:r>
        <w:t xml:space="preserve"> (76 na milión obyvateľov), </w:t>
      </w:r>
      <w:r w:rsidR="00EF2F5D">
        <w:t>ďalej</w:t>
      </w:r>
      <w:r w:rsidR="00BA494C">
        <w:t xml:space="preserve"> </w:t>
      </w:r>
      <w:r>
        <w:rPr>
          <w:b/>
        </w:rPr>
        <w:t>Írsko</w:t>
      </w:r>
      <w:r>
        <w:t xml:space="preserve"> (70 na milión obyvateľov), </w:t>
      </w:r>
      <w:r>
        <w:rPr>
          <w:b/>
        </w:rPr>
        <w:t>Švédsko</w:t>
      </w:r>
      <w:r>
        <w:t xml:space="preserve"> (63 na milión obyvateľov) a </w:t>
      </w:r>
      <w:r>
        <w:rPr>
          <w:b/>
        </w:rPr>
        <w:t>Fínsko</w:t>
      </w:r>
      <w:r>
        <w:t xml:space="preserve"> (58 na milión obyvateľov) (obrázok 2.13) (</w:t>
      </w:r>
      <w:r>
        <w:rPr>
          <w:vertAlign w:val="superscript"/>
        </w:rPr>
        <w:t>2</w:t>
      </w:r>
      <w:r>
        <w:t>).</w:t>
      </w:r>
      <w:r w:rsidR="00A46056" w:rsidRPr="008916F4">
        <w:t xml:space="preserve"> </w:t>
      </w:r>
    </w:p>
    <w:p w:rsidR="00A46056" w:rsidRPr="008916F4" w:rsidRDefault="00EC78E1" w:rsidP="00816731">
      <w:pPr>
        <w:pStyle w:val="newsContent"/>
      </w:pPr>
      <w:r>
        <w:t>Aj keď heroín je stále jednou z hlavných príčin úmrt</w:t>
      </w:r>
      <w:r w:rsidR="00B961C6">
        <w:t>í</w:t>
      </w:r>
      <w:r>
        <w:t xml:space="preserve"> na predávkovanie, počet úmrtí súvisiacich s touto drogou </w:t>
      </w:r>
      <w:r w:rsidR="00B961C6">
        <w:t>celkovo</w:t>
      </w:r>
      <w:r w:rsidR="00BA494C">
        <w:t xml:space="preserve"> </w:t>
      </w:r>
      <w:r>
        <w:t xml:space="preserve">klesá, </w:t>
      </w:r>
      <w:r w:rsidR="00E8358F">
        <w:t xml:space="preserve">naopak </w:t>
      </w:r>
      <w:r>
        <w:t xml:space="preserve">v niektorých krajinách </w:t>
      </w:r>
      <w:r w:rsidR="00E8358F">
        <w:t xml:space="preserve">sú na vzostupe </w:t>
      </w:r>
      <w:r>
        <w:t>úmrtia spôsobené užívaním syntetických opioidov</w:t>
      </w:r>
      <w:r w:rsidR="00E8358F">
        <w:t>.</w:t>
      </w:r>
      <w:r w:rsidR="00BA494C">
        <w:t xml:space="preserve"> </w:t>
      </w:r>
      <w:r w:rsidR="00E8358F">
        <w:t>V</w:t>
      </w:r>
      <w:r>
        <w:t xml:space="preserve"> </w:t>
      </w:r>
      <w:r>
        <w:rPr>
          <w:b/>
        </w:rPr>
        <w:t xml:space="preserve">Estónsku </w:t>
      </w:r>
      <w:r w:rsidR="00E8358F" w:rsidRPr="00BA494C">
        <w:t xml:space="preserve">sa počet úmrtí </w:t>
      </w:r>
      <w:r>
        <w:t xml:space="preserve">rapídne zvýšil (o 38 %), vo väčšine prípadov z dôvodu užívania fentanylov a ich derivátov. </w:t>
      </w:r>
      <w:r w:rsidR="00E8358F">
        <w:t>P</w:t>
      </w:r>
      <w:r>
        <w:t xml:space="preserve">rostredníctvom </w:t>
      </w:r>
      <w:r>
        <w:rPr>
          <w:b/>
        </w:rPr>
        <w:t>systému včasného varovania EÚ (EU–EWS)</w:t>
      </w:r>
      <w:r w:rsidR="00BA494C">
        <w:t xml:space="preserve"> </w:t>
      </w:r>
      <w:r w:rsidR="00E8358F">
        <w:t xml:space="preserve">sa na trhu s nezákonnými drogami </w:t>
      </w:r>
      <w:r>
        <w:t>vo v</w:t>
      </w:r>
      <w:r w:rsidR="00E8358F">
        <w:t>yššej</w:t>
      </w:r>
      <w:r>
        <w:t xml:space="preserve"> miere hlásili nekontrolované deriváty fentanylov a</w:t>
      </w:r>
      <w:r w:rsidR="00043A30">
        <w:t xml:space="preserve"> súbor ďalších </w:t>
      </w:r>
      <w:r>
        <w:t>účinných syntetických opioidov (napr. AH-7921).</w:t>
      </w:r>
      <w:r w:rsidR="00A46056" w:rsidRPr="008916F4">
        <w:t xml:space="preserve"> </w:t>
      </w:r>
    </w:p>
    <w:p w:rsidR="00A46056" w:rsidRPr="00E572E6" w:rsidRDefault="00043A30" w:rsidP="00816731">
      <w:pPr>
        <w:pStyle w:val="newsContent"/>
        <w:rPr>
          <w:b/>
        </w:rPr>
      </w:pPr>
      <w:r w:rsidRPr="00E572E6">
        <w:rPr>
          <w:b/>
        </w:rPr>
        <w:t xml:space="preserve">HIV: </w:t>
      </w:r>
      <w:r w:rsidR="00E8358F">
        <w:rPr>
          <w:b/>
        </w:rPr>
        <w:t>E</w:t>
      </w:r>
      <w:r w:rsidRPr="00E572E6">
        <w:rPr>
          <w:b/>
        </w:rPr>
        <w:t>pidémi</w:t>
      </w:r>
      <w:r w:rsidR="00E8358F">
        <w:rPr>
          <w:b/>
        </w:rPr>
        <w:t>e</w:t>
      </w:r>
      <w:r w:rsidRPr="00E572E6">
        <w:rPr>
          <w:b/>
        </w:rPr>
        <w:t xml:space="preserve"> v niektorých krajinách </w:t>
      </w:r>
      <w:r w:rsidR="00E8358F">
        <w:rPr>
          <w:b/>
        </w:rPr>
        <w:t xml:space="preserve">majú </w:t>
      </w:r>
      <w:r w:rsidR="00E8358F" w:rsidRPr="00E572E6">
        <w:rPr>
          <w:b/>
        </w:rPr>
        <w:t xml:space="preserve">negatívny vplyv </w:t>
      </w:r>
      <w:r w:rsidRPr="00E572E6">
        <w:rPr>
          <w:b/>
        </w:rPr>
        <w:t>na trend</w:t>
      </w:r>
      <w:r w:rsidR="00BA494C">
        <w:rPr>
          <w:b/>
        </w:rPr>
        <w:t xml:space="preserve"> </w:t>
      </w:r>
      <w:r w:rsidR="00EF2F5D">
        <w:rPr>
          <w:b/>
        </w:rPr>
        <w:t xml:space="preserve">v </w:t>
      </w:r>
      <w:r w:rsidRPr="00E572E6">
        <w:rPr>
          <w:b/>
        </w:rPr>
        <w:t>EÚ</w:t>
      </w:r>
      <w:r w:rsidR="00A46056" w:rsidRPr="00E572E6">
        <w:rPr>
          <w:b/>
        </w:rPr>
        <w:t xml:space="preserve"> </w:t>
      </w:r>
    </w:p>
    <w:p w:rsidR="00A46056" w:rsidRPr="008916F4" w:rsidRDefault="00043A30" w:rsidP="00816731">
      <w:pPr>
        <w:pStyle w:val="newsContent"/>
      </w:pPr>
      <w:r>
        <w:t xml:space="preserve">Za posledné desaťročie sa pri riešení problematiky infekcie HIV medzi ľuďmi, ktorí drogy užívajú injekčne, dosiahol v EÚ veľký pokrok – </w:t>
      </w:r>
      <w:r w:rsidR="00E8358F">
        <w:t xml:space="preserve">vrátane ďalšieho rozšírenia preventívnych a liečebných opatrení a opatrení na znižovanie škôd </w:t>
      </w:r>
      <w:r>
        <w:t xml:space="preserve">. Z najnovších poznatkov však vyplýva, že vývoj v niektorých krajinách má negatívny vplyv na dlhodobý pokles počtu nových </w:t>
      </w:r>
      <w:r w:rsidR="00E8358F">
        <w:t>infikovaných</w:t>
      </w:r>
      <w:r w:rsidR="00BA494C">
        <w:t xml:space="preserve"> </w:t>
      </w:r>
      <w:r>
        <w:t>HIV v Európe. V správe sa uvádza, že „v</w:t>
      </w:r>
      <w:r w:rsidR="00E8358F">
        <w:t>zplanutie</w:t>
      </w:r>
      <w:r w:rsidR="00BA494C">
        <w:t xml:space="preserve"> </w:t>
      </w:r>
      <w:r>
        <w:t xml:space="preserve">nákazy vírusom HIV medzi užívateľmi drog v </w:t>
      </w:r>
      <w:r>
        <w:rPr>
          <w:b/>
        </w:rPr>
        <w:t>Grécku</w:t>
      </w:r>
      <w:r>
        <w:t xml:space="preserve"> a </w:t>
      </w:r>
      <w:r>
        <w:rPr>
          <w:b/>
        </w:rPr>
        <w:t>Rumunsku</w:t>
      </w:r>
      <w:r>
        <w:t xml:space="preserve"> spolu s pretrvávajúcimi problémami v niektorých </w:t>
      </w:r>
      <w:r>
        <w:rPr>
          <w:b/>
        </w:rPr>
        <w:t>pobaltských štátoch</w:t>
      </w:r>
      <w:r>
        <w:t xml:space="preserve"> zastavili pokrok Európy v znižovaní počtu nových infekcií </w:t>
      </w:r>
      <w:r w:rsidR="00EF2F5D">
        <w:t>HIV</w:t>
      </w:r>
      <w:r w:rsidR="00BA494C">
        <w:t xml:space="preserve"> </w:t>
      </w:r>
      <w:r>
        <w:t>súvisiacich s</w:t>
      </w:r>
      <w:r w:rsidR="005D64C9">
        <w:t> </w:t>
      </w:r>
      <w:r>
        <w:t>drogami</w:t>
      </w:r>
      <w:r w:rsidR="005D64C9">
        <w:t>.“</w:t>
      </w:r>
      <w:r w:rsidR="00A46056" w:rsidRPr="008916F4">
        <w:t xml:space="preserve"> </w:t>
      </w:r>
    </w:p>
    <w:p w:rsidR="00A46056" w:rsidRPr="008916F4" w:rsidRDefault="00EF2F5D" w:rsidP="00816731">
      <w:pPr>
        <w:pStyle w:val="newsContent"/>
      </w:pPr>
      <w:r>
        <w:t>V roku 2012 reprezentoval priemerný</w:t>
      </w:r>
      <w:r w:rsidR="00BA494C">
        <w:t xml:space="preserve"> </w:t>
      </w:r>
      <w:r w:rsidR="005D64C9">
        <w:t xml:space="preserve">počet nových </w:t>
      </w:r>
      <w:r>
        <w:t>prípadov</w:t>
      </w:r>
      <w:r w:rsidR="00BA494C">
        <w:t xml:space="preserve"> </w:t>
      </w:r>
      <w:r w:rsidR="005D64C9">
        <w:t xml:space="preserve">HIV pripísaných injekčnému užívaniu drog 3,1 na milión obyvateľov. V </w:t>
      </w:r>
      <w:r w:rsidR="005D64C9">
        <w:rPr>
          <w:b/>
        </w:rPr>
        <w:t>Estónsku</w:t>
      </w:r>
      <w:r w:rsidR="005D64C9">
        <w:t xml:space="preserve"> je miera nových </w:t>
      </w:r>
      <w:r>
        <w:t>prípadov</w:t>
      </w:r>
      <w:r w:rsidR="00BA494C">
        <w:t xml:space="preserve"> </w:t>
      </w:r>
      <w:r w:rsidR="005D64C9">
        <w:t>naďalej vysoká (53,7 prípad</w:t>
      </w:r>
      <w:r>
        <w:t>ov</w:t>
      </w:r>
      <w:r w:rsidR="005D64C9">
        <w:t xml:space="preserve"> na milión </w:t>
      </w:r>
      <w:r w:rsidR="005D64C9">
        <w:lastRenderedPageBreak/>
        <w:t xml:space="preserve">obyvateľov v roku 2012), v </w:t>
      </w:r>
      <w:r w:rsidR="005D64C9">
        <w:rPr>
          <w:b/>
        </w:rPr>
        <w:t>Lotyšsku</w:t>
      </w:r>
      <w:r w:rsidR="005D64C9">
        <w:t xml:space="preserve"> sa ročné miery od roku 2009 zvýšili z 34,5 prípad</w:t>
      </w:r>
      <w:r>
        <w:t>ov</w:t>
      </w:r>
      <w:r w:rsidR="005D64C9">
        <w:t xml:space="preserve"> na milión obyvateľov v roku 2009 na 46,0 v roku 2012. V roku 2012 bolo oznámených 1 788 nových prípadov HIV, o niečo viac ako v roku 2011 (1 732), čo je pokračujúci stúpajúci trend pozorovaný od roku 2010 (obrázok 2.11). Kým v roku 2010 </w:t>
      </w:r>
      <w:r>
        <w:t>bol podiel</w:t>
      </w:r>
      <w:r w:rsidR="00BA494C">
        <w:t xml:space="preserve"> </w:t>
      </w:r>
      <w:r w:rsidR="005D64C9">
        <w:rPr>
          <w:b/>
        </w:rPr>
        <w:t>Gréck</w:t>
      </w:r>
      <w:r>
        <w:rPr>
          <w:b/>
        </w:rPr>
        <w:t>a</w:t>
      </w:r>
      <w:r w:rsidR="005D64C9">
        <w:t xml:space="preserve"> a </w:t>
      </w:r>
      <w:r w:rsidR="005D64C9">
        <w:rPr>
          <w:b/>
        </w:rPr>
        <w:t>Rumunsk</w:t>
      </w:r>
      <w:r>
        <w:rPr>
          <w:b/>
        </w:rPr>
        <w:t>a</w:t>
      </w:r>
      <w:r w:rsidR="005D64C9">
        <w:t xml:space="preserve"> len niečo vyše 2 % </w:t>
      </w:r>
      <w:r w:rsidR="00962936">
        <w:t>na</w:t>
      </w:r>
      <w:r>
        <w:t xml:space="preserve"> </w:t>
      </w:r>
      <w:r w:rsidR="005D64C9">
        <w:t>celkov</w:t>
      </w:r>
      <w:r>
        <w:t>om</w:t>
      </w:r>
      <w:r w:rsidR="005D64C9">
        <w:t xml:space="preserve"> počt</w:t>
      </w:r>
      <w:r>
        <w:t>e</w:t>
      </w:r>
      <w:r w:rsidR="005D64C9">
        <w:t xml:space="preserve"> nových </w:t>
      </w:r>
      <w:r>
        <w:t>hlásených</w:t>
      </w:r>
      <w:r w:rsidR="00BA494C">
        <w:t xml:space="preserve"> </w:t>
      </w:r>
      <w:r>
        <w:t xml:space="preserve">prípadov </w:t>
      </w:r>
      <w:r w:rsidR="00962936">
        <w:t>HIV</w:t>
      </w:r>
      <w:r w:rsidR="00BA494C">
        <w:t xml:space="preserve"> </w:t>
      </w:r>
      <w:r w:rsidR="00962936">
        <w:t xml:space="preserve">infikovaných v dôsledku injekčného užívania drog </w:t>
      </w:r>
      <w:r w:rsidR="005D64C9">
        <w:t>v</w:t>
      </w:r>
      <w:r w:rsidR="00962936">
        <w:t> </w:t>
      </w:r>
      <w:r w:rsidR="005D64C9">
        <w:t>EÚ</w:t>
      </w:r>
      <w:r w:rsidR="00962936">
        <w:t>,</w:t>
      </w:r>
      <w:r w:rsidR="005D64C9">
        <w:t xml:space="preserve"> do roku 2012 toto číslo vzrástlo na približne 37 % (pričom </w:t>
      </w:r>
      <w:r w:rsidR="005D64C9">
        <w:rPr>
          <w:b/>
        </w:rPr>
        <w:t>Grécko</w:t>
      </w:r>
      <w:r w:rsidR="005D64C9">
        <w:t xml:space="preserve"> oznámilo mieru 42,9 prípad</w:t>
      </w:r>
      <w:r>
        <w:t>ov</w:t>
      </w:r>
      <w:r w:rsidR="005D64C9">
        <w:t xml:space="preserve"> na milión obyvateľov a </w:t>
      </w:r>
      <w:r w:rsidR="005D64C9">
        <w:rPr>
          <w:b/>
        </w:rPr>
        <w:t>Rumunsko</w:t>
      </w:r>
      <w:r w:rsidR="005D64C9">
        <w:t xml:space="preserve"> 8,0 prípad</w:t>
      </w:r>
      <w:r>
        <w:t>ov</w:t>
      </w:r>
      <w:r w:rsidR="005D64C9">
        <w:t>).</w:t>
      </w:r>
      <w:r w:rsidR="00A46056" w:rsidRPr="008916F4">
        <w:t xml:space="preserve"> </w:t>
      </w:r>
    </w:p>
    <w:p w:rsidR="00A46056" w:rsidRPr="008916F4" w:rsidRDefault="00EF2F5D" w:rsidP="00816731">
      <w:pPr>
        <w:pStyle w:val="newsContent"/>
      </w:pPr>
      <w:r>
        <w:t>Hoci je</w:t>
      </w:r>
      <w:r w:rsidR="00BA494C">
        <w:t xml:space="preserve"> </w:t>
      </w:r>
      <w:r w:rsidR="005D64C9">
        <w:t>Európ</w:t>
      </w:r>
      <w:r>
        <w:t>a</w:t>
      </w:r>
      <w:r w:rsidR="005D64C9">
        <w:t xml:space="preserve"> </w:t>
      </w:r>
      <w:r>
        <w:t xml:space="preserve">úspešná </w:t>
      </w:r>
      <w:r w:rsidR="005D64C9">
        <w:t>proti prenosu vírusu HIV medzi užívateľmi drog</w:t>
      </w:r>
      <w:r>
        <w:t xml:space="preserve"> má tento vírus potenciál rýchlo sa šíriť</w:t>
      </w:r>
      <w:r w:rsidR="005D64C9">
        <w:t xml:space="preserve"> </w:t>
      </w:r>
      <w:r w:rsidR="00962936">
        <w:t>v určitých skupinách.</w:t>
      </w:r>
      <w:r w:rsidR="005D64C9">
        <w:t xml:space="preserve"> </w:t>
      </w:r>
      <w:r w:rsidR="00962936">
        <w:t>H</w:t>
      </w:r>
      <w:r w:rsidR="005D64C9">
        <w:t>odnoteni</w:t>
      </w:r>
      <w:r w:rsidR="00962936">
        <w:t>e</w:t>
      </w:r>
      <w:r w:rsidR="005D64C9">
        <w:t xml:space="preserve"> rizík </w:t>
      </w:r>
      <w:r w:rsidR="00962936">
        <w:t xml:space="preserve">spracované agentúrami </w:t>
      </w:r>
      <w:r w:rsidR="005D64C9">
        <w:rPr>
          <w:b/>
        </w:rPr>
        <w:t>EMCDDA–ECDC</w:t>
      </w:r>
      <w:r w:rsidR="005D64C9">
        <w:t xml:space="preserve"> v roku 2013 s cieľom preskúmať krajiny zraniteľné voči novým epidémiám vírusu HIV preukázalo, že približne u jednej tretiny z</w:t>
      </w:r>
      <w:r w:rsidR="00662096">
        <w:t> </w:t>
      </w:r>
      <w:r w:rsidR="005D64C9">
        <w:t xml:space="preserve">30 skúmaných krajín bol prítomný jeden alebo viacero </w:t>
      </w:r>
      <w:r w:rsidR="00962936">
        <w:t>rizikových faktorov</w:t>
      </w:r>
      <w:r w:rsidR="005D64C9">
        <w:t xml:space="preserve"> (</w:t>
      </w:r>
      <w:r w:rsidR="005D64C9">
        <w:rPr>
          <w:vertAlign w:val="superscript"/>
        </w:rPr>
        <w:t>3</w:t>
      </w:r>
      <w:r w:rsidR="005D64C9">
        <w:t xml:space="preserve">). </w:t>
      </w:r>
      <w:r w:rsidR="00962936">
        <w:t>Z toho vyplýva</w:t>
      </w:r>
      <w:r w:rsidR="00BA494C">
        <w:t xml:space="preserve"> </w:t>
      </w:r>
      <w:r w:rsidR="00662096">
        <w:t>potreba</w:t>
      </w:r>
      <w:r w:rsidR="005D64C9">
        <w:t xml:space="preserve"> neustál</w:t>
      </w:r>
      <w:r w:rsidR="00662096">
        <w:t>e</w:t>
      </w:r>
      <w:r w:rsidR="00962936">
        <w:t>j pozornosti</w:t>
      </w:r>
      <w:r w:rsidR="00BA494C">
        <w:t xml:space="preserve"> </w:t>
      </w:r>
      <w:r w:rsidR="005D64C9">
        <w:t>a lepšie</w:t>
      </w:r>
      <w:r w:rsidR="00662096">
        <w:t>ho</w:t>
      </w:r>
      <w:r w:rsidR="005D64C9">
        <w:t xml:space="preserve"> pokryti</w:t>
      </w:r>
      <w:r w:rsidR="00662096">
        <w:t>a</w:t>
      </w:r>
      <w:r w:rsidR="005D64C9">
        <w:t xml:space="preserve"> opatren</w:t>
      </w:r>
      <w:r w:rsidR="00662096">
        <w:t>iami</w:t>
      </w:r>
      <w:r w:rsidR="005D64C9">
        <w:t xml:space="preserve"> zameraný</w:t>
      </w:r>
      <w:r w:rsidR="00662096">
        <w:t>mi</w:t>
      </w:r>
      <w:r w:rsidR="005D64C9">
        <w:t xml:space="preserve"> na prevenciu pred vírusom HIV (obr</w:t>
      </w:r>
      <w:r w:rsidR="00662096">
        <w:t>ázok</w:t>
      </w:r>
      <w:r w:rsidR="005D64C9">
        <w:t xml:space="preserve"> 3.5).</w:t>
      </w:r>
      <w:r w:rsidR="00A46056" w:rsidRPr="008916F4">
        <w:t xml:space="preserve"> </w:t>
      </w:r>
    </w:p>
    <w:p w:rsidR="00A46056" w:rsidRPr="004A3160" w:rsidRDefault="00662096" w:rsidP="00816731">
      <w:pPr>
        <w:pStyle w:val="newsContent"/>
        <w:rPr>
          <w:b/>
        </w:rPr>
      </w:pPr>
      <w:r w:rsidRPr="004A3160">
        <w:rPr>
          <w:b/>
        </w:rPr>
        <w:t xml:space="preserve">Stimulanty: užívanie </w:t>
      </w:r>
      <w:r w:rsidR="00AC0769" w:rsidRPr="004A3160">
        <w:rPr>
          <w:b/>
        </w:rPr>
        <w:t>kokaínu</w:t>
      </w:r>
      <w:r w:rsidRPr="004A3160">
        <w:rPr>
          <w:b/>
        </w:rPr>
        <w:t xml:space="preserve"> je stabilné alebo klesá, existujú však obavy z metamfetamínu a MDMA</w:t>
      </w:r>
      <w:r w:rsidR="00A46056" w:rsidRPr="004A3160">
        <w:rPr>
          <w:b/>
        </w:rPr>
        <w:t xml:space="preserve"> </w:t>
      </w:r>
    </w:p>
    <w:p w:rsidR="00662096" w:rsidRDefault="00662096" w:rsidP="00816731">
      <w:pPr>
        <w:pStyle w:val="newsContent"/>
      </w:pPr>
      <w:r>
        <w:t xml:space="preserve">Kokaín naďalej patrí medzi najčastejšie užívané nezákonné stimulačné drogy v Európe, aj keď väčšina užívateľov pochádza z malého počtu západných krajín EÚ. Odhaduje sa, že 14,1 milióna dospelých Európanov (vo veku 15 – 64 rokov) užili niekedy </w:t>
      </w:r>
      <w:r w:rsidR="00575AE2">
        <w:t xml:space="preserve">túto </w:t>
      </w:r>
      <w:r>
        <w:t xml:space="preserve">drogu; 3,1 milióna za posledný rok (pozri tabuľku </w:t>
      </w:r>
      <w:r w:rsidR="00BA494C">
        <w:t xml:space="preserve">       </w:t>
      </w:r>
      <w:r w:rsidRPr="00AD26A5">
        <w:t>„</w:t>
      </w:r>
      <w:r w:rsidR="00484D26" w:rsidRPr="00AD26A5">
        <w:rPr>
          <w:rStyle w:val="A20"/>
          <w:color w:val="auto"/>
          <w:sz w:val="20"/>
          <w:szCs w:val="20"/>
        </w:rPr>
        <w:t>Letmý pohľad</w:t>
      </w:r>
      <w:r w:rsidR="00484D26" w:rsidRPr="00AD26A5">
        <w:t>“</w:t>
      </w:r>
      <w:r w:rsidRPr="00AD26A5">
        <w:t>).</w:t>
      </w:r>
      <w:r>
        <w:t xml:space="preserve"> Najnovšie údaje poukazujú na pokles užívania kokaínu, pričom 11 z 12 krajín, ktoré v rokoch 2011 – 2013 uskutočnili prieskum, vykázali pokles preval</w:t>
      </w:r>
      <w:r w:rsidR="00575AE2">
        <w:t>e</w:t>
      </w:r>
      <w:r>
        <w:t xml:space="preserve">ncie medzi mladými dospelými (vo veku 15 – 34 rokov). Pokiaľ ide o dlhodobý trend užívania kokaínu, pokles </w:t>
      </w:r>
      <w:r w:rsidR="00575AE2">
        <w:t xml:space="preserve">bol zaznamenaný </w:t>
      </w:r>
      <w:r>
        <w:t xml:space="preserve">v </w:t>
      </w:r>
      <w:r>
        <w:rPr>
          <w:b/>
        </w:rPr>
        <w:t xml:space="preserve">Dánsku, Španielsku </w:t>
      </w:r>
      <w:r>
        <w:t>a</w:t>
      </w:r>
      <w:r>
        <w:rPr>
          <w:b/>
        </w:rPr>
        <w:t xml:space="preserve"> Spojenom kráľovstve</w:t>
      </w:r>
      <w:r>
        <w:t xml:space="preserve"> (všetky tieto krajiny vykázali relatívne vysoké miery prevalencie), po vrchole v roku 2008 (obrázok 2.5). Väčšina ostatných krajín vykazuje stabilný alebo klesajúci trend.</w:t>
      </w:r>
      <w:r w:rsidR="00484D26" w:rsidRPr="00484D26">
        <w:t xml:space="preserve"> </w:t>
      </w:r>
    </w:p>
    <w:p w:rsidR="00A46056" w:rsidRDefault="00662096" w:rsidP="00816731">
      <w:pPr>
        <w:pStyle w:val="newsContent"/>
      </w:pPr>
      <w:r w:rsidRPr="00662096">
        <w:t>Užívanie amfetamínov (</w:t>
      </w:r>
      <w:r w:rsidR="00FD29EB">
        <w:t>ktoré zahŕňajú</w:t>
      </w:r>
      <w:r w:rsidRPr="00662096">
        <w:t xml:space="preserve"> amfetamín a metamfetamín) je </w:t>
      </w:r>
      <w:r w:rsidR="00FD29EB">
        <w:t>naďalej</w:t>
      </w:r>
      <w:r w:rsidRPr="00662096">
        <w:t xml:space="preserve"> celkovo nízke v porovnaní s užívaním kokaínu v Európe, pričom približne 11,4 milióna dospelých uviedlo jeho užívanie</w:t>
      </w:r>
      <w:r w:rsidR="00DA03EE">
        <w:t xml:space="preserve"> počas života</w:t>
      </w:r>
      <w:r w:rsidRPr="00662096">
        <w:t xml:space="preserve"> a 1,5 milióna v minulom roku. Z týchto dvoch drog sa častejšie užíva amfetamín, aj keď narastajú obavy týkajúce sa dostupnosti a užívania metamfetamínu v Európe. V </w:t>
      </w:r>
      <w:r w:rsidR="00FD29EB">
        <w:t>aktuálnej</w:t>
      </w:r>
      <w:r w:rsidRPr="00662096">
        <w:t xml:space="preserve"> správe sa </w:t>
      </w:r>
      <w:r w:rsidR="00575AE2">
        <w:t>uvádza</w:t>
      </w:r>
      <w:r w:rsidRPr="00662096">
        <w:t>, ako sa z</w:t>
      </w:r>
      <w:r w:rsidR="00575AE2">
        <w:t>áchyty</w:t>
      </w:r>
      <w:r w:rsidR="00BA494C">
        <w:t xml:space="preserve"> </w:t>
      </w:r>
      <w:r w:rsidRPr="00662096">
        <w:t>metamfetamínu, aj keď ide iba o malý počet a množstvo, za posledných desať rokov zvýšilo, čo naznačuje väčšiu dostupnosť tejto drogy (obr</w:t>
      </w:r>
      <w:r w:rsidR="00FD29EB">
        <w:t>ázok</w:t>
      </w:r>
      <w:r w:rsidRPr="00662096">
        <w:t xml:space="preserve"> 1.10). V roku 2012 bolo v </w:t>
      </w:r>
      <w:r w:rsidRPr="00662096">
        <w:rPr>
          <w:b/>
        </w:rPr>
        <w:t>EÚ</w:t>
      </w:r>
      <w:r w:rsidRPr="00662096">
        <w:t xml:space="preserve"> zaznamenaných 7 000 záchytov v množstve 343 kg. Ďalších 4 000 záchytov predstavujúcich </w:t>
      </w:r>
      <w:r w:rsidR="00575AE2">
        <w:t xml:space="preserve">množstvo </w:t>
      </w:r>
      <w:r w:rsidRPr="00662096">
        <w:t>637 kg zaznamenalo</w:t>
      </w:r>
      <w:r w:rsidRPr="00662096">
        <w:rPr>
          <w:b/>
        </w:rPr>
        <w:t xml:space="preserve"> Turecko </w:t>
      </w:r>
      <w:r w:rsidRPr="00662096">
        <w:t>a</w:t>
      </w:r>
      <w:r w:rsidRPr="00662096">
        <w:rPr>
          <w:b/>
        </w:rPr>
        <w:t xml:space="preserve"> Nórsko</w:t>
      </w:r>
      <w:r w:rsidRPr="00662096">
        <w:t xml:space="preserve"> (čo predstavuje takmer dvojnásobné množstvo</w:t>
      </w:r>
      <w:r w:rsidR="00FD29EB">
        <w:t xml:space="preserve"> v porovnaní s množstvom</w:t>
      </w:r>
      <w:r w:rsidRPr="00662096">
        <w:t xml:space="preserve"> zachyten</w:t>
      </w:r>
      <w:r w:rsidR="00FD29EB">
        <w:t>ým</w:t>
      </w:r>
      <w:r w:rsidRPr="00662096">
        <w:t xml:space="preserve"> v celej </w:t>
      </w:r>
      <w:r w:rsidRPr="00662096">
        <w:rPr>
          <w:b/>
        </w:rPr>
        <w:t>EÚ</w:t>
      </w:r>
      <w:r w:rsidRPr="00662096">
        <w:t>).</w:t>
      </w:r>
    </w:p>
    <w:p w:rsidR="00FD29EB" w:rsidRDefault="00FD29EB" w:rsidP="00816731">
      <w:pPr>
        <w:pStyle w:val="newsContent"/>
      </w:pPr>
      <w:r>
        <w:t>Zdá sa, že užívanie metamfet</w:t>
      </w:r>
      <w:r w:rsidR="00575AE2">
        <w:t>a</w:t>
      </w:r>
      <w:r>
        <w:t>mínu, ktoré je v Európe z historického hľadiska nízke a</w:t>
      </w:r>
      <w:r w:rsidR="00575AE2">
        <w:t> </w:t>
      </w:r>
      <w:r>
        <w:t>týka</w:t>
      </w:r>
      <w:r w:rsidR="00575AE2">
        <w:t>lo</w:t>
      </w:r>
      <w:r w:rsidR="00BA494C">
        <w:t xml:space="preserve"> </w:t>
      </w:r>
      <w:r>
        <w:t xml:space="preserve">sa prevažne </w:t>
      </w:r>
      <w:r>
        <w:rPr>
          <w:b/>
        </w:rPr>
        <w:t xml:space="preserve">Českej republiky </w:t>
      </w:r>
      <w:r>
        <w:t xml:space="preserve">a </w:t>
      </w:r>
      <w:r>
        <w:rPr>
          <w:b/>
        </w:rPr>
        <w:t>Slovenska</w:t>
      </w:r>
      <w:r>
        <w:t xml:space="preserve">, sa v súčasnosti rozširuje (napr. v </w:t>
      </w:r>
      <w:r>
        <w:rPr>
          <w:b/>
        </w:rPr>
        <w:t>Nemecku</w:t>
      </w:r>
      <w:r>
        <w:t>). Z juhovýchodnej Európy (</w:t>
      </w:r>
      <w:r>
        <w:rPr>
          <w:b/>
        </w:rPr>
        <w:t>Grécko, Cyprus, Turecko</w:t>
      </w:r>
      <w:r>
        <w:t xml:space="preserve">) prichádzajú znepokojujúce správy o tom, že </w:t>
      </w:r>
      <w:r w:rsidRPr="00EC3621">
        <w:t>fajčenie</w:t>
      </w:r>
      <w:r w:rsidRPr="00575AE2">
        <w:t xml:space="preserve"> kryštalického</w:t>
      </w:r>
      <w:r>
        <w:t xml:space="preserve"> metamfetamínu je </w:t>
      </w:r>
      <w:r w:rsidR="00575AE2">
        <w:t xml:space="preserve">síce zatiaľ </w:t>
      </w:r>
      <w:r>
        <w:t>obmedzený, ale rozvíjajúci sa problém s</w:t>
      </w:r>
      <w:r w:rsidR="00575AE2">
        <w:t> potenciálom</w:t>
      </w:r>
      <w:r w:rsidR="00BA494C">
        <w:t xml:space="preserve"> </w:t>
      </w:r>
      <w:r>
        <w:t xml:space="preserve">šírenia </w:t>
      </w:r>
      <w:r w:rsidR="0011288A">
        <w:t xml:space="preserve">sa </w:t>
      </w:r>
      <w:r>
        <w:t>medzi zraniteľn</w:t>
      </w:r>
      <w:r w:rsidR="00A20D8C">
        <w:t>ým</w:t>
      </w:r>
      <w:r>
        <w:t xml:space="preserve"> obyvateľstvom. V niektorých veľkých európskych mestách bolo ako nový trend nahlásené </w:t>
      </w:r>
      <w:r w:rsidRPr="00EC3621">
        <w:t>injekčné</w:t>
      </w:r>
      <w:r w:rsidRPr="0011288A">
        <w:t xml:space="preserve"> </w:t>
      </w:r>
      <w:r>
        <w:t xml:space="preserve">užívanie metamfetamínu </w:t>
      </w:r>
      <w:r w:rsidR="00A20D8C">
        <w:t>v malých komunitách</w:t>
      </w:r>
      <w:r w:rsidR="00BA494C">
        <w:t xml:space="preserve"> </w:t>
      </w:r>
      <w:r>
        <w:t>mužov, ktorí majú pohlavný styk s mužmi (</w:t>
      </w:r>
      <w:r>
        <w:rPr>
          <w:vertAlign w:val="superscript"/>
        </w:rPr>
        <w:t>4</w:t>
      </w:r>
      <w:r>
        <w:t>).</w:t>
      </w:r>
    </w:p>
    <w:p w:rsidR="00FD29EB" w:rsidRDefault="0011288A" w:rsidP="00816731">
      <w:pPr>
        <w:pStyle w:val="newsContent"/>
      </w:pPr>
      <w:r>
        <w:t>Obavy sa v súčasnosti</w:t>
      </w:r>
      <w:r w:rsidR="00BA494C">
        <w:t xml:space="preserve"> </w:t>
      </w:r>
      <w:r>
        <w:t>týkajú</w:t>
      </w:r>
      <w:r w:rsidR="00BA494C">
        <w:t xml:space="preserve"> </w:t>
      </w:r>
      <w:r>
        <w:t xml:space="preserve">aj </w:t>
      </w:r>
      <w:r w:rsidR="00FD29EB">
        <w:t>opätovn</w:t>
      </w:r>
      <w:r>
        <w:t>ého</w:t>
      </w:r>
      <w:r w:rsidR="00BA494C">
        <w:t xml:space="preserve"> </w:t>
      </w:r>
      <w:r w:rsidR="00FD29EB">
        <w:t>výskyt</w:t>
      </w:r>
      <w:r>
        <w:t>u</w:t>
      </w:r>
      <w:r w:rsidR="00FD29EB">
        <w:t xml:space="preserve"> vysokokvalitnej extázy (MDMA) vo forme prášku a tabliet. Z</w:t>
      </w:r>
      <w:r>
        <w:t>áchyty</w:t>
      </w:r>
      <w:r w:rsidR="00BA494C">
        <w:t xml:space="preserve"> </w:t>
      </w:r>
      <w:r w:rsidR="00FD29EB">
        <w:t xml:space="preserve">a správy o nežiaducich zdravotných </w:t>
      </w:r>
      <w:r w:rsidR="00EC3621">
        <w:t>dôsledkoch</w:t>
      </w:r>
      <w:r w:rsidR="00BA494C">
        <w:t xml:space="preserve"> </w:t>
      </w:r>
      <w:r w:rsidR="00FD29EB">
        <w:t xml:space="preserve">podnietili </w:t>
      </w:r>
      <w:r w:rsidR="00FD29EB">
        <w:rPr>
          <w:b/>
        </w:rPr>
        <w:t>Europol</w:t>
      </w:r>
      <w:r w:rsidR="00FD29EB">
        <w:t xml:space="preserve"> a </w:t>
      </w:r>
      <w:r w:rsidR="00FD29EB">
        <w:rPr>
          <w:b/>
        </w:rPr>
        <w:t>EMCDDA</w:t>
      </w:r>
      <w:r w:rsidR="00FD29EB">
        <w:t xml:space="preserve">, aby vydali spoločné varovanie </w:t>
      </w:r>
      <w:r w:rsidR="00EC3621">
        <w:t>týkajúce sa</w:t>
      </w:r>
      <w:r w:rsidR="00BA494C">
        <w:t xml:space="preserve"> </w:t>
      </w:r>
      <w:r w:rsidR="00EC3621">
        <w:t>dostupnosti</w:t>
      </w:r>
      <w:r w:rsidR="00BA494C">
        <w:t xml:space="preserve"> </w:t>
      </w:r>
      <w:r w:rsidR="00FD29EB">
        <w:t>vysoko účinných výrobkov obsahujúcich MDMA (</w:t>
      </w:r>
      <w:r w:rsidR="00FD29EB">
        <w:rPr>
          <w:vertAlign w:val="superscript"/>
        </w:rPr>
        <w:t>5</w:t>
      </w:r>
      <w:r w:rsidR="00FD29EB">
        <w:t xml:space="preserve">). </w:t>
      </w:r>
      <w:r w:rsidR="00001109">
        <w:t xml:space="preserve">           </w:t>
      </w:r>
      <w:r w:rsidR="00EC3621">
        <w:t>V</w:t>
      </w:r>
      <w:r w:rsidR="00FD29EB">
        <w:t xml:space="preserve"> roku 2013 </w:t>
      </w:r>
      <w:r w:rsidR="00EC3621">
        <w:rPr>
          <w:b/>
        </w:rPr>
        <w:t xml:space="preserve">Europol </w:t>
      </w:r>
      <w:r w:rsidR="00EC3621">
        <w:t>oznámil, že</w:t>
      </w:r>
      <w:r w:rsidR="00BA494C">
        <w:t xml:space="preserve"> </w:t>
      </w:r>
      <w:r w:rsidR="00FD29EB">
        <w:t xml:space="preserve">v </w:t>
      </w:r>
      <w:r w:rsidR="00FD29EB">
        <w:rPr>
          <w:b/>
        </w:rPr>
        <w:t>Belgick</w:t>
      </w:r>
      <w:r w:rsidR="00FD29EB" w:rsidRPr="00001109">
        <w:rPr>
          <w:b/>
        </w:rPr>
        <w:t>u</w:t>
      </w:r>
      <w:r w:rsidR="00FD29EB">
        <w:t xml:space="preserve"> </w:t>
      </w:r>
      <w:r w:rsidR="00EC3621">
        <w:t>boli zlikvidované</w:t>
      </w:r>
      <w:r w:rsidR="00BA494C">
        <w:t xml:space="preserve"> </w:t>
      </w:r>
      <w:r w:rsidR="00FD29EB">
        <w:t>dv</w:t>
      </w:r>
      <w:r w:rsidR="00EC3621">
        <w:t>e</w:t>
      </w:r>
      <w:r w:rsidR="00A20D8C">
        <w:t xml:space="preserve"> </w:t>
      </w:r>
      <w:r w:rsidR="00FD29EB">
        <w:t>doposiaľ najväčš</w:t>
      </w:r>
      <w:r w:rsidR="00EC3621">
        <w:t>ie</w:t>
      </w:r>
      <w:r w:rsidR="00BA494C">
        <w:t xml:space="preserve"> </w:t>
      </w:r>
      <w:r w:rsidR="00FD29EB">
        <w:t>výrobn</w:t>
      </w:r>
      <w:r w:rsidR="00EC3621">
        <w:t>e</w:t>
      </w:r>
      <w:r w:rsidR="00FD29EB">
        <w:t xml:space="preserve"> drogy</w:t>
      </w:r>
      <w:r w:rsidR="00EC3621">
        <w:t>,</w:t>
      </w:r>
      <w:r w:rsidR="00A20D8C">
        <w:t xml:space="preserve"> </w:t>
      </w:r>
      <w:r w:rsidR="00EC3621">
        <w:t>ktoré boli v EÚ odhalené</w:t>
      </w:r>
      <w:r w:rsidR="00FD29EB">
        <w:t xml:space="preserve"> </w:t>
      </w:r>
      <w:r w:rsidR="00EC3621">
        <w:t xml:space="preserve">a ktoré boli schopné </w:t>
      </w:r>
      <w:r w:rsidR="00A20D8C">
        <w:t xml:space="preserve">rýchlo </w:t>
      </w:r>
      <w:r w:rsidR="00EC3621">
        <w:t xml:space="preserve">vyrábať </w:t>
      </w:r>
      <w:r w:rsidR="00FD29EB">
        <w:t>veľké objemy MDMA</w:t>
      </w:r>
      <w:r w:rsidR="00A20D8C">
        <w:t>.</w:t>
      </w:r>
    </w:p>
    <w:p w:rsidR="00FD29EB" w:rsidRPr="00FD29EB" w:rsidRDefault="00FD29EB" w:rsidP="00FD29EB">
      <w:pPr>
        <w:spacing w:after="260" w:line="260" w:lineRule="exact"/>
        <w:ind w:right="-144"/>
        <w:rPr>
          <w:rFonts w:ascii="Arial" w:hAnsi="Arial"/>
          <w:sz w:val="20"/>
          <w:szCs w:val="20"/>
          <w:lang w:eastAsia="sk-SK" w:bidi="sk-SK"/>
        </w:rPr>
      </w:pPr>
      <w:r w:rsidRPr="00FD29EB">
        <w:rPr>
          <w:rFonts w:ascii="Arial" w:hAnsi="Arial"/>
          <w:b/>
          <w:sz w:val="20"/>
          <w:szCs w:val="20"/>
          <w:lang w:eastAsia="sk-SK" w:bidi="sk-SK"/>
        </w:rPr>
        <w:t>Nové psychoaktívne látky: systém včasného varovania EÚ je pod narastajúcim tlakom</w:t>
      </w:r>
    </w:p>
    <w:p w:rsidR="00FD29EB" w:rsidRPr="00FD29EB" w:rsidRDefault="00EC3621" w:rsidP="00FD29EB">
      <w:pPr>
        <w:spacing w:after="260" w:line="260" w:lineRule="exact"/>
        <w:ind w:right="-144"/>
        <w:rPr>
          <w:rFonts w:ascii="Arial" w:hAnsi="Arial"/>
          <w:sz w:val="20"/>
          <w:szCs w:val="20"/>
          <w:lang w:eastAsia="sk-SK" w:bidi="sk-SK"/>
        </w:rPr>
      </w:pPr>
      <w:r>
        <w:rPr>
          <w:rFonts w:ascii="Arial" w:hAnsi="Arial"/>
          <w:sz w:val="20"/>
          <w:szCs w:val="20"/>
          <w:lang w:eastAsia="sk-SK" w:bidi="sk-SK"/>
        </w:rPr>
        <w:t>Zvyšovanie počtov, druhov</w:t>
      </w:r>
      <w:r w:rsidR="00BA494C">
        <w:rPr>
          <w:rFonts w:ascii="Arial" w:hAnsi="Arial"/>
          <w:sz w:val="20"/>
          <w:szCs w:val="20"/>
          <w:lang w:eastAsia="sk-SK" w:bidi="sk-SK"/>
        </w:rPr>
        <w:t xml:space="preserve"> </w:t>
      </w:r>
      <w:r w:rsidR="00FD29EB" w:rsidRPr="00FD29EB">
        <w:rPr>
          <w:rFonts w:ascii="Arial" w:hAnsi="Arial"/>
          <w:sz w:val="20"/>
          <w:szCs w:val="20"/>
          <w:lang w:eastAsia="sk-SK" w:bidi="sk-SK"/>
        </w:rPr>
        <w:t xml:space="preserve">a dostupnosti nových psychoaktívnych látok (NPL alebo „nových drog“) v Európe </w:t>
      </w:r>
      <w:r w:rsidR="00982473">
        <w:rPr>
          <w:rFonts w:ascii="Arial" w:hAnsi="Arial"/>
          <w:sz w:val="20"/>
          <w:szCs w:val="20"/>
          <w:lang w:eastAsia="sk-SK" w:bidi="sk-SK"/>
        </w:rPr>
        <w:t>sa nezmiernilo.</w:t>
      </w:r>
      <w:r w:rsidR="00FD29EB" w:rsidRPr="00FD29EB">
        <w:rPr>
          <w:rFonts w:ascii="Arial" w:hAnsi="Arial"/>
          <w:sz w:val="20"/>
          <w:szCs w:val="20"/>
          <w:lang w:eastAsia="sk-SK" w:bidi="sk-SK"/>
        </w:rPr>
        <w:t xml:space="preserve">, uvádza </w:t>
      </w:r>
      <w:r w:rsidR="00FD29EB" w:rsidRPr="00FD29EB">
        <w:rPr>
          <w:rFonts w:ascii="Arial" w:hAnsi="Arial"/>
          <w:b/>
          <w:sz w:val="20"/>
          <w:szCs w:val="20"/>
          <w:lang w:eastAsia="sk-SK" w:bidi="sk-SK"/>
        </w:rPr>
        <w:t>EMCDDA</w:t>
      </w:r>
      <w:r w:rsidR="00FD29EB" w:rsidRPr="00FD29EB">
        <w:rPr>
          <w:rFonts w:ascii="Arial" w:hAnsi="Arial"/>
          <w:sz w:val="20"/>
          <w:szCs w:val="20"/>
          <w:lang w:eastAsia="sk-SK" w:bidi="sk-SK"/>
        </w:rPr>
        <w:t xml:space="preserve">. V roku 2013 bolo </w:t>
      </w:r>
      <w:r>
        <w:rPr>
          <w:rFonts w:ascii="Arial" w:hAnsi="Arial"/>
          <w:sz w:val="20"/>
          <w:szCs w:val="20"/>
          <w:lang w:eastAsia="sk-SK" w:bidi="sk-SK"/>
        </w:rPr>
        <w:t xml:space="preserve">do </w:t>
      </w:r>
      <w:r w:rsidR="00FD29EB" w:rsidRPr="00FD29EB">
        <w:rPr>
          <w:rFonts w:ascii="Arial" w:hAnsi="Arial"/>
          <w:b/>
          <w:sz w:val="20"/>
          <w:szCs w:val="20"/>
          <w:lang w:eastAsia="sk-SK" w:bidi="sk-SK"/>
        </w:rPr>
        <w:t xml:space="preserve">systému včasného varovania EÚ </w:t>
      </w:r>
      <w:r w:rsidR="00001109">
        <w:rPr>
          <w:rFonts w:ascii="Arial" w:hAnsi="Arial"/>
          <w:b/>
          <w:sz w:val="20"/>
          <w:szCs w:val="20"/>
          <w:lang w:eastAsia="sk-SK" w:bidi="sk-SK"/>
        </w:rPr>
        <w:t xml:space="preserve">              </w:t>
      </w:r>
      <w:r w:rsidR="00FD29EB" w:rsidRPr="00FD29EB">
        <w:rPr>
          <w:rFonts w:ascii="Arial" w:hAnsi="Arial"/>
          <w:b/>
          <w:sz w:val="20"/>
          <w:szCs w:val="20"/>
          <w:lang w:eastAsia="sk-SK" w:bidi="sk-SK"/>
        </w:rPr>
        <w:lastRenderedPageBreak/>
        <w:t>(EU–EWS)</w:t>
      </w:r>
      <w:r w:rsidR="00FD29EB" w:rsidRPr="00FD29EB">
        <w:rPr>
          <w:rFonts w:ascii="Arial" w:hAnsi="Arial"/>
          <w:sz w:val="20"/>
          <w:szCs w:val="20"/>
          <w:lang w:eastAsia="sk-SK" w:bidi="sk-SK"/>
        </w:rPr>
        <w:t xml:space="preserve"> oznámených </w:t>
      </w:r>
      <w:r w:rsidR="00982473">
        <w:rPr>
          <w:rFonts w:ascii="Arial" w:hAnsi="Arial"/>
          <w:sz w:val="20"/>
          <w:szCs w:val="20"/>
          <w:lang w:eastAsia="sk-SK" w:bidi="sk-SK"/>
        </w:rPr>
        <w:t xml:space="preserve">ďalších </w:t>
      </w:r>
      <w:r w:rsidR="00FD29EB" w:rsidRPr="00FD29EB">
        <w:rPr>
          <w:rFonts w:ascii="Arial" w:hAnsi="Arial"/>
          <w:sz w:val="20"/>
          <w:szCs w:val="20"/>
          <w:lang w:eastAsia="sk-SK" w:bidi="sk-SK"/>
        </w:rPr>
        <w:t>81 nových drog (</w:t>
      </w:r>
      <w:r w:rsidR="00FD29EB" w:rsidRPr="00FD29EB">
        <w:rPr>
          <w:rFonts w:ascii="Arial" w:hAnsi="Arial"/>
          <w:sz w:val="20"/>
          <w:szCs w:val="20"/>
          <w:vertAlign w:val="superscript"/>
          <w:lang w:eastAsia="sk-SK" w:bidi="sk-SK"/>
        </w:rPr>
        <w:t>6</w:t>
      </w:r>
      <w:r w:rsidR="00FD29EB" w:rsidRPr="00FD29EB">
        <w:rPr>
          <w:rFonts w:ascii="Arial" w:hAnsi="Arial"/>
          <w:sz w:val="20"/>
          <w:szCs w:val="20"/>
          <w:lang w:eastAsia="sk-SK" w:bidi="sk-SK"/>
        </w:rPr>
        <w:t xml:space="preserve">). Počet nových látok, ktoré agentúra monitoruje tak </w:t>
      </w:r>
      <w:r w:rsidR="00982473">
        <w:rPr>
          <w:rFonts w:ascii="Arial" w:hAnsi="Arial"/>
          <w:sz w:val="20"/>
          <w:szCs w:val="20"/>
          <w:lang w:eastAsia="sk-SK" w:bidi="sk-SK"/>
        </w:rPr>
        <w:t>prekročil</w:t>
      </w:r>
      <w:r w:rsidR="00BA494C">
        <w:rPr>
          <w:rFonts w:ascii="Arial" w:hAnsi="Arial"/>
          <w:sz w:val="20"/>
          <w:szCs w:val="20"/>
          <w:lang w:eastAsia="sk-SK" w:bidi="sk-SK"/>
        </w:rPr>
        <w:t xml:space="preserve"> </w:t>
      </w:r>
      <w:r w:rsidR="00FD29EB" w:rsidRPr="00FD29EB">
        <w:rPr>
          <w:rFonts w:ascii="Arial" w:hAnsi="Arial"/>
          <w:sz w:val="20"/>
          <w:szCs w:val="20"/>
          <w:lang w:eastAsia="sk-SK" w:bidi="sk-SK"/>
        </w:rPr>
        <w:t xml:space="preserve">350. Podľa </w:t>
      </w:r>
      <w:r w:rsidR="00FD29EB">
        <w:rPr>
          <w:rFonts w:ascii="Arial" w:hAnsi="Arial"/>
          <w:sz w:val="20"/>
          <w:szCs w:val="20"/>
          <w:lang w:eastAsia="sk-SK" w:bidi="sk-SK"/>
        </w:rPr>
        <w:t>aktuálnej</w:t>
      </w:r>
      <w:r w:rsidR="00FD29EB" w:rsidRPr="00FD29EB">
        <w:rPr>
          <w:rFonts w:ascii="Arial" w:hAnsi="Arial"/>
          <w:sz w:val="20"/>
          <w:szCs w:val="20"/>
          <w:lang w:eastAsia="sk-SK" w:bidi="sk-SK"/>
        </w:rPr>
        <w:t xml:space="preserve"> správy je tento systém „vystavený narastajúcemu tlaku</w:t>
      </w:r>
      <w:r w:rsidR="00BA494C">
        <w:rPr>
          <w:rFonts w:ascii="Arial" w:hAnsi="Arial"/>
          <w:sz w:val="20"/>
          <w:szCs w:val="20"/>
          <w:lang w:eastAsia="sk-SK" w:bidi="sk-SK"/>
        </w:rPr>
        <w:t xml:space="preserve"> </w:t>
      </w:r>
      <w:r w:rsidR="00982473">
        <w:rPr>
          <w:rFonts w:ascii="Arial" w:hAnsi="Arial"/>
          <w:sz w:val="20"/>
          <w:szCs w:val="20"/>
          <w:lang w:eastAsia="sk-SK" w:bidi="sk-SK"/>
        </w:rPr>
        <w:t>súvisiacemu</w:t>
      </w:r>
      <w:r w:rsidR="00BA494C">
        <w:rPr>
          <w:rFonts w:ascii="Arial" w:hAnsi="Arial"/>
          <w:sz w:val="20"/>
          <w:szCs w:val="20"/>
          <w:lang w:eastAsia="sk-SK" w:bidi="sk-SK"/>
        </w:rPr>
        <w:t xml:space="preserve"> </w:t>
      </w:r>
      <w:r w:rsidR="00982473">
        <w:rPr>
          <w:rFonts w:ascii="Arial" w:hAnsi="Arial"/>
          <w:sz w:val="20"/>
          <w:szCs w:val="20"/>
          <w:lang w:eastAsia="sk-SK" w:bidi="sk-SK"/>
        </w:rPr>
        <w:t>s </w:t>
      </w:r>
      <w:r w:rsidR="00FD29EB" w:rsidRPr="00FD29EB">
        <w:rPr>
          <w:rFonts w:ascii="Arial" w:hAnsi="Arial"/>
          <w:sz w:val="20"/>
          <w:szCs w:val="20"/>
          <w:lang w:eastAsia="sk-SK" w:bidi="sk-SK"/>
        </w:rPr>
        <w:t>objem</w:t>
      </w:r>
      <w:r w:rsidR="00982473">
        <w:rPr>
          <w:rFonts w:ascii="Arial" w:hAnsi="Arial"/>
          <w:sz w:val="20"/>
          <w:szCs w:val="20"/>
          <w:lang w:eastAsia="sk-SK" w:bidi="sk-SK"/>
        </w:rPr>
        <w:t>om</w:t>
      </w:r>
      <w:r w:rsidR="00BA494C">
        <w:rPr>
          <w:rFonts w:ascii="Arial" w:hAnsi="Arial"/>
          <w:sz w:val="20"/>
          <w:szCs w:val="20"/>
          <w:lang w:eastAsia="sk-SK" w:bidi="sk-SK"/>
        </w:rPr>
        <w:t xml:space="preserve"> </w:t>
      </w:r>
      <w:r w:rsidR="00FD29EB" w:rsidRPr="00FD29EB">
        <w:rPr>
          <w:rFonts w:ascii="Arial" w:hAnsi="Arial"/>
          <w:sz w:val="20"/>
          <w:szCs w:val="20"/>
          <w:lang w:eastAsia="sk-SK" w:bidi="sk-SK"/>
        </w:rPr>
        <w:t>a</w:t>
      </w:r>
      <w:r w:rsidR="00982473">
        <w:rPr>
          <w:rFonts w:ascii="Arial" w:hAnsi="Arial"/>
          <w:sz w:val="20"/>
          <w:szCs w:val="20"/>
          <w:lang w:eastAsia="sk-SK" w:bidi="sk-SK"/>
        </w:rPr>
        <w:t> </w:t>
      </w:r>
      <w:r w:rsidR="00FD29EB" w:rsidRPr="00FD29EB">
        <w:rPr>
          <w:rFonts w:ascii="Arial" w:hAnsi="Arial"/>
          <w:sz w:val="20"/>
          <w:szCs w:val="20"/>
          <w:lang w:eastAsia="sk-SK" w:bidi="sk-SK"/>
        </w:rPr>
        <w:t>rozmanitos</w:t>
      </w:r>
      <w:r w:rsidR="00982473">
        <w:rPr>
          <w:rFonts w:ascii="Arial" w:hAnsi="Arial"/>
          <w:sz w:val="20"/>
          <w:szCs w:val="20"/>
          <w:lang w:eastAsia="sk-SK" w:bidi="sk-SK"/>
        </w:rPr>
        <w:t>ťou</w:t>
      </w:r>
      <w:r w:rsidR="00BA494C">
        <w:rPr>
          <w:rFonts w:ascii="Arial" w:hAnsi="Arial"/>
          <w:sz w:val="20"/>
          <w:szCs w:val="20"/>
          <w:lang w:eastAsia="sk-SK" w:bidi="sk-SK"/>
        </w:rPr>
        <w:t xml:space="preserve"> </w:t>
      </w:r>
      <w:r w:rsidR="00FD29EB" w:rsidRPr="00FD29EB">
        <w:rPr>
          <w:rFonts w:ascii="Arial" w:hAnsi="Arial"/>
          <w:sz w:val="20"/>
          <w:szCs w:val="20"/>
          <w:lang w:eastAsia="sk-SK" w:bidi="sk-SK"/>
        </w:rPr>
        <w:t xml:space="preserve">nových drog objavujúcich sa na trhu“. Za posledné štyri roky sa objavilo takmer 250 látok. </w:t>
      </w:r>
    </w:p>
    <w:p w:rsidR="00FD29EB" w:rsidRDefault="00FD29EB" w:rsidP="004873E3">
      <w:pPr>
        <w:pStyle w:val="newsContent"/>
        <w:ind w:right="-144"/>
      </w:pPr>
      <w:r w:rsidRPr="00FD29EB">
        <w:t>Nové psychoaktívne látky, ktoré nie sú kontrolované</w:t>
      </w:r>
      <w:r>
        <w:t xml:space="preserve"> podľa</w:t>
      </w:r>
      <w:r w:rsidRPr="00FD29EB">
        <w:t xml:space="preserve"> medzinárodn</w:t>
      </w:r>
      <w:r>
        <w:t>ého</w:t>
      </w:r>
      <w:r w:rsidRPr="00FD29EB">
        <w:t xml:space="preserve"> práv</w:t>
      </w:r>
      <w:r>
        <w:t>a</w:t>
      </w:r>
      <w:r w:rsidRPr="00FD29EB">
        <w:t xml:space="preserve">, sa často predávajú na trhu ako tzv. „legal highs“ (nekontrolované psychoaktívne látky) a vyrábajú sa s cieľom napodobniť účinky kontrolovaných drog. </w:t>
      </w:r>
      <w:r w:rsidR="00982473">
        <w:t>V 29 prípadoch nových drog</w:t>
      </w:r>
      <w:r w:rsidR="00BA494C">
        <w:t xml:space="preserve"> </w:t>
      </w:r>
      <w:r w:rsidRPr="00FD29EB">
        <w:t xml:space="preserve"> zistených v minulom roku </w:t>
      </w:r>
      <w:r w:rsidR="00982473">
        <w:t>išlo o</w:t>
      </w:r>
      <w:r w:rsidR="00BA494C">
        <w:t xml:space="preserve"> </w:t>
      </w:r>
      <w:r w:rsidRPr="00FD29EB">
        <w:t>syntetické kanabinoidy</w:t>
      </w:r>
      <w:r w:rsidR="00816731">
        <w:t xml:space="preserve"> –</w:t>
      </w:r>
      <w:r w:rsidR="00BA494C">
        <w:t xml:space="preserve"> </w:t>
      </w:r>
      <w:r w:rsidR="00982473">
        <w:t xml:space="preserve">čo je </w:t>
      </w:r>
      <w:r w:rsidRPr="00FD29EB">
        <w:t>najväčši</w:t>
      </w:r>
      <w:r w:rsidR="00816731">
        <w:t>a</w:t>
      </w:r>
      <w:r w:rsidRPr="00FD29EB">
        <w:t xml:space="preserve"> skupin</w:t>
      </w:r>
      <w:r w:rsidR="00816731">
        <w:t>a, ktorú</w:t>
      </w:r>
      <w:r w:rsidRPr="00FD29EB">
        <w:t xml:space="preserve"> v súčasnosti monitoruje systém </w:t>
      </w:r>
      <w:r w:rsidRPr="00001109">
        <w:rPr>
          <w:b/>
        </w:rPr>
        <w:t>EU–EWS</w:t>
      </w:r>
      <w:r w:rsidRPr="00FD29EB">
        <w:t>. Rýchlosť</w:t>
      </w:r>
      <w:r w:rsidR="003B1E3E">
        <w:t xml:space="preserve"> ktorou boli v poslednej dobe</w:t>
      </w:r>
      <w:r w:rsidR="00BA494C">
        <w:t xml:space="preserve"> </w:t>
      </w:r>
      <w:r w:rsidR="003B1E3E">
        <w:t>kontrolované</w:t>
      </w:r>
      <w:r w:rsidR="00BA494C">
        <w:t xml:space="preserve"> </w:t>
      </w:r>
      <w:r w:rsidRPr="00FD29EB">
        <w:t xml:space="preserve">látky nahradené novými látkami, </w:t>
      </w:r>
      <w:r w:rsidR="003B1E3E">
        <w:t>bola podnetom</w:t>
      </w:r>
      <w:r w:rsidR="00BA494C">
        <w:t xml:space="preserve"> </w:t>
      </w:r>
      <w:r w:rsidR="003B1E3E">
        <w:t>pre nové legislatívne riešenia</w:t>
      </w:r>
      <w:r w:rsidR="00BA494C">
        <w:t xml:space="preserve"> </w:t>
      </w:r>
      <w:r w:rsidRPr="00FD29EB">
        <w:t>v rámci Európy (kapitola 4).</w:t>
      </w:r>
    </w:p>
    <w:p w:rsidR="003B1E3E" w:rsidRPr="00816731" w:rsidRDefault="00816731" w:rsidP="003B1E3E">
      <w:pPr>
        <w:spacing w:after="260" w:line="260" w:lineRule="exact"/>
        <w:ind w:right="-144"/>
        <w:rPr>
          <w:rFonts w:ascii="Arial" w:hAnsi="Arial"/>
          <w:sz w:val="20"/>
          <w:szCs w:val="20"/>
          <w:lang w:eastAsia="sk-SK" w:bidi="sk-SK"/>
        </w:rPr>
      </w:pPr>
      <w:r w:rsidRPr="00816731">
        <w:rPr>
          <w:rFonts w:ascii="Arial" w:hAnsi="Arial"/>
          <w:sz w:val="20"/>
          <w:szCs w:val="20"/>
          <w:lang w:eastAsia="sk-SK" w:bidi="sk-SK"/>
        </w:rPr>
        <w:t>Nové drogy sa v</w:t>
      </w:r>
      <w:r>
        <w:rPr>
          <w:rFonts w:ascii="Arial" w:hAnsi="Arial"/>
          <w:sz w:val="20"/>
          <w:szCs w:val="20"/>
          <w:lang w:eastAsia="sk-SK" w:bidi="sk-SK"/>
        </w:rPr>
        <w:t> </w:t>
      </w:r>
      <w:r w:rsidRPr="00816731">
        <w:rPr>
          <w:rFonts w:ascii="Arial" w:hAnsi="Arial"/>
          <w:sz w:val="20"/>
          <w:szCs w:val="20"/>
          <w:lang w:eastAsia="sk-SK" w:bidi="sk-SK"/>
        </w:rPr>
        <w:t>Európe</w:t>
      </w:r>
      <w:r>
        <w:rPr>
          <w:rFonts w:ascii="Arial" w:hAnsi="Arial"/>
          <w:sz w:val="20"/>
          <w:szCs w:val="20"/>
          <w:lang w:eastAsia="sk-SK" w:bidi="sk-SK"/>
        </w:rPr>
        <w:t xml:space="preserve"> môžu</w:t>
      </w:r>
      <w:r w:rsidRPr="00816731">
        <w:rPr>
          <w:rFonts w:ascii="Arial" w:hAnsi="Arial"/>
          <w:sz w:val="20"/>
          <w:szCs w:val="20"/>
          <w:lang w:eastAsia="sk-SK" w:bidi="sk-SK"/>
        </w:rPr>
        <w:t xml:space="preserve"> vyrába</w:t>
      </w:r>
      <w:r>
        <w:rPr>
          <w:rFonts w:ascii="Arial" w:hAnsi="Arial"/>
          <w:sz w:val="20"/>
          <w:szCs w:val="20"/>
          <w:lang w:eastAsia="sk-SK" w:bidi="sk-SK"/>
        </w:rPr>
        <w:t>ť</w:t>
      </w:r>
      <w:r w:rsidRPr="00816731">
        <w:rPr>
          <w:rFonts w:ascii="Arial" w:hAnsi="Arial"/>
          <w:sz w:val="20"/>
          <w:szCs w:val="20"/>
          <w:lang w:eastAsia="sk-SK" w:bidi="sk-SK"/>
        </w:rPr>
        <w:t xml:space="preserve"> v tajných laboratóriách. </w:t>
      </w:r>
      <w:r>
        <w:rPr>
          <w:rFonts w:ascii="Arial" w:hAnsi="Arial"/>
          <w:sz w:val="20"/>
          <w:szCs w:val="20"/>
          <w:lang w:eastAsia="sk-SK" w:bidi="sk-SK"/>
        </w:rPr>
        <w:t>B</w:t>
      </w:r>
      <w:r w:rsidRPr="00816731">
        <w:rPr>
          <w:rFonts w:ascii="Arial" w:hAnsi="Arial"/>
          <w:sz w:val="20"/>
          <w:szCs w:val="20"/>
          <w:lang w:eastAsia="sk-SK" w:bidi="sk-SK"/>
        </w:rPr>
        <w:t>ežnejšie sa však legálne získavajú vo forme prášk</w:t>
      </w:r>
      <w:r>
        <w:rPr>
          <w:rFonts w:ascii="Arial" w:hAnsi="Arial"/>
          <w:sz w:val="20"/>
          <w:szCs w:val="20"/>
          <w:lang w:eastAsia="sk-SK" w:bidi="sk-SK"/>
        </w:rPr>
        <w:t>ov</w:t>
      </w:r>
      <w:r w:rsidRPr="00816731">
        <w:rPr>
          <w:rFonts w:ascii="Arial" w:hAnsi="Arial"/>
          <w:sz w:val="20"/>
          <w:szCs w:val="20"/>
          <w:lang w:eastAsia="sk-SK" w:bidi="sk-SK"/>
        </w:rPr>
        <w:t xml:space="preserve"> prevažne z </w:t>
      </w:r>
      <w:r w:rsidRPr="00816731">
        <w:rPr>
          <w:rFonts w:ascii="Arial" w:hAnsi="Arial"/>
          <w:b/>
          <w:sz w:val="20"/>
          <w:szCs w:val="20"/>
          <w:lang w:eastAsia="sk-SK" w:bidi="sk-SK"/>
        </w:rPr>
        <w:t xml:space="preserve">Číny </w:t>
      </w:r>
      <w:r w:rsidRPr="00816731">
        <w:rPr>
          <w:rFonts w:ascii="Arial" w:hAnsi="Arial"/>
          <w:sz w:val="20"/>
          <w:szCs w:val="20"/>
          <w:lang w:eastAsia="sk-SK" w:bidi="sk-SK"/>
        </w:rPr>
        <w:t>a</w:t>
      </w:r>
      <w:r w:rsidRPr="00816731">
        <w:rPr>
          <w:rFonts w:ascii="Arial" w:hAnsi="Arial"/>
          <w:b/>
          <w:sz w:val="20"/>
          <w:szCs w:val="20"/>
          <w:lang w:eastAsia="sk-SK" w:bidi="sk-SK"/>
        </w:rPr>
        <w:t xml:space="preserve"> Indie</w:t>
      </w:r>
      <w:r w:rsidRPr="00816731">
        <w:rPr>
          <w:rFonts w:ascii="Arial" w:hAnsi="Arial"/>
          <w:sz w:val="20"/>
          <w:szCs w:val="20"/>
          <w:lang w:eastAsia="sk-SK" w:bidi="sk-SK"/>
        </w:rPr>
        <w:t xml:space="preserve"> a dovážajú sa do Európy, kde sa spracúvajú, balia a predávajú ako tzv. výrobky „legal high“ alebo „výskumné chemikálie“ a predávajú sa priamo na </w:t>
      </w:r>
      <w:r w:rsidR="003B1E3E">
        <w:rPr>
          <w:rFonts w:ascii="Arial" w:hAnsi="Arial"/>
          <w:sz w:val="20"/>
          <w:szCs w:val="20"/>
          <w:lang w:eastAsia="sk-SK" w:bidi="sk-SK"/>
        </w:rPr>
        <w:t xml:space="preserve">čiernom trhu </w:t>
      </w:r>
      <w:r w:rsidRPr="00816731">
        <w:rPr>
          <w:rFonts w:ascii="Arial" w:hAnsi="Arial"/>
          <w:sz w:val="20"/>
          <w:szCs w:val="20"/>
          <w:lang w:eastAsia="sk-SK" w:bidi="sk-SK"/>
        </w:rPr>
        <w:t xml:space="preserve">. Kľúčovú úlohu pri formovaní trhu s novými psychoaktívnymi látkami </w:t>
      </w:r>
      <w:r>
        <w:rPr>
          <w:rFonts w:ascii="Arial" w:hAnsi="Arial"/>
          <w:sz w:val="20"/>
          <w:szCs w:val="20"/>
          <w:lang w:eastAsia="sk-SK" w:bidi="sk-SK"/>
        </w:rPr>
        <w:t>naďalej</w:t>
      </w:r>
      <w:r w:rsidRPr="00816731">
        <w:rPr>
          <w:rFonts w:ascii="Arial" w:hAnsi="Arial"/>
          <w:sz w:val="20"/>
          <w:szCs w:val="20"/>
          <w:lang w:eastAsia="sk-SK" w:bidi="sk-SK"/>
        </w:rPr>
        <w:t xml:space="preserve"> zohráva internet. V</w:t>
      </w:r>
      <w:r>
        <w:t> </w:t>
      </w:r>
      <w:r w:rsidRPr="00816731">
        <w:rPr>
          <w:rFonts w:ascii="Arial" w:hAnsi="Arial"/>
          <w:sz w:val="20"/>
          <w:szCs w:val="20"/>
          <w:lang w:eastAsia="sk-SK" w:bidi="sk-SK"/>
        </w:rPr>
        <w:t xml:space="preserve">roku 2013 agentúra </w:t>
      </w:r>
      <w:r w:rsidRPr="00816731">
        <w:rPr>
          <w:rFonts w:ascii="Arial" w:hAnsi="Arial"/>
          <w:b/>
          <w:sz w:val="20"/>
          <w:szCs w:val="20"/>
          <w:lang w:eastAsia="sk-SK" w:bidi="sk-SK"/>
        </w:rPr>
        <w:t xml:space="preserve">EMCDDA </w:t>
      </w:r>
      <w:r w:rsidRPr="00816731">
        <w:rPr>
          <w:rFonts w:ascii="Arial" w:hAnsi="Arial"/>
          <w:sz w:val="20"/>
          <w:szCs w:val="20"/>
          <w:lang w:eastAsia="sk-SK" w:bidi="sk-SK"/>
        </w:rPr>
        <w:t xml:space="preserve">identifikovala približne 650 webových stránok predávajúcich tieto látky Európanom. </w:t>
      </w:r>
      <w:r w:rsidR="003B1E3E">
        <w:rPr>
          <w:rFonts w:ascii="Arial" w:hAnsi="Arial"/>
          <w:sz w:val="20"/>
          <w:szCs w:val="20"/>
          <w:lang w:eastAsia="sk-SK" w:bidi="sk-SK"/>
        </w:rPr>
        <w:t>N</w:t>
      </w:r>
      <w:r w:rsidR="003B1E3E" w:rsidRPr="00816731">
        <w:rPr>
          <w:rFonts w:ascii="Arial" w:hAnsi="Arial"/>
          <w:sz w:val="20"/>
          <w:szCs w:val="20"/>
          <w:lang w:eastAsia="sk-SK" w:bidi="sk-SK"/>
        </w:rPr>
        <w:t>ovú výzvu pre presadzovanie práva</w:t>
      </w:r>
      <w:r w:rsidR="003B1E3E">
        <w:rPr>
          <w:rFonts w:ascii="Arial" w:hAnsi="Arial"/>
          <w:sz w:val="20"/>
          <w:szCs w:val="20"/>
          <w:lang w:eastAsia="sk-SK" w:bidi="sk-SK"/>
        </w:rPr>
        <w:t xml:space="preserve"> predstavuje obchodovanie s novými a „starými“ drogami prostredníctvom tzv. </w:t>
      </w:r>
      <w:r w:rsidR="003B1E3E" w:rsidRPr="00001109">
        <w:rPr>
          <w:rFonts w:ascii="Arial" w:hAnsi="Arial"/>
          <w:i/>
          <w:sz w:val="20"/>
          <w:szCs w:val="20"/>
          <w:lang w:eastAsia="sk-SK" w:bidi="sk-SK"/>
        </w:rPr>
        <w:t>darknets</w:t>
      </w:r>
      <w:r w:rsidR="003B1E3E">
        <w:rPr>
          <w:rFonts w:ascii="Arial" w:hAnsi="Arial"/>
          <w:sz w:val="20"/>
          <w:szCs w:val="20"/>
          <w:lang w:eastAsia="sk-SK" w:bidi="sk-SK"/>
        </w:rPr>
        <w:t xml:space="preserve"> – tajných on-line</w:t>
      </w:r>
      <w:r w:rsidR="00BA494C">
        <w:rPr>
          <w:rFonts w:ascii="Arial" w:hAnsi="Arial"/>
          <w:sz w:val="20"/>
          <w:szCs w:val="20"/>
          <w:lang w:eastAsia="sk-SK" w:bidi="sk-SK"/>
        </w:rPr>
        <w:t xml:space="preserve"> </w:t>
      </w:r>
      <w:r w:rsidR="003B1E3E">
        <w:rPr>
          <w:rFonts w:ascii="Arial" w:hAnsi="Arial"/>
          <w:sz w:val="20"/>
          <w:szCs w:val="20"/>
          <w:lang w:eastAsia="sk-SK" w:bidi="sk-SK"/>
        </w:rPr>
        <w:t>sietí s anonymnou komunikáci</w:t>
      </w:r>
      <w:r w:rsidR="00AA5B3D">
        <w:rPr>
          <w:rFonts w:ascii="Arial" w:hAnsi="Arial"/>
          <w:sz w:val="20"/>
          <w:szCs w:val="20"/>
          <w:lang w:eastAsia="sk-SK" w:bidi="sk-SK"/>
        </w:rPr>
        <w:t>o</w:t>
      </w:r>
      <w:r w:rsidR="003B1E3E">
        <w:rPr>
          <w:rFonts w:ascii="Arial" w:hAnsi="Arial"/>
          <w:sz w:val="20"/>
          <w:szCs w:val="20"/>
          <w:lang w:eastAsia="sk-SK" w:bidi="sk-SK"/>
        </w:rPr>
        <w:t>u</w:t>
      </w:r>
      <w:r w:rsidR="00AA5B3D">
        <w:rPr>
          <w:rFonts w:ascii="Arial" w:hAnsi="Arial"/>
          <w:sz w:val="20"/>
          <w:szCs w:val="20"/>
          <w:lang w:eastAsia="sk-SK" w:bidi="sk-SK"/>
        </w:rPr>
        <w:t>.</w:t>
      </w:r>
      <w:r w:rsidR="003B1E3E" w:rsidRPr="00816731">
        <w:rPr>
          <w:rFonts w:ascii="Arial" w:hAnsi="Arial"/>
          <w:sz w:val="20"/>
          <w:szCs w:val="20"/>
          <w:lang w:eastAsia="sk-SK" w:bidi="sk-SK"/>
        </w:rPr>
        <w:t xml:space="preserve"> </w:t>
      </w:r>
    </w:p>
    <w:p w:rsidR="00816731" w:rsidRPr="00816731" w:rsidRDefault="003B1E3E" w:rsidP="00816731">
      <w:pPr>
        <w:spacing w:after="260" w:line="260" w:lineRule="exact"/>
        <w:ind w:right="-144"/>
        <w:rPr>
          <w:rFonts w:ascii="Arial" w:hAnsi="Arial"/>
          <w:sz w:val="20"/>
          <w:szCs w:val="20"/>
          <w:lang w:eastAsia="sk-SK" w:bidi="sk-SK"/>
        </w:rPr>
      </w:pPr>
      <w:r>
        <w:rPr>
          <w:rFonts w:ascii="Arial" w:hAnsi="Arial"/>
          <w:sz w:val="20"/>
          <w:szCs w:val="20"/>
          <w:lang w:eastAsia="sk-SK" w:bidi="sk-SK"/>
        </w:rPr>
        <w:t>V súčasnej dobe sa objavujú</w:t>
      </w:r>
      <w:r w:rsidR="00BA494C">
        <w:rPr>
          <w:rFonts w:ascii="Arial" w:hAnsi="Arial"/>
          <w:sz w:val="20"/>
          <w:szCs w:val="20"/>
          <w:lang w:eastAsia="sk-SK" w:bidi="sk-SK"/>
        </w:rPr>
        <w:t xml:space="preserve"> 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 xml:space="preserve">známky </w:t>
      </w:r>
      <w:r w:rsidR="00872A7B">
        <w:rPr>
          <w:rFonts w:ascii="Arial" w:hAnsi="Arial"/>
          <w:sz w:val="20"/>
          <w:szCs w:val="20"/>
          <w:lang w:eastAsia="sk-SK" w:bidi="sk-SK"/>
        </w:rPr>
        <w:t>toho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 xml:space="preserve">, že tieto látky sa v niektorých krajinách zameriavajú na hlavné segmenty trhu s drogami. V apríli 2014 posúdil </w:t>
      </w:r>
      <w:r w:rsidR="00816731" w:rsidRPr="00816731">
        <w:rPr>
          <w:rFonts w:ascii="Arial" w:hAnsi="Arial"/>
          <w:b/>
          <w:sz w:val="20"/>
          <w:szCs w:val="20"/>
          <w:lang w:eastAsia="sk-SK" w:bidi="sk-SK"/>
        </w:rPr>
        <w:t>vedecký výbor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 xml:space="preserve"> </w:t>
      </w:r>
      <w:r w:rsidR="00816731" w:rsidRPr="00816731">
        <w:rPr>
          <w:rFonts w:ascii="Arial" w:hAnsi="Arial"/>
          <w:b/>
          <w:sz w:val="20"/>
          <w:szCs w:val="20"/>
          <w:lang w:eastAsia="sk-SK" w:bidi="sk-SK"/>
        </w:rPr>
        <w:t>EMCDDA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 xml:space="preserve"> riziká štyroch účinných a škodlivých nových látok: 25I-NBOMe, AH-7921, MDPV a metoxetamín</w:t>
      </w:r>
      <w:r w:rsidR="00816731">
        <w:rPr>
          <w:rFonts w:ascii="Arial" w:hAnsi="Arial"/>
          <w:sz w:val="20"/>
          <w:szCs w:val="20"/>
          <w:lang w:eastAsia="sk-SK" w:bidi="sk-SK"/>
        </w:rPr>
        <w:t>u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>. Tieto látky sa predávajú ako náhrady za drogy</w:t>
      </w:r>
      <w:r w:rsidR="00AC0769">
        <w:rPr>
          <w:rFonts w:ascii="Calibri" w:hAnsi="Calibri"/>
          <w:sz w:val="20"/>
          <w:szCs w:val="20"/>
          <w:lang w:eastAsia="sk-SK" w:bidi="sk-SK"/>
        </w:rPr>
        <w:t>;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 xml:space="preserve"> LSD (halucinogén), morfín (opiát), kokaín (stimulant) a ketamín (liek s analgetickými a anestetickými </w:t>
      </w:r>
      <w:r w:rsidR="00816731">
        <w:rPr>
          <w:rFonts w:ascii="Arial" w:hAnsi="Arial"/>
          <w:sz w:val="20"/>
          <w:szCs w:val="20"/>
          <w:lang w:eastAsia="sk-SK" w:bidi="sk-SK"/>
        </w:rPr>
        <w:t>účinkami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>)</w:t>
      </w:r>
      <w:r w:rsidR="00872A7B">
        <w:rPr>
          <w:rFonts w:ascii="Arial" w:hAnsi="Arial"/>
          <w:sz w:val="20"/>
          <w:szCs w:val="20"/>
          <w:lang w:eastAsia="sk-SK" w:bidi="sk-SK"/>
        </w:rPr>
        <w:t>, pričom môžu byť ešte škodlivejšie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>. Správy o hodnotení riz</w:t>
      </w:r>
      <w:r w:rsidR="00816731">
        <w:rPr>
          <w:rFonts w:ascii="Arial" w:hAnsi="Arial"/>
          <w:sz w:val="20"/>
          <w:szCs w:val="20"/>
          <w:lang w:eastAsia="sk-SK" w:bidi="sk-SK"/>
        </w:rPr>
        <w:t>ík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 xml:space="preserve"> týchto štyroch látok boli predložené </w:t>
      </w:r>
      <w:r w:rsidR="00816731" w:rsidRPr="00816731">
        <w:rPr>
          <w:rFonts w:ascii="Arial" w:hAnsi="Arial"/>
          <w:b/>
          <w:sz w:val="20"/>
          <w:szCs w:val="20"/>
          <w:lang w:eastAsia="sk-SK" w:bidi="sk-SK"/>
        </w:rPr>
        <w:t>Európskej komisii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 xml:space="preserve"> a </w:t>
      </w:r>
      <w:r w:rsidR="00816731" w:rsidRPr="00816731">
        <w:rPr>
          <w:rFonts w:ascii="Arial" w:hAnsi="Arial"/>
          <w:b/>
          <w:sz w:val="20"/>
          <w:szCs w:val="20"/>
          <w:lang w:eastAsia="sk-SK" w:bidi="sk-SK"/>
        </w:rPr>
        <w:t>Rade EÚ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 xml:space="preserve">, na základe </w:t>
      </w:r>
      <w:r w:rsidR="00816731">
        <w:rPr>
          <w:rFonts w:ascii="Arial" w:hAnsi="Arial"/>
          <w:sz w:val="20"/>
          <w:szCs w:val="20"/>
          <w:lang w:eastAsia="sk-SK" w:bidi="sk-SK"/>
        </w:rPr>
        <w:t>čoho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 xml:space="preserve"> môžu byť prijaté rozhodnutia o kontrolných opatreniach v</w:t>
      </w:r>
      <w:r w:rsidR="00872A7B">
        <w:rPr>
          <w:rFonts w:ascii="Arial" w:hAnsi="Arial"/>
          <w:sz w:val="20"/>
          <w:szCs w:val="20"/>
          <w:lang w:eastAsia="sk-SK" w:bidi="sk-SK"/>
        </w:rPr>
        <w:t xml:space="preserve"> rámci 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 xml:space="preserve">celej EÚ. </w:t>
      </w:r>
    </w:p>
    <w:p w:rsidR="00816731" w:rsidRDefault="00872A7B" w:rsidP="00816731">
      <w:pPr>
        <w:pStyle w:val="newsContent"/>
      </w:pPr>
      <w:r>
        <w:t xml:space="preserve">Výskyt vysoko </w:t>
      </w:r>
      <w:r w:rsidR="00816731" w:rsidRPr="00816731">
        <w:t xml:space="preserve">účinných syntetických látok je problém, ktorý </w:t>
      </w:r>
      <w:r>
        <w:t xml:space="preserve">je podložený hláseniami </w:t>
      </w:r>
      <w:r w:rsidR="00816731" w:rsidRPr="00816731">
        <w:t xml:space="preserve">do systému </w:t>
      </w:r>
      <w:r w:rsidR="00816731" w:rsidRPr="00816731">
        <w:rPr>
          <w:b/>
        </w:rPr>
        <w:t>EU–EWS</w:t>
      </w:r>
      <w:r w:rsidR="00816731" w:rsidRPr="00816731">
        <w:t xml:space="preserve">. </w:t>
      </w:r>
      <w:r>
        <w:t>To má</w:t>
      </w:r>
      <w:r w:rsidR="00BA494C">
        <w:t xml:space="preserve"> </w:t>
      </w:r>
      <w:r w:rsidR="00816731" w:rsidRPr="00816731">
        <w:t xml:space="preserve">dôsledky </w:t>
      </w:r>
      <w:r>
        <w:t xml:space="preserve">jednak </w:t>
      </w:r>
      <w:r w:rsidR="00816731" w:rsidRPr="00816731">
        <w:t>pre užívateľov aj pre presadzovanie práva</w:t>
      </w:r>
      <w:r w:rsidR="00E73D7F">
        <w:t>, keďže takéto látky</w:t>
      </w:r>
      <w:r w:rsidR="00BA494C">
        <w:t xml:space="preserve"> </w:t>
      </w:r>
      <w:r w:rsidR="00816731" w:rsidRPr="00816731">
        <w:t xml:space="preserve">môžu byť toxické </w:t>
      </w:r>
      <w:r w:rsidR="00E73D7F">
        <w:t>aj vo</w:t>
      </w:r>
      <w:r w:rsidR="00BA494C">
        <w:t xml:space="preserve"> </w:t>
      </w:r>
      <w:r w:rsidR="00816731" w:rsidRPr="00816731">
        <w:t>veľmi nízkych dávkach,</w:t>
      </w:r>
      <w:r w:rsidR="00BA494C">
        <w:t xml:space="preserve"> </w:t>
      </w:r>
      <w:r w:rsidR="00E73D7F">
        <w:t>a naopak aj</w:t>
      </w:r>
      <w:r w:rsidR="00BA494C">
        <w:t xml:space="preserve"> </w:t>
      </w:r>
      <w:r w:rsidR="00816731" w:rsidRPr="00816731">
        <w:t xml:space="preserve"> malé množstvá týchto drog možno použiť na výrobu mno</w:t>
      </w:r>
      <w:r w:rsidR="00AC0769">
        <w:t>žstva</w:t>
      </w:r>
      <w:r w:rsidR="00816731" w:rsidRPr="00816731">
        <w:t xml:space="preserve"> </w:t>
      </w:r>
      <w:r w:rsidR="00816731">
        <w:t>jednotlivých</w:t>
      </w:r>
      <w:r w:rsidR="00816731" w:rsidRPr="00816731">
        <w:t xml:space="preserve"> dávok.</w:t>
      </w:r>
    </w:p>
    <w:p w:rsidR="00816731" w:rsidRPr="00816731" w:rsidRDefault="00816731" w:rsidP="00816731">
      <w:pPr>
        <w:spacing w:after="260" w:line="260" w:lineRule="exact"/>
        <w:ind w:right="-144"/>
        <w:rPr>
          <w:rFonts w:ascii="Arial" w:hAnsi="Arial"/>
          <w:sz w:val="20"/>
          <w:szCs w:val="20"/>
          <w:lang w:eastAsia="sk-SK" w:bidi="sk-SK"/>
        </w:rPr>
      </w:pPr>
      <w:r w:rsidRPr="00816731">
        <w:rPr>
          <w:rFonts w:ascii="Arial" w:hAnsi="Arial"/>
          <w:b/>
          <w:sz w:val="20"/>
          <w:szCs w:val="20"/>
          <w:lang w:eastAsia="sk-SK" w:bidi="sk-SK"/>
        </w:rPr>
        <w:t>Kanabis: kontroverzie, kontrasty a rozpory</w:t>
      </w:r>
      <w:r w:rsidRPr="00816731">
        <w:rPr>
          <w:rFonts w:ascii="Arial" w:hAnsi="Arial"/>
          <w:sz w:val="20"/>
          <w:szCs w:val="20"/>
          <w:lang w:eastAsia="sk-SK" w:bidi="sk-SK"/>
        </w:rPr>
        <w:t xml:space="preserve"> </w:t>
      </w:r>
    </w:p>
    <w:p w:rsidR="00816731" w:rsidRPr="00816731" w:rsidRDefault="00C737E3" w:rsidP="00816731">
      <w:pPr>
        <w:spacing w:after="260" w:line="260" w:lineRule="exact"/>
        <w:ind w:right="-144"/>
        <w:rPr>
          <w:rFonts w:ascii="Arial" w:hAnsi="Arial"/>
          <w:sz w:val="20"/>
          <w:szCs w:val="20"/>
          <w:lang w:eastAsia="sk-SK" w:bidi="sk-SK"/>
        </w:rPr>
      </w:pPr>
      <w:r>
        <w:rPr>
          <w:rFonts w:ascii="Arial" w:hAnsi="Arial"/>
          <w:sz w:val="20"/>
          <w:szCs w:val="20"/>
          <w:lang w:eastAsia="sk-SK" w:bidi="sk-SK"/>
        </w:rPr>
        <w:t>Prieskumy postojov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 xml:space="preserve"> </w:t>
      </w:r>
      <w:r w:rsidR="00E73D7F">
        <w:rPr>
          <w:rFonts w:ascii="Arial" w:hAnsi="Arial"/>
          <w:sz w:val="20"/>
          <w:szCs w:val="20"/>
          <w:lang w:eastAsia="sk-SK" w:bidi="sk-SK"/>
        </w:rPr>
        <w:t>v</w:t>
      </w:r>
      <w:r w:rsidR="00BA494C">
        <w:rPr>
          <w:rFonts w:ascii="Arial" w:hAnsi="Arial"/>
          <w:sz w:val="20"/>
          <w:szCs w:val="20"/>
          <w:lang w:eastAsia="sk-SK" w:bidi="sk-SK"/>
        </w:rPr>
        <w:t xml:space="preserve"> </w:t>
      </w:r>
      <w:r w:rsidR="00816731" w:rsidRPr="00816731">
        <w:rPr>
          <w:rFonts w:ascii="Arial" w:hAnsi="Arial"/>
          <w:b/>
          <w:sz w:val="20"/>
          <w:szCs w:val="20"/>
          <w:lang w:eastAsia="sk-SK" w:bidi="sk-SK"/>
        </w:rPr>
        <w:t>EÚ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 xml:space="preserve"> (</w:t>
      </w:r>
      <w:r w:rsidR="00816731" w:rsidRPr="00816731">
        <w:rPr>
          <w:rFonts w:ascii="Arial" w:hAnsi="Arial"/>
          <w:sz w:val="20"/>
          <w:szCs w:val="20"/>
          <w:vertAlign w:val="superscript"/>
          <w:lang w:eastAsia="sk-SK" w:bidi="sk-SK"/>
        </w:rPr>
        <w:t>7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>) naznačujú, že kanabis stále najviac polarizuje verejnú mienku. Prispieva k</w:t>
      </w:r>
      <w:r>
        <w:rPr>
          <w:rFonts w:ascii="Arial" w:hAnsi="Arial"/>
          <w:sz w:val="20"/>
          <w:szCs w:val="20"/>
          <w:lang w:eastAsia="sk-SK" w:bidi="sk-SK"/>
        </w:rPr>
        <w:t> 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>živej verejnej diskusii, ktorú nedávno rozprúdil medzinárodn</w:t>
      </w:r>
      <w:r w:rsidR="00E73D7F">
        <w:rPr>
          <w:rFonts w:ascii="Arial" w:hAnsi="Arial"/>
          <w:sz w:val="20"/>
          <w:szCs w:val="20"/>
          <w:lang w:eastAsia="sk-SK" w:bidi="sk-SK"/>
        </w:rPr>
        <w:t>ý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 xml:space="preserve"> vývoj zmeny v kontrol</w:t>
      </w:r>
      <w:r w:rsidR="00E73D7F">
        <w:rPr>
          <w:rFonts w:ascii="Arial" w:hAnsi="Arial"/>
          <w:sz w:val="20"/>
          <w:szCs w:val="20"/>
          <w:lang w:eastAsia="sk-SK" w:bidi="sk-SK"/>
        </w:rPr>
        <w:t>e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 xml:space="preserve"> dostupnos</w:t>
      </w:r>
      <w:r w:rsidR="00E73D7F">
        <w:rPr>
          <w:rFonts w:ascii="Arial" w:hAnsi="Arial"/>
          <w:sz w:val="20"/>
          <w:szCs w:val="20"/>
          <w:lang w:eastAsia="sk-SK" w:bidi="sk-SK"/>
        </w:rPr>
        <w:t xml:space="preserve">ti 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 xml:space="preserve">a užívanie kanabisu (napr. regulačné zmeny v niektorých štátoch </w:t>
      </w:r>
      <w:r w:rsidR="00816731" w:rsidRPr="00816731">
        <w:rPr>
          <w:rFonts w:ascii="Arial" w:hAnsi="Arial"/>
          <w:b/>
          <w:sz w:val="20"/>
          <w:szCs w:val="20"/>
          <w:lang w:eastAsia="sk-SK" w:bidi="sk-SK"/>
        </w:rPr>
        <w:t>USA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 xml:space="preserve"> a v častiach </w:t>
      </w:r>
      <w:r w:rsidR="00816731" w:rsidRPr="00816731">
        <w:rPr>
          <w:rFonts w:ascii="Arial" w:hAnsi="Arial"/>
          <w:b/>
          <w:sz w:val="20"/>
          <w:szCs w:val="20"/>
          <w:lang w:eastAsia="sk-SK" w:bidi="sk-SK"/>
        </w:rPr>
        <w:t>Latinskej Ameriky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 xml:space="preserve">). Európske diskusie o kontrole kanabisu </w:t>
      </w:r>
      <w:r w:rsidR="00E73D7F">
        <w:rPr>
          <w:rFonts w:ascii="Arial" w:hAnsi="Arial"/>
          <w:sz w:val="20"/>
          <w:szCs w:val="20"/>
          <w:lang w:eastAsia="sk-SK" w:bidi="sk-SK"/>
        </w:rPr>
        <w:t>sa skôr</w:t>
      </w:r>
      <w:r w:rsidR="00BA494C">
        <w:rPr>
          <w:rFonts w:ascii="Arial" w:hAnsi="Arial"/>
          <w:sz w:val="20"/>
          <w:szCs w:val="20"/>
          <w:lang w:eastAsia="sk-SK" w:bidi="sk-SK"/>
        </w:rPr>
        <w:t xml:space="preserve"> </w:t>
      </w:r>
      <w:r w:rsidR="00E73D7F">
        <w:rPr>
          <w:rFonts w:ascii="Arial" w:hAnsi="Arial"/>
          <w:sz w:val="20"/>
          <w:szCs w:val="20"/>
          <w:lang w:eastAsia="sk-SK" w:bidi="sk-SK"/>
        </w:rPr>
        <w:t>sústreďujú</w:t>
      </w:r>
      <w:r w:rsidR="00BA494C">
        <w:rPr>
          <w:rFonts w:ascii="Arial" w:hAnsi="Arial"/>
          <w:sz w:val="20"/>
          <w:szCs w:val="20"/>
          <w:lang w:eastAsia="sk-SK" w:bidi="sk-SK"/>
        </w:rPr>
        <w:t xml:space="preserve"> 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>na ponuku drog a nelegálne obchodovanie než na</w:t>
      </w:r>
      <w:r>
        <w:rPr>
          <w:rFonts w:ascii="Arial" w:hAnsi="Arial"/>
          <w:sz w:val="20"/>
          <w:szCs w:val="20"/>
          <w:lang w:eastAsia="sk-SK" w:bidi="sk-SK"/>
        </w:rPr>
        <w:t xml:space="preserve"> osobné 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 xml:space="preserve">užívanie. </w:t>
      </w:r>
      <w:r w:rsidR="00AA5B3D">
        <w:rPr>
          <w:rFonts w:ascii="Arial" w:hAnsi="Arial"/>
          <w:sz w:val="20"/>
          <w:szCs w:val="20"/>
          <w:lang w:eastAsia="sk-SK" w:bidi="sk-SK"/>
        </w:rPr>
        <w:t>Napriek tomu</w:t>
      </w:r>
      <w:r w:rsidR="00BA494C">
        <w:rPr>
          <w:rFonts w:ascii="Arial" w:hAnsi="Arial"/>
          <w:sz w:val="20"/>
          <w:szCs w:val="20"/>
          <w:lang w:eastAsia="sk-SK" w:bidi="sk-SK"/>
        </w:rPr>
        <w:t xml:space="preserve"> </w:t>
      </w:r>
      <w:r w:rsidR="00AA5B3D">
        <w:rPr>
          <w:rFonts w:ascii="Arial" w:hAnsi="Arial"/>
          <w:sz w:val="20"/>
          <w:szCs w:val="20"/>
          <w:lang w:eastAsia="sk-SK" w:bidi="sk-SK"/>
        </w:rPr>
        <w:t>sa c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 xml:space="preserve">elkový počet trestných činov týkajúcich sa prechovávania a užívania kanabisu sa </w:t>
      </w:r>
      <w:r>
        <w:rPr>
          <w:rFonts w:ascii="Arial" w:hAnsi="Arial"/>
          <w:sz w:val="20"/>
          <w:szCs w:val="20"/>
          <w:lang w:eastAsia="sk-SK" w:bidi="sk-SK"/>
        </w:rPr>
        <w:t>už takmer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 xml:space="preserve"> desať rokov neustále zvyš</w:t>
      </w:r>
      <w:r>
        <w:rPr>
          <w:rFonts w:ascii="Arial" w:hAnsi="Arial"/>
          <w:sz w:val="20"/>
          <w:szCs w:val="20"/>
          <w:lang w:eastAsia="sk-SK" w:bidi="sk-SK"/>
        </w:rPr>
        <w:t>uje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 xml:space="preserve"> (obr</w:t>
      </w:r>
      <w:r>
        <w:rPr>
          <w:rFonts w:ascii="Arial" w:hAnsi="Arial"/>
          <w:sz w:val="20"/>
          <w:szCs w:val="20"/>
          <w:lang w:eastAsia="sk-SK" w:bidi="sk-SK"/>
        </w:rPr>
        <w:t>ázok 4</w:t>
      </w:r>
      <w:r w:rsidR="00816731" w:rsidRPr="00816731">
        <w:rPr>
          <w:rFonts w:ascii="Arial" w:hAnsi="Arial"/>
          <w:sz w:val="20"/>
          <w:szCs w:val="20"/>
          <w:lang w:eastAsia="sk-SK" w:bidi="sk-SK"/>
        </w:rPr>
        <w:t>.1).</w:t>
      </w:r>
    </w:p>
    <w:p w:rsidR="00001109" w:rsidRDefault="00816731" w:rsidP="00001109">
      <w:pPr>
        <w:spacing w:after="260" w:line="260" w:lineRule="exact"/>
        <w:ind w:right="-144"/>
        <w:rPr>
          <w:rFonts w:ascii="Arial" w:hAnsi="Arial"/>
          <w:sz w:val="20"/>
          <w:szCs w:val="20"/>
          <w:lang w:eastAsia="sk-SK" w:bidi="sk-SK"/>
        </w:rPr>
      </w:pPr>
      <w:r w:rsidRPr="00816731">
        <w:rPr>
          <w:rFonts w:ascii="Arial" w:hAnsi="Arial"/>
          <w:sz w:val="20"/>
          <w:szCs w:val="20"/>
          <w:lang w:eastAsia="sk-SK" w:bidi="sk-SK"/>
        </w:rPr>
        <w:t>Približne 73,6 mil</w:t>
      </w:r>
      <w:r w:rsidR="000A3C95">
        <w:rPr>
          <w:rFonts w:ascii="Arial" w:hAnsi="Arial"/>
          <w:sz w:val="20"/>
          <w:szCs w:val="20"/>
          <w:lang w:eastAsia="sk-SK" w:bidi="sk-SK"/>
        </w:rPr>
        <w:t>.</w:t>
      </w:r>
      <w:r w:rsidRPr="00816731">
        <w:rPr>
          <w:rFonts w:ascii="Arial" w:hAnsi="Arial"/>
          <w:sz w:val="20"/>
          <w:szCs w:val="20"/>
          <w:lang w:eastAsia="sk-SK" w:bidi="sk-SK"/>
        </w:rPr>
        <w:t xml:space="preserve"> Európanov </w:t>
      </w:r>
      <w:r w:rsidR="00C737E3">
        <w:rPr>
          <w:rFonts w:ascii="Arial" w:hAnsi="Arial"/>
          <w:sz w:val="20"/>
          <w:szCs w:val="20"/>
          <w:lang w:eastAsia="sk-SK" w:bidi="sk-SK"/>
        </w:rPr>
        <w:t>niekedy v živote vyskúšalo</w:t>
      </w:r>
      <w:r w:rsidRPr="00816731">
        <w:rPr>
          <w:rFonts w:ascii="Arial" w:hAnsi="Arial"/>
          <w:sz w:val="20"/>
          <w:szCs w:val="20"/>
          <w:lang w:eastAsia="sk-SK" w:bidi="sk-SK"/>
        </w:rPr>
        <w:t xml:space="preserve"> kanabis, 18,1 mil</w:t>
      </w:r>
      <w:r w:rsidR="000A3C95">
        <w:rPr>
          <w:rFonts w:ascii="Arial" w:hAnsi="Arial"/>
          <w:sz w:val="20"/>
          <w:szCs w:val="20"/>
          <w:lang w:eastAsia="sk-SK" w:bidi="sk-SK"/>
        </w:rPr>
        <w:t>.</w:t>
      </w:r>
      <w:r w:rsidRPr="00816731">
        <w:rPr>
          <w:rFonts w:ascii="Arial" w:hAnsi="Arial"/>
          <w:sz w:val="20"/>
          <w:szCs w:val="20"/>
          <w:lang w:eastAsia="sk-SK" w:bidi="sk-SK"/>
        </w:rPr>
        <w:t xml:space="preserve"> v minulom roku. Odhadom 14,6 mil</w:t>
      </w:r>
      <w:r w:rsidR="000A3C95">
        <w:rPr>
          <w:rFonts w:ascii="Arial" w:hAnsi="Arial"/>
          <w:sz w:val="20"/>
          <w:szCs w:val="20"/>
          <w:lang w:eastAsia="sk-SK" w:bidi="sk-SK"/>
        </w:rPr>
        <w:t>.</w:t>
      </w:r>
      <w:r w:rsidRPr="00816731">
        <w:rPr>
          <w:rFonts w:ascii="Arial" w:hAnsi="Arial"/>
          <w:sz w:val="20"/>
          <w:szCs w:val="20"/>
          <w:lang w:eastAsia="sk-SK" w:bidi="sk-SK"/>
        </w:rPr>
        <w:t xml:space="preserve"> mladých Európanov (vo veku 15 – 34 rokov) uviedlo, že užívali kanabis v minulom roku. Zdá sa, že užívanie kanabisu v Európe vykazuje stabilný alebo klesajúci trend, najmä</w:t>
      </w:r>
      <w:r w:rsidR="00BA494C">
        <w:rPr>
          <w:rFonts w:ascii="Arial" w:hAnsi="Arial"/>
          <w:sz w:val="20"/>
          <w:szCs w:val="20"/>
          <w:lang w:eastAsia="sk-SK" w:bidi="sk-SK"/>
        </w:rPr>
        <w:t xml:space="preserve"> </w:t>
      </w:r>
      <w:r w:rsidR="00AA5B3D">
        <w:rPr>
          <w:rFonts w:ascii="Arial" w:hAnsi="Arial"/>
          <w:sz w:val="20"/>
          <w:szCs w:val="20"/>
          <w:lang w:eastAsia="sk-SK" w:bidi="sk-SK"/>
        </w:rPr>
        <w:t>v </w:t>
      </w:r>
      <w:r w:rsidRPr="00816731">
        <w:rPr>
          <w:rFonts w:ascii="Arial" w:hAnsi="Arial"/>
          <w:sz w:val="20"/>
          <w:szCs w:val="20"/>
          <w:lang w:eastAsia="sk-SK" w:bidi="sk-SK"/>
        </w:rPr>
        <w:t>skupin</w:t>
      </w:r>
      <w:r w:rsidR="00AA5B3D">
        <w:rPr>
          <w:rFonts w:ascii="Arial" w:hAnsi="Arial"/>
          <w:sz w:val="20"/>
          <w:szCs w:val="20"/>
          <w:lang w:eastAsia="sk-SK" w:bidi="sk-SK"/>
        </w:rPr>
        <w:t>ách</w:t>
      </w:r>
      <w:r w:rsidR="00BA494C">
        <w:rPr>
          <w:rFonts w:ascii="Arial" w:hAnsi="Arial"/>
          <w:sz w:val="20"/>
          <w:szCs w:val="20"/>
          <w:lang w:eastAsia="sk-SK" w:bidi="sk-SK"/>
        </w:rPr>
        <w:t xml:space="preserve"> </w:t>
      </w:r>
      <w:r w:rsidRPr="00816731">
        <w:rPr>
          <w:rFonts w:ascii="Arial" w:hAnsi="Arial"/>
          <w:sz w:val="20"/>
          <w:szCs w:val="20"/>
          <w:lang w:eastAsia="sk-SK" w:bidi="sk-SK"/>
        </w:rPr>
        <w:t xml:space="preserve">mladých ľudí. </w:t>
      </w:r>
      <w:r w:rsidR="00AA5B3D">
        <w:rPr>
          <w:rFonts w:ascii="Arial" w:hAnsi="Arial"/>
          <w:sz w:val="20"/>
          <w:szCs w:val="20"/>
          <w:lang w:eastAsia="sk-SK" w:bidi="sk-SK"/>
        </w:rPr>
        <w:t>Trendy v jednotlivých krajinách</w:t>
      </w:r>
      <w:r w:rsidR="00BA494C">
        <w:rPr>
          <w:rFonts w:ascii="Arial" w:hAnsi="Arial"/>
          <w:sz w:val="20"/>
          <w:szCs w:val="20"/>
          <w:lang w:eastAsia="sk-SK" w:bidi="sk-SK"/>
        </w:rPr>
        <w:t xml:space="preserve"> </w:t>
      </w:r>
      <w:r w:rsidRPr="00816731">
        <w:rPr>
          <w:rFonts w:ascii="Arial" w:hAnsi="Arial"/>
          <w:sz w:val="20"/>
          <w:szCs w:val="20"/>
          <w:lang w:eastAsia="sk-SK" w:bidi="sk-SK"/>
        </w:rPr>
        <w:t>sa javia rozdielne</w:t>
      </w:r>
      <w:r w:rsidR="00AA5B3D">
        <w:rPr>
          <w:rFonts w:ascii="Calibri" w:hAnsi="Calibri"/>
          <w:sz w:val="20"/>
          <w:szCs w:val="20"/>
          <w:lang w:eastAsia="sk-SK" w:bidi="sk-SK"/>
        </w:rPr>
        <w:t>;</w:t>
      </w:r>
      <w:r w:rsidRPr="00816731">
        <w:rPr>
          <w:rFonts w:ascii="Arial" w:hAnsi="Arial"/>
          <w:sz w:val="20"/>
          <w:szCs w:val="20"/>
          <w:lang w:eastAsia="sk-SK" w:bidi="sk-SK"/>
        </w:rPr>
        <w:t xml:space="preserve"> </w:t>
      </w:r>
      <w:r w:rsidR="00AA5B3D">
        <w:rPr>
          <w:rFonts w:ascii="Arial" w:hAnsi="Arial"/>
          <w:sz w:val="20"/>
          <w:szCs w:val="20"/>
          <w:lang w:eastAsia="sk-SK" w:bidi="sk-SK"/>
        </w:rPr>
        <w:t xml:space="preserve">podľa prieskumov od roku 2011 </w:t>
      </w:r>
      <w:r w:rsidR="00AA5B3D" w:rsidRPr="00816731">
        <w:rPr>
          <w:rFonts w:ascii="Arial" w:hAnsi="Arial"/>
          <w:sz w:val="20"/>
          <w:szCs w:val="20"/>
          <w:lang w:eastAsia="sk-SK" w:bidi="sk-SK"/>
        </w:rPr>
        <w:t>osem</w:t>
      </w:r>
      <w:r w:rsidR="00BA494C">
        <w:rPr>
          <w:rFonts w:ascii="Arial" w:hAnsi="Arial"/>
          <w:sz w:val="20"/>
          <w:szCs w:val="20"/>
          <w:lang w:eastAsia="sk-SK" w:bidi="sk-SK"/>
        </w:rPr>
        <w:t xml:space="preserve"> </w:t>
      </w:r>
      <w:r w:rsidR="00113EF6">
        <w:rPr>
          <w:rFonts w:ascii="Arial" w:hAnsi="Arial"/>
          <w:sz w:val="20"/>
          <w:szCs w:val="20"/>
          <w:lang w:eastAsia="sk-SK" w:bidi="sk-SK"/>
        </w:rPr>
        <w:t xml:space="preserve">krajín </w:t>
      </w:r>
      <w:r w:rsidR="00AA5B3D" w:rsidRPr="00816731">
        <w:rPr>
          <w:rFonts w:ascii="Arial" w:hAnsi="Arial"/>
          <w:sz w:val="20"/>
          <w:szCs w:val="20"/>
          <w:lang w:eastAsia="sk-SK" w:bidi="sk-SK"/>
        </w:rPr>
        <w:t>oznámilo pokles a päť nárast prevalencie v minulom roku (u</w:t>
      </w:r>
      <w:r w:rsidR="00AA5B3D">
        <w:rPr>
          <w:rFonts w:ascii="Arial" w:hAnsi="Arial"/>
          <w:sz w:val="20"/>
          <w:szCs w:val="20"/>
          <w:lang w:eastAsia="sk-SK" w:bidi="sk-SK"/>
        </w:rPr>
        <w:t> </w:t>
      </w:r>
      <w:r w:rsidR="00AA5B3D" w:rsidRPr="00816731">
        <w:rPr>
          <w:rFonts w:ascii="Arial" w:hAnsi="Arial"/>
          <w:sz w:val="20"/>
          <w:szCs w:val="20"/>
          <w:lang w:eastAsia="sk-SK" w:bidi="sk-SK"/>
        </w:rPr>
        <w:t>osôb vo veku 15 – 34 rokov) (obr</w:t>
      </w:r>
      <w:r w:rsidR="00AA5B3D">
        <w:rPr>
          <w:rFonts w:ascii="Arial" w:hAnsi="Arial"/>
          <w:sz w:val="20"/>
          <w:szCs w:val="20"/>
          <w:lang w:eastAsia="sk-SK" w:bidi="sk-SK"/>
        </w:rPr>
        <w:t>ázok</w:t>
      </w:r>
      <w:r w:rsidR="00AA5B3D" w:rsidRPr="00816731">
        <w:rPr>
          <w:rFonts w:ascii="Arial" w:hAnsi="Arial"/>
          <w:sz w:val="20"/>
          <w:szCs w:val="20"/>
          <w:lang w:eastAsia="sk-SK" w:bidi="sk-SK"/>
        </w:rPr>
        <w:t xml:space="preserve"> 2.1). </w:t>
      </w:r>
    </w:p>
    <w:p w:rsidR="00816731" w:rsidRPr="00001109" w:rsidRDefault="00816731" w:rsidP="00001109">
      <w:pPr>
        <w:spacing w:after="260" w:line="260" w:lineRule="exact"/>
        <w:ind w:right="-144"/>
        <w:rPr>
          <w:rFonts w:ascii="Arial" w:hAnsi="Arial" w:cs="Arial"/>
          <w:sz w:val="20"/>
          <w:szCs w:val="20"/>
        </w:rPr>
      </w:pPr>
      <w:r w:rsidRPr="00001109">
        <w:rPr>
          <w:rFonts w:ascii="Arial" w:hAnsi="Arial" w:cs="Arial"/>
          <w:sz w:val="20"/>
          <w:szCs w:val="20"/>
        </w:rPr>
        <w:t xml:space="preserve">Najväčšie </w:t>
      </w:r>
      <w:r w:rsidR="00113EF6" w:rsidRPr="00001109">
        <w:rPr>
          <w:rFonts w:ascii="Arial" w:hAnsi="Arial" w:cs="Arial"/>
          <w:sz w:val="20"/>
          <w:szCs w:val="20"/>
        </w:rPr>
        <w:t>obavy z hľadiska</w:t>
      </w:r>
      <w:r w:rsidR="00BA494C" w:rsidRPr="00001109">
        <w:rPr>
          <w:rFonts w:ascii="Arial" w:hAnsi="Arial" w:cs="Arial"/>
          <w:sz w:val="20"/>
          <w:szCs w:val="20"/>
        </w:rPr>
        <w:t xml:space="preserve"> </w:t>
      </w:r>
      <w:r w:rsidRPr="00001109">
        <w:rPr>
          <w:rFonts w:ascii="Arial" w:hAnsi="Arial" w:cs="Arial"/>
          <w:sz w:val="20"/>
          <w:szCs w:val="20"/>
        </w:rPr>
        <w:t>verejného zdravia sa týkajú Európanov, ktorí užívajú</w:t>
      </w:r>
      <w:r w:rsidR="00C737E3" w:rsidRPr="00001109">
        <w:rPr>
          <w:rFonts w:ascii="Arial" w:hAnsi="Arial" w:cs="Arial"/>
          <w:sz w:val="20"/>
          <w:szCs w:val="20"/>
        </w:rPr>
        <w:t xml:space="preserve"> túto drogu</w:t>
      </w:r>
      <w:r w:rsidRPr="00001109">
        <w:rPr>
          <w:rFonts w:ascii="Arial" w:hAnsi="Arial" w:cs="Arial"/>
          <w:sz w:val="20"/>
          <w:szCs w:val="20"/>
        </w:rPr>
        <w:t xml:space="preserve"> každý deň alebo takmer každý deň (približne 1 % dospelých Európanov vo veku 15 – 64 rokov). V roku 2012 bol kanabis najčastejš</w:t>
      </w:r>
      <w:r w:rsidR="00113EF6" w:rsidRPr="00001109">
        <w:rPr>
          <w:rFonts w:ascii="Arial" w:hAnsi="Arial" w:cs="Arial"/>
          <w:sz w:val="20"/>
          <w:szCs w:val="20"/>
        </w:rPr>
        <w:t xml:space="preserve">ie hlásenou </w:t>
      </w:r>
      <w:r w:rsidRPr="00001109">
        <w:rPr>
          <w:rFonts w:ascii="Arial" w:hAnsi="Arial" w:cs="Arial"/>
          <w:sz w:val="20"/>
          <w:szCs w:val="20"/>
        </w:rPr>
        <w:t xml:space="preserve">príčinou nástupu klientov na protidrogovú liečbu </w:t>
      </w:r>
      <w:r w:rsidR="007F5435" w:rsidRPr="00001109">
        <w:rPr>
          <w:rFonts w:ascii="Arial" w:hAnsi="Arial" w:cs="Arial"/>
          <w:sz w:val="20"/>
          <w:szCs w:val="20"/>
        </w:rPr>
        <w:t xml:space="preserve">po </w:t>
      </w:r>
      <w:r w:rsidRPr="00001109">
        <w:rPr>
          <w:rFonts w:ascii="Arial" w:hAnsi="Arial" w:cs="Arial"/>
          <w:sz w:val="20"/>
          <w:szCs w:val="20"/>
        </w:rPr>
        <w:t>prvýkrát. „</w:t>
      </w:r>
      <w:r w:rsidR="00C737E3" w:rsidRPr="00001109">
        <w:rPr>
          <w:rFonts w:ascii="Arial" w:hAnsi="Arial" w:cs="Arial"/>
          <w:sz w:val="20"/>
          <w:szCs w:val="20"/>
        </w:rPr>
        <w:t>Chýbajúce</w:t>
      </w:r>
      <w:r w:rsidRPr="00001109">
        <w:rPr>
          <w:rFonts w:ascii="Arial" w:hAnsi="Arial" w:cs="Arial"/>
          <w:sz w:val="20"/>
          <w:szCs w:val="20"/>
        </w:rPr>
        <w:t xml:space="preserve"> systematické monitorovani</w:t>
      </w:r>
      <w:r w:rsidR="00C737E3" w:rsidRPr="00001109">
        <w:rPr>
          <w:rFonts w:ascii="Arial" w:hAnsi="Arial" w:cs="Arial"/>
          <w:sz w:val="20"/>
          <w:szCs w:val="20"/>
        </w:rPr>
        <w:t>e</w:t>
      </w:r>
      <w:r w:rsidR="00BA494C" w:rsidRPr="00001109">
        <w:rPr>
          <w:rFonts w:ascii="Arial" w:hAnsi="Arial" w:cs="Arial"/>
          <w:sz w:val="20"/>
          <w:szCs w:val="20"/>
        </w:rPr>
        <w:t xml:space="preserve"> </w:t>
      </w:r>
      <w:r w:rsidR="007142EC" w:rsidRPr="00001109">
        <w:rPr>
          <w:rFonts w:ascii="Arial" w:hAnsi="Arial" w:cs="Arial"/>
          <w:sz w:val="20"/>
          <w:szCs w:val="20"/>
        </w:rPr>
        <w:t>náhleho ohrozenia zdravia</w:t>
      </w:r>
      <w:r w:rsidR="00BA494C" w:rsidRPr="00001109">
        <w:rPr>
          <w:rFonts w:ascii="Arial" w:hAnsi="Arial" w:cs="Arial"/>
          <w:sz w:val="20"/>
          <w:szCs w:val="20"/>
        </w:rPr>
        <w:t xml:space="preserve"> </w:t>
      </w:r>
      <w:r w:rsidRPr="00001109">
        <w:rPr>
          <w:rFonts w:ascii="Arial" w:hAnsi="Arial" w:cs="Arial"/>
          <w:sz w:val="20"/>
          <w:szCs w:val="20"/>
        </w:rPr>
        <w:t>súvisiac</w:t>
      </w:r>
      <w:r w:rsidR="007142EC" w:rsidRPr="00001109">
        <w:rPr>
          <w:rFonts w:ascii="Arial" w:hAnsi="Arial" w:cs="Arial"/>
          <w:sz w:val="20"/>
          <w:szCs w:val="20"/>
        </w:rPr>
        <w:t>eho</w:t>
      </w:r>
      <w:r w:rsidR="00BA494C" w:rsidRPr="00001109">
        <w:rPr>
          <w:rFonts w:ascii="Arial" w:hAnsi="Arial" w:cs="Arial"/>
          <w:sz w:val="20"/>
          <w:szCs w:val="20"/>
        </w:rPr>
        <w:t xml:space="preserve"> </w:t>
      </w:r>
      <w:r w:rsidRPr="00001109">
        <w:rPr>
          <w:rFonts w:ascii="Arial" w:hAnsi="Arial" w:cs="Arial"/>
          <w:sz w:val="20"/>
          <w:szCs w:val="20"/>
        </w:rPr>
        <w:t>s</w:t>
      </w:r>
      <w:r w:rsidR="007142EC" w:rsidRPr="00001109">
        <w:rPr>
          <w:rFonts w:ascii="Arial" w:hAnsi="Arial" w:cs="Arial"/>
          <w:sz w:val="20"/>
          <w:szCs w:val="20"/>
        </w:rPr>
        <w:t xml:space="preserve"> užívaním </w:t>
      </w:r>
      <w:r w:rsidRPr="00001109">
        <w:rPr>
          <w:rFonts w:ascii="Arial" w:hAnsi="Arial" w:cs="Arial"/>
          <w:sz w:val="20"/>
          <w:szCs w:val="20"/>
        </w:rPr>
        <w:t>drog predstavuje slab</w:t>
      </w:r>
      <w:r w:rsidR="004C79BE" w:rsidRPr="00001109">
        <w:rPr>
          <w:rFonts w:ascii="Arial" w:hAnsi="Arial" w:cs="Arial"/>
          <w:sz w:val="20"/>
          <w:szCs w:val="20"/>
        </w:rPr>
        <w:t>ý</w:t>
      </w:r>
      <w:r w:rsidRPr="00001109">
        <w:rPr>
          <w:rFonts w:ascii="Arial" w:hAnsi="Arial" w:cs="Arial"/>
          <w:sz w:val="20"/>
          <w:szCs w:val="20"/>
        </w:rPr>
        <w:t xml:space="preserve"> </w:t>
      </w:r>
      <w:r w:rsidR="004C79BE" w:rsidRPr="00001109">
        <w:rPr>
          <w:rFonts w:ascii="Arial" w:hAnsi="Arial" w:cs="Arial"/>
          <w:sz w:val="20"/>
          <w:szCs w:val="20"/>
        </w:rPr>
        <w:t xml:space="preserve">článok </w:t>
      </w:r>
      <w:r w:rsidR="00CA3088" w:rsidRPr="00001109">
        <w:rPr>
          <w:rFonts w:ascii="Arial" w:hAnsi="Arial" w:cs="Arial"/>
          <w:sz w:val="20"/>
          <w:szCs w:val="20"/>
        </w:rPr>
        <w:t>v európskom monitoringu</w:t>
      </w:r>
      <w:r w:rsidR="00BA494C" w:rsidRPr="00001109">
        <w:rPr>
          <w:rFonts w:ascii="Arial" w:hAnsi="Arial" w:cs="Arial"/>
          <w:sz w:val="20"/>
          <w:szCs w:val="20"/>
        </w:rPr>
        <w:t xml:space="preserve"> </w:t>
      </w:r>
      <w:r w:rsidR="00CA3088" w:rsidRPr="00001109">
        <w:rPr>
          <w:rFonts w:ascii="Arial" w:hAnsi="Arial" w:cs="Arial"/>
          <w:sz w:val="20"/>
          <w:szCs w:val="20"/>
        </w:rPr>
        <w:t xml:space="preserve">náhlych zdravotných </w:t>
      </w:r>
      <w:r w:rsidR="00F55F7C" w:rsidRPr="00001109">
        <w:rPr>
          <w:rFonts w:ascii="Arial" w:hAnsi="Arial" w:cs="Arial"/>
          <w:sz w:val="20"/>
          <w:szCs w:val="20"/>
        </w:rPr>
        <w:t>príhod</w:t>
      </w:r>
      <w:r w:rsidRPr="00001109">
        <w:rPr>
          <w:rFonts w:ascii="Arial" w:hAnsi="Arial" w:cs="Arial"/>
          <w:sz w:val="20"/>
          <w:szCs w:val="20"/>
        </w:rPr>
        <w:t>,“ uvádza</w:t>
      </w:r>
      <w:r w:rsidR="006A3A86" w:rsidRPr="00001109">
        <w:rPr>
          <w:rFonts w:ascii="Arial" w:hAnsi="Arial" w:cs="Arial"/>
          <w:sz w:val="20"/>
          <w:szCs w:val="20"/>
        </w:rPr>
        <w:t xml:space="preserve"> agentúra</w:t>
      </w:r>
      <w:r w:rsidRPr="00001109">
        <w:rPr>
          <w:rFonts w:ascii="Arial" w:hAnsi="Arial" w:cs="Arial"/>
          <w:sz w:val="20"/>
          <w:szCs w:val="20"/>
        </w:rPr>
        <w:t xml:space="preserve"> </w:t>
      </w:r>
      <w:r w:rsidRPr="00001109">
        <w:rPr>
          <w:rFonts w:ascii="Arial" w:hAnsi="Arial" w:cs="Arial"/>
          <w:b/>
          <w:sz w:val="20"/>
          <w:szCs w:val="20"/>
        </w:rPr>
        <w:t>EMCDDA</w:t>
      </w:r>
      <w:r w:rsidRPr="00001109">
        <w:rPr>
          <w:rFonts w:ascii="Arial" w:hAnsi="Arial" w:cs="Arial"/>
          <w:sz w:val="20"/>
          <w:szCs w:val="20"/>
        </w:rPr>
        <w:t>. Z</w:t>
      </w:r>
      <w:r w:rsidR="00CA3088" w:rsidRPr="00001109">
        <w:rPr>
          <w:rFonts w:ascii="Arial" w:hAnsi="Arial" w:cs="Arial"/>
          <w:sz w:val="20"/>
          <w:szCs w:val="20"/>
        </w:rPr>
        <w:t> limitovaných</w:t>
      </w:r>
      <w:r w:rsidR="00BA494C" w:rsidRPr="00001109">
        <w:rPr>
          <w:rFonts w:ascii="Arial" w:hAnsi="Arial" w:cs="Arial"/>
          <w:sz w:val="20"/>
          <w:szCs w:val="20"/>
        </w:rPr>
        <w:t xml:space="preserve"> </w:t>
      </w:r>
      <w:r w:rsidRPr="00001109">
        <w:rPr>
          <w:rFonts w:ascii="Arial" w:hAnsi="Arial" w:cs="Arial"/>
          <w:sz w:val="20"/>
          <w:szCs w:val="20"/>
        </w:rPr>
        <w:lastRenderedPageBreak/>
        <w:t xml:space="preserve">dostupných údajov </w:t>
      </w:r>
      <w:r w:rsidR="00E31E0D" w:rsidRPr="00001109">
        <w:rPr>
          <w:rFonts w:ascii="Arial" w:hAnsi="Arial" w:cs="Arial"/>
          <w:sz w:val="20"/>
          <w:szCs w:val="20"/>
        </w:rPr>
        <w:t>vyplýva</w:t>
      </w:r>
      <w:r w:rsidRPr="00001109">
        <w:rPr>
          <w:rFonts w:ascii="Arial" w:hAnsi="Arial" w:cs="Arial"/>
          <w:sz w:val="20"/>
          <w:szCs w:val="20"/>
        </w:rPr>
        <w:t xml:space="preserve">, že </w:t>
      </w:r>
      <w:r w:rsidR="00CA3088" w:rsidRPr="00001109">
        <w:rPr>
          <w:rFonts w:ascii="Arial" w:hAnsi="Arial" w:cs="Arial"/>
          <w:sz w:val="20"/>
          <w:szCs w:val="20"/>
        </w:rPr>
        <w:t>v niektorých krajinách s vysokou prevalenciou užívania kanabisu</w:t>
      </w:r>
      <w:r w:rsidR="00BA494C" w:rsidRPr="00001109">
        <w:rPr>
          <w:rFonts w:ascii="Arial" w:hAnsi="Arial" w:cs="Arial"/>
          <w:sz w:val="20"/>
          <w:szCs w:val="20"/>
        </w:rPr>
        <w:t xml:space="preserve"> </w:t>
      </w:r>
      <w:r w:rsidR="00CA3088" w:rsidRPr="00001109">
        <w:rPr>
          <w:rFonts w:ascii="Arial" w:hAnsi="Arial" w:cs="Arial"/>
          <w:sz w:val="20"/>
          <w:szCs w:val="20"/>
        </w:rPr>
        <w:t xml:space="preserve"> sú</w:t>
      </w:r>
      <w:r w:rsidR="00BA494C" w:rsidRPr="00001109">
        <w:rPr>
          <w:rFonts w:ascii="Arial" w:hAnsi="Arial" w:cs="Arial"/>
          <w:sz w:val="20"/>
          <w:szCs w:val="20"/>
        </w:rPr>
        <w:t xml:space="preserve"> </w:t>
      </w:r>
      <w:r w:rsidR="009976AE" w:rsidRPr="00001109">
        <w:rPr>
          <w:rFonts w:ascii="Arial" w:hAnsi="Arial" w:cs="Arial"/>
          <w:sz w:val="20"/>
          <w:szCs w:val="20"/>
        </w:rPr>
        <w:t>naliehavé prípady</w:t>
      </w:r>
      <w:r w:rsidR="00C96865" w:rsidRPr="00001109">
        <w:rPr>
          <w:rFonts w:ascii="Arial" w:hAnsi="Arial" w:cs="Arial"/>
          <w:sz w:val="20"/>
          <w:szCs w:val="20"/>
        </w:rPr>
        <w:t>, keď je</w:t>
      </w:r>
      <w:r w:rsidR="00BA494C" w:rsidRPr="00001109">
        <w:rPr>
          <w:rFonts w:ascii="Arial" w:hAnsi="Arial" w:cs="Arial"/>
          <w:sz w:val="20"/>
          <w:szCs w:val="20"/>
        </w:rPr>
        <w:t xml:space="preserve"> </w:t>
      </w:r>
      <w:r w:rsidR="00C96865" w:rsidRPr="00001109">
        <w:rPr>
          <w:rFonts w:ascii="Arial" w:hAnsi="Arial" w:cs="Arial"/>
          <w:sz w:val="20"/>
          <w:szCs w:val="20"/>
        </w:rPr>
        <w:t>potrebná lekárska pomoc</w:t>
      </w:r>
      <w:r w:rsidRPr="00001109">
        <w:rPr>
          <w:rFonts w:ascii="Arial" w:hAnsi="Arial" w:cs="Arial"/>
          <w:sz w:val="20"/>
          <w:szCs w:val="20"/>
        </w:rPr>
        <w:t xml:space="preserve"> </w:t>
      </w:r>
      <w:r w:rsidR="00E31E0D" w:rsidRPr="00001109">
        <w:rPr>
          <w:rFonts w:ascii="Arial" w:hAnsi="Arial" w:cs="Arial"/>
          <w:sz w:val="20"/>
          <w:szCs w:val="20"/>
        </w:rPr>
        <w:t>zjavne</w:t>
      </w:r>
      <w:r w:rsidRPr="00001109">
        <w:rPr>
          <w:rFonts w:ascii="Arial" w:hAnsi="Arial" w:cs="Arial"/>
          <w:sz w:val="20"/>
          <w:szCs w:val="20"/>
        </w:rPr>
        <w:t xml:space="preserve"> rastúcim problémom.</w:t>
      </w:r>
    </w:p>
    <w:p w:rsidR="00DA03EE" w:rsidRPr="00DA03EE" w:rsidRDefault="00DA03EE" w:rsidP="00DA03EE">
      <w:pPr>
        <w:spacing w:after="260" w:line="260" w:lineRule="exact"/>
        <w:ind w:right="-144"/>
        <w:rPr>
          <w:rFonts w:ascii="Arial" w:hAnsi="Arial"/>
          <w:sz w:val="20"/>
          <w:szCs w:val="20"/>
          <w:lang w:eastAsia="sk-SK" w:bidi="sk-SK"/>
        </w:rPr>
      </w:pPr>
      <w:r w:rsidRPr="00DA03EE">
        <w:rPr>
          <w:rFonts w:ascii="Arial" w:hAnsi="Arial"/>
          <w:b/>
          <w:sz w:val="20"/>
          <w:szCs w:val="20"/>
          <w:lang w:eastAsia="sk-SK" w:bidi="sk-SK"/>
        </w:rPr>
        <w:t>Riaditeľ agentúry EMCDDA Wolfgang Götz</w:t>
      </w:r>
      <w:r w:rsidRPr="00DA03EE">
        <w:rPr>
          <w:rFonts w:ascii="Arial" w:hAnsi="Arial"/>
          <w:sz w:val="20"/>
          <w:szCs w:val="20"/>
          <w:lang w:eastAsia="sk-SK" w:bidi="sk-SK"/>
        </w:rPr>
        <w:t xml:space="preserve"> </w:t>
      </w:r>
      <w:r>
        <w:rPr>
          <w:rFonts w:ascii="Arial" w:hAnsi="Arial"/>
          <w:sz w:val="20"/>
          <w:szCs w:val="20"/>
          <w:lang w:eastAsia="sk-SK" w:bidi="sk-SK"/>
        </w:rPr>
        <w:t>uzatvára</w:t>
      </w:r>
      <w:r w:rsidRPr="00DA03EE">
        <w:rPr>
          <w:rFonts w:ascii="Arial" w:hAnsi="Arial"/>
          <w:sz w:val="20"/>
          <w:szCs w:val="20"/>
          <w:lang w:eastAsia="sk-SK" w:bidi="sk-SK"/>
        </w:rPr>
        <w:t xml:space="preserve">: „Som hrdý na </w:t>
      </w:r>
      <w:r>
        <w:rPr>
          <w:rFonts w:ascii="Arial" w:hAnsi="Arial"/>
          <w:sz w:val="20"/>
          <w:szCs w:val="20"/>
          <w:lang w:eastAsia="sk-SK" w:bidi="sk-SK"/>
        </w:rPr>
        <w:t>prehľad, ktorý poskytla táto správa</w:t>
      </w:r>
      <w:r w:rsidR="00745E82">
        <w:rPr>
          <w:rFonts w:ascii="Arial" w:hAnsi="Arial"/>
          <w:sz w:val="20"/>
          <w:szCs w:val="20"/>
          <w:lang w:eastAsia="sk-SK" w:bidi="sk-SK"/>
        </w:rPr>
        <w:t>, a to</w:t>
      </w:r>
      <w:r>
        <w:rPr>
          <w:rFonts w:ascii="Arial" w:hAnsi="Arial"/>
          <w:sz w:val="20"/>
          <w:szCs w:val="20"/>
          <w:lang w:eastAsia="sk-SK" w:bidi="sk-SK"/>
        </w:rPr>
        <w:t xml:space="preserve"> v oblasti </w:t>
      </w:r>
      <w:r w:rsidR="00745E82">
        <w:rPr>
          <w:rFonts w:ascii="Arial" w:hAnsi="Arial"/>
          <w:sz w:val="20"/>
          <w:szCs w:val="20"/>
          <w:lang w:eastAsia="sk-SK" w:bidi="sk-SK"/>
        </w:rPr>
        <w:t xml:space="preserve">existujúcich </w:t>
      </w:r>
      <w:r>
        <w:rPr>
          <w:rFonts w:ascii="Arial" w:hAnsi="Arial"/>
          <w:sz w:val="20"/>
          <w:szCs w:val="20"/>
          <w:lang w:eastAsia="sk-SK" w:bidi="sk-SK"/>
        </w:rPr>
        <w:t>problémov, ako aj</w:t>
      </w:r>
      <w:r w:rsidRPr="00DA03EE">
        <w:rPr>
          <w:rFonts w:ascii="Arial" w:hAnsi="Arial"/>
          <w:sz w:val="20"/>
          <w:szCs w:val="20"/>
          <w:lang w:eastAsia="sk-SK" w:bidi="sk-SK"/>
        </w:rPr>
        <w:t xml:space="preserve"> vznikajúc</w:t>
      </w:r>
      <w:r>
        <w:rPr>
          <w:rFonts w:ascii="Arial" w:hAnsi="Arial"/>
          <w:sz w:val="20"/>
          <w:szCs w:val="20"/>
          <w:lang w:eastAsia="sk-SK" w:bidi="sk-SK"/>
        </w:rPr>
        <w:t xml:space="preserve">ich </w:t>
      </w:r>
      <w:r w:rsidRPr="00DA03EE">
        <w:rPr>
          <w:rFonts w:ascii="Arial" w:hAnsi="Arial"/>
          <w:sz w:val="20"/>
          <w:szCs w:val="20"/>
          <w:lang w:eastAsia="sk-SK" w:bidi="sk-SK"/>
        </w:rPr>
        <w:t>hroz</w:t>
      </w:r>
      <w:r>
        <w:rPr>
          <w:rFonts w:ascii="Arial" w:hAnsi="Arial"/>
          <w:sz w:val="20"/>
          <w:szCs w:val="20"/>
          <w:lang w:eastAsia="sk-SK" w:bidi="sk-SK"/>
        </w:rPr>
        <w:t>ieb</w:t>
      </w:r>
      <w:r w:rsidRPr="00DA03EE">
        <w:rPr>
          <w:rFonts w:ascii="Arial" w:hAnsi="Arial"/>
          <w:sz w:val="20"/>
          <w:szCs w:val="20"/>
          <w:lang w:eastAsia="sk-SK" w:bidi="sk-SK"/>
        </w:rPr>
        <w:t xml:space="preserve">. Spoľahlivé informácie sú </w:t>
      </w:r>
      <w:r w:rsidR="007E7191">
        <w:rPr>
          <w:rFonts w:ascii="Arial" w:hAnsi="Arial"/>
          <w:sz w:val="20"/>
          <w:szCs w:val="20"/>
          <w:lang w:eastAsia="sk-SK" w:bidi="sk-SK"/>
        </w:rPr>
        <w:t>základom pri riešení</w:t>
      </w:r>
      <w:r w:rsidRPr="00DA03EE">
        <w:rPr>
          <w:rFonts w:ascii="Arial" w:hAnsi="Arial"/>
          <w:sz w:val="20"/>
          <w:szCs w:val="20"/>
          <w:lang w:eastAsia="sk-SK" w:bidi="sk-SK"/>
        </w:rPr>
        <w:t xml:space="preserve"> </w:t>
      </w:r>
      <w:r w:rsidR="007E7191">
        <w:rPr>
          <w:rFonts w:ascii="Arial" w:hAnsi="Arial"/>
          <w:sz w:val="20"/>
          <w:szCs w:val="20"/>
          <w:lang w:eastAsia="sk-SK" w:bidi="sk-SK"/>
        </w:rPr>
        <w:t>drogovej</w:t>
      </w:r>
      <w:r w:rsidR="00ED2010">
        <w:rPr>
          <w:rFonts w:ascii="Arial" w:hAnsi="Arial"/>
          <w:sz w:val="20"/>
          <w:szCs w:val="20"/>
          <w:lang w:eastAsia="sk-SK" w:bidi="sk-SK"/>
        </w:rPr>
        <w:t xml:space="preserve"> problematik</w:t>
      </w:r>
      <w:r w:rsidR="007E7191">
        <w:rPr>
          <w:rFonts w:ascii="Arial" w:hAnsi="Arial"/>
          <w:sz w:val="20"/>
          <w:szCs w:val="20"/>
          <w:lang w:eastAsia="sk-SK" w:bidi="sk-SK"/>
        </w:rPr>
        <w:t>y v Európe</w:t>
      </w:r>
      <w:r w:rsidRPr="00DA03EE">
        <w:rPr>
          <w:rFonts w:ascii="Arial" w:hAnsi="Arial"/>
          <w:sz w:val="20"/>
          <w:szCs w:val="20"/>
          <w:lang w:eastAsia="sk-SK" w:bidi="sk-SK"/>
        </w:rPr>
        <w:t xml:space="preserve"> a naše intervencie sú v dôsledku toho </w:t>
      </w:r>
      <w:r w:rsidR="00B1480E">
        <w:rPr>
          <w:rFonts w:ascii="Arial" w:hAnsi="Arial"/>
          <w:sz w:val="20"/>
          <w:szCs w:val="20"/>
          <w:lang w:eastAsia="sk-SK" w:bidi="sk-SK"/>
        </w:rPr>
        <w:t>ešte</w:t>
      </w:r>
      <w:r w:rsidR="00B1480E" w:rsidRPr="00DA03EE">
        <w:rPr>
          <w:rFonts w:ascii="Arial" w:hAnsi="Arial"/>
          <w:sz w:val="20"/>
          <w:szCs w:val="20"/>
          <w:lang w:eastAsia="sk-SK" w:bidi="sk-SK"/>
        </w:rPr>
        <w:t xml:space="preserve"> </w:t>
      </w:r>
      <w:r w:rsidRPr="00DA03EE">
        <w:rPr>
          <w:rFonts w:ascii="Arial" w:hAnsi="Arial"/>
          <w:sz w:val="20"/>
          <w:szCs w:val="20"/>
          <w:lang w:eastAsia="sk-SK" w:bidi="sk-SK"/>
        </w:rPr>
        <w:t xml:space="preserve">účinnejšie. Pred 15 rokmi </w:t>
      </w:r>
      <w:r w:rsidR="008C43C4">
        <w:rPr>
          <w:rFonts w:ascii="Arial" w:hAnsi="Arial"/>
          <w:sz w:val="20"/>
          <w:szCs w:val="20"/>
          <w:lang w:eastAsia="sk-SK" w:bidi="sk-SK"/>
        </w:rPr>
        <w:t>preukázali</w:t>
      </w:r>
      <w:r w:rsidR="008C43C4" w:rsidRPr="00DA03EE">
        <w:rPr>
          <w:rFonts w:ascii="Arial" w:hAnsi="Arial"/>
          <w:sz w:val="20"/>
          <w:szCs w:val="20"/>
          <w:lang w:eastAsia="sk-SK" w:bidi="sk-SK"/>
        </w:rPr>
        <w:t xml:space="preserve"> </w:t>
      </w:r>
      <w:r w:rsidRPr="00DA03EE">
        <w:rPr>
          <w:rFonts w:ascii="Arial" w:hAnsi="Arial"/>
          <w:sz w:val="20"/>
          <w:szCs w:val="20"/>
          <w:lang w:eastAsia="sk-SK" w:bidi="sk-SK"/>
        </w:rPr>
        <w:t xml:space="preserve">inštitúcie a členské štáty EÚ veľkú </w:t>
      </w:r>
      <w:r w:rsidR="008C43C4">
        <w:rPr>
          <w:rFonts w:ascii="Arial" w:hAnsi="Arial"/>
          <w:sz w:val="20"/>
          <w:szCs w:val="20"/>
          <w:lang w:eastAsia="sk-SK" w:bidi="sk-SK"/>
        </w:rPr>
        <w:t>prezieravosť</w:t>
      </w:r>
      <w:r w:rsidRPr="00DA03EE">
        <w:rPr>
          <w:rFonts w:ascii="Arial" w:hAnsi="Arial"/>
          <w:sz w:val="20"/>
          <w:szCs w:val="20"/>
          <w:lang w:eastAsia="sk-SK" w:bidi="sk-SK"/>
        </w:rPr>
        <w:t xml:space="preserve">, </w:t>
      </w:r>
      <w:r w:rsidR="00DC59DE">
        <w:rPr>
          <w:rFonts w:ascii="Arial" w:hAnsi="Arial"/>
          <w:sz w:val="20"/>
          <w:szCs w:val="20"/>
          <w:lang w:eastAsia="sk-SK" w:bidi="sk-SK"/>
        </w:rPr>
        <w:t>keď</w:t>
      </w:r>
      <w:r w:rsidRPr="00DA03EE">
        <w:rPr>
          <w:rFonts w:ascii="Arial" w:hAnsi="Arial"/>
          <w:sz w:val="20"/>
          <w:szCs w:val="20"/>
          <w:lang w:eastAsia="sk-SK" w:bidi="sk-SK"/>
        </w:rPr>
        <w:t xml:space="preserve"> investova</w:t>
      </w:r>
      <w:r w:rsidR="00DC59DE">
        <w:rPr>
          <w:rFonts w:ascii="Arial" w:hAnsi="Arial"/>
          <w:sz w:val="20"/>
          <w:szCs w:val="20"/>
          <w:lang w:eastAsia="sk-SK" w:bidi="sk-SK"/>
        </w:rPr>
        <w:t>li</w:t>
      </w:r>
      <w:r w:rsidRPr="00DA03EE">
        <w:rPr>
          <w:rFonts w:ascii="Arial" w:hAnsi="Arial"/>
          <w:sz w:val="20"/>
          <w:szCs w:val="20"/>
          <w:lang w:eastAsia="sk-SK" w:bidi="sk-SK"/>
        </w:rPr>
        <w:t xml:space="preserve"> do systému včasného varovania EÚ </w:t>
      </w:r>
      <w:r w:rsidR="00095905">
        <w:rPr>
          <w:rFonts w:ascii="Arial" w:hAnsi="Arial"/>
          <w:sz w:val="20"/>
          <w:szCs w:val="20"/>
          <w:lang w:eastAsia="sk-SK" w:bidi="sk-SK"/>
        </w:rPr>
        <w:t>pred</w:t>
      </w:r>
      <w:r w:rsidR="00BA494C">
        <w:rPr>
          <w:rFonts w:ascii="Arial" w:hAnsi="Arial"/>
          <w:sz w:val="20"/>
          <w:szCs w:val="20"/>
          <w:lang w:eastAsia="sk-SK" w:bidi="sk-SK"/>
        </w:rPr>
        <w:t xml:space="preserve"> </w:t>
      </w:r>
      <w:r w:rsidRPr="00DA03EE">
        <w:rPr>
          <w:rFonts w:ascii="Arial" w:hAnsi="Arial"/>
          <w:sz w:val="20"/>
          <w:szCs w:val="20"/>
          <w:lang w:eastAsia="sk-SK" w:bidi="sk-SK"/>
        </w:rPr>
        <w:t>nový</w:t>
      </w:r>
      <w:r w:rsidR="00095905">
        <w:rPr>
          <w:rFonts w:ascii="Arial" w:hAnsi="Arial"/>
          <w:sz w:val="20"/>
          <w:szCs w:val="20"/>
          <w:lang w:eastAsia="sk-SK" w:bidi="sk-SK"/>
        </w:rPr>
        <w:t>mi</w:t>
      </w:r>
      <w:r w:rsidRPr="00DA03EE">
        <w:rPr>
          <w:rFonts w:ascii="Arial" w:hAnsi="Arial"/>
          <w:sz w:val="20"/>
          <w:szCs w:val="20"/>
          <w:lang w:eastAsia="sk-SK" w:bidi="sk-SK"/>
        </w:rPr>
        <w:t xml:space="preserve"> psychoaktívny</w:t>
      </w:r>
      <w:r w:rsidR="00095905">
        <w:rPr>
          <w:rFonts w:ascii="Arial" w:hAnsi="Arial"/>
          <w:sz w:val="20"/>
          <w:szCs w:val="20"/>
          <w:lang w:eastAsia="sk-SK" w:bidi="sk-SK"/>
        </w:rPr>
        <w:t>mi</w:t>
      </w:r>
      <w:r w:rsidRPr="00DA03EE">
        <w:rPr>
          <w:rFonts w:ascii="Arial" w:hAnsi="Arial"/>
          <w:sz w:val="20"/>
          <w:szCs w:val="20"/>
          <w:lang w:eastAsia="sk-SK" w:bidi="sk-SK"/>
        </w:rPr>
        <w:t xml:space="preserve"> látka</w:t>
      </w:r>
      <w:r w:rsidR="00095905">
        <w:rPr>
          <w:rFonts w:ascii="Arial" w:hAnsi="Arial"/>
          <w:sz w:val="20"/>
          <w:szCs w:val="20"/>
          <w:lang w:eastAsia="sk-SK" w:bidi="sk-SK"/>
        </w:rPr>
        <w:t>mi</w:t>
      </w:r>
      <w:r w:rsidRPr="00DA03EE">
        <w:rPr>
          <w:rFonts w:ascii="Arial" w:hAnsi="Arial"/>
          <w:sz w:val="20"/>
          <w:szCs w:val="20"/>
          <w:lang w:eastAsia="sk-SK" w:bidi="sk-SK"/>
        </w:rPr>
        <w:t xml:space="preserve">, ktorý je v súčasnosti uznávaný na celom svete. Som presvedčený, že tento systém – ktorý opakovane preukázal svoj </w:t>
      </w:r>
      <w:r w:rsidR="008A65D1">
        <w:rPr>
          <w:rFonts w:ascii="Arial" w:hAnsi="Arial"/>
          <w:sz w:val="20"/>
          <w:szCs w:val="20"/>
          <w:lang w:eastAsia="sk-SK" w:bidi="sk-SK"/>
        </w:rPr>
        <w:t>význam</w:t>
      </w:r>
      <w:r w:rsidR="008A65D1" w:rsidRPr="00DA03EE">
        <w:rPr>
          <w:rFonts w:ascii="Arial" w:hAnsi="Arial"/>
          <w:sz w:val="20"/>
          <w:szCs w:val="20"/>
          <w:lang w:eastAsia="sk-SK" w:bidi="sk-SK"/>
        </w:rPr>
        <w:t xml:space="preserve"> </w:t>
      </w:r>
      <w:r w:rsidRPr="00DA03EE">
        <w:rPr>
          <w:rFonts w:ascii="Arial" w:hAnsi="Arial"/>
          <w:sz w:val="20"/>
          <w:szCs w:val="20"/>
          <w:lang w:eastAsia="sk-SK" w:bidi="sk-SK"/>
        </w:rPr>
        <w:t xml:space="preserve">pri výmene informácií a rýchlej reakcii na hrozby – možno </w:t>
      </w:r>
      <w:r>
        <w:rPr>
          <w:rFonts w:ascii="Arial" w:hAnsi="Arial"/>
          <w:sz w:val="20"/>
          <w:szCs w:val="20"/>
          <w:lang w:eastAsia="sk-SK" w:bidi="sk-SK"/>
        </w:rPr>
        <w:t>ďalej posilňovať</w:t>
      </w:r>
      <w:r w:rsidRPr="00DA03EE">
        <w:rPr>
          <w:rFonts w:ascii="Arial" w:hAnsi="Arial"/>
          <w:sz w:val="20"/>
          <w:szCs w:val="20"/>
          <w:lang w:eastAsia="sk-SK" w:bidi="sk-SK"/>
        </w:rPr>
        <w:t>. Som však hlboko znepokojený tým, že tento mechanizmus je pod čoraz väčším tlakom a v prípade nedostatočného prísunu zdrojov môže byť ohrozený</w:t>
      </w:r>
      <w:r>
        <w:rPr>
          <w:rFonts w:ascii="Arial" w:hAnsi="Arial"/>
          <w:sz w:val="20"/>
          <w:szCs w:val="20"/>
          <w:lang w:eastAsia="sk-SK" w:bidi="sk-SK"/>
        </w:rPr>
        <w:t>.“</w:t>
      </w:r>
      <w:r w:rsidRPr="00DA03EE">
        <w:rPr>
          <w:rFonts w:ascii="Arial" w:hAnsi="Arial"/>
          <w:sz w:val="20"/>
          <w:szCs w:val="20"/>
          <w:lang w:eastAsia="sk-SK" w:bidi="sk-SK"/>
        </w:rPr>
        <w:t xml:space="preserve"> </w:t>
      </w:r>
    </w:p>
    <w:p w:rsidR="00CB49DA" w:rsidRPr="008916F4" w:rsidRDefault="00DA03EE" w:rsidP="008644D1">
      <w:pPr>
        <w:pStyle w:val="newsNotes"/>
      </w:pPr>
      <w:r w:rsidRPr="00DA03EE">
        <w:rPr>
          <w:rFonts w:cstheme="minorBidi"/>
          <w:b/>
          <w:sz w:val="16"/>
          <w:szCs w:val="22"/>
        </w:rPr>
        <w:t xml:space="preserve">Poznámky: </w:t>
      </w:r>
    </w:p>
    <w:p w:rsidR="00DA03EE" w:rsidRPr="00001109" w:rsidRDefault="00DA03EE" w:rsidP="00DA03EE">
      <w:pPr>
        <w:spacing w:after="0"/>
        <w:rPr>
          <w:rFonts w:ascii="Arial" w:hAnsi="Arial" w:cs="Arial"/>
          <w:sz w:val="16"/>
          <w:szCs w:val="16"/>
          <w:lang w:eastAsia="sk-SK" w:bidi="sk-SK"/>
        </w:rPr>
      </w:pPr>
      <w:r w:rsidRPr="00001109">
        <w:rPr>
          <w:rFonts w:ascii="Arial" w:hAnsi="Arial" w:cs="Arial"/>
          <w:sz w:val="16"/>
          <w:szCs w:val="16"/>
          <w:lang w:eastAsia="sk-SK" w:bidi="sk-SK"/>
        </w:rPr>
        <w:t>(</w:t>
      </w:r>
      <w:r w:rsidRPr="00001109">
        <w:rPr>
          <w:rFonts w:ascii="Arial" w:hAnsi="Arial" w:cs="Arial"/>
          <w:sz w:val="16"/>
          <w:szCs w:val="16"/>
          <w:vertAlign w:val="superscript"/>
          <w:lang w:eastAsia="sk-SK" w:bidi="sk-SK"/>
        </w:rPr>
        <w:t>1</w:t>
      </w:r>
      <w:r w:rsidRPr="00001109">
        <w:rPr>
          <w:rFonts w:ascii="Arial" w:hAnsi="Arial" w:cs="Arial"/>
          <w:sz w:val="16"/>
          <w:szCs w:val="16"/>
          <w:lang w:eastAsia="sk-SK" w:bidi="sk-SK"/>
        </w:rPr>
        <w:t xml:space="preserve">) </w:t>
      </w:r>
      <w:r w:rsidRPr="00001109">
        <w:rPr>
          <w:rFonts w:ascii="Arial" w:hAnsi="Arial" w:cs="Arial"/>
          <w:b/>
          <w:i/>
          <w:sz w:val="16"/>
          <w:szCs w:val="16"/>
          <w:lang w:eastAsia="sk-SK" w:bidi="sk-SK"/>
        </w:rPr>
        <w:t>Európska správa o drogách za rok 2014</w:t>
      </w:r>
      <w:r w:rsidRPr="00001109">
        <w:rPr>
          <w:rFonts w:ascii="Arial" w:hAnsi="Arial" w:cs="Arial"/>
          <w:sz w:val="16"/>
          <w:szCs w:val="16"/>
          <w:lang w:eastAsia="sk-SK" w:bidi="sk-SK"/>
        </w:rPr>
        <w:t xml:space="preserve">: </w:t>
      </w:r>
      <w:r w:rsidRPr="00001109">
        <w:rPr>
          <w:rFonts w:ascii="Arial" w:hAnsi="Arial" w:cs="Arial"/>
          <w:b/>
          <w:i/>
          <w:sz w:val="16"/>
          <w:szCs w:val="16"/>
          <w:lang w:eastAsia="sk-SK" w:bidi="sk-SK"/>
        </w:rPr>
        <w:t>Trendy a vývojové zmeny</w:t>
      </w:r>
      <w:r w:rsidRPr="00001109">
        <w:rPr>
          <w:rFonts w:ascii="Arial" w:hAnsi="Arial" w:cs="Arial"/>
          <w:b/>
          <w:sz w:val="16"/>
          <w:szCs w:val="16"/>
          <w:lang w:eastAsia="sk-SK" w:bidi="sk-SK"/>
        </w:rPr>
        <w:t xml:space="preserve"> </w:t>
      </w:r>
      <w:r w:rsidRPr="00001109">
        <w:rPr>
          <w:rFonts w:ascii="Arial" w:hAnsi="Arial" w:cs="Arial"/>
          <w:sz w:val="16"/>
          <w:szCs w:val="16"/>
          <w:lang w:eastAsia="sk-SK" w:bidi="sk-SK"/>
        </w:rPr>
        <w:t>(dostupná v 23 jazykoch) a</w:t>
      </w:r>
      <w:r w:rsidRPr="00001109">
        <w:rPr>
          <w:rFonts w:ascii="Arial" w:hAnsi="Arial" w:cs="Arial"/>
          <w:b/>
          <w:sz w:val="16"/>
          <w:szCs w:val="16"/>
          <w:lang w:eastAsia="sk-SK" w:bidi="sk-SK"/>
        </w:rPr>
        <w:t xml:space="preserve"> </w:t>
      </w:r>
      <w:r w:rsidR="00001109" w:rsidRPr="00AD26A5">
        <w:rPr>
          <w:rFonts w:ascii="Arial" w:hAnsi="Arial" w:cs="Arial"/>
          <w:b/>
          <w:sz w:val="16"/>
          <w:szCs w:val="16"/>
        </w:rPr>
        <w:t>Perspektívy v oblasti drog</w:t>
      </w:r>
      <w:r w:rsidR="00001109" w:rsidRPr="00001109">
        <w:rPr>
          <w:rFonts w:ascii="Arial" w:hAnsi="Arial" w:cs="Arial"/>
          <w:sz w:val="16"/>
          <w:szCs w:val="16"/>
        </w:rPr>
        <w:t xml:space="preserve"> </w:t>
      </w:r>
      <w:r w:rsidRPr="00001109">
        <w:rPr>
          <w:rFonts w:ascii="Arial" w:hAnsi="Arial" w:cs="Arial"/>
          <w:sz w:val="16"/>
          <w:szCs w:val="16"/>
          <w:lang w:eastAsia="sk-SK" w:bidi="sk-SK"/>
        </w:rPr>
        <w:t>(</w:t>
      </w:r>
      <w:r w:rsidR="00001109" w:rsidRPr="00001109">
        <w:rPr>
          <w:rFonts w:ascii="Arial" w:hAnsi="Arial" w:cs="Arial"/>
          <w:i/>
          <w:sz w:val="16"/>
          <w:szCs w:val="16"/>
          <w:lang w:eastAsia="sk-SK" w:bidi="sk-SK"/>
        </w:rPr>
        <w:t>Perspectives on drugs/PODs</w:t>
      </w:r>
      <w:r w:rsidR="00001109" w:rsidRPr="00001109">
        <w:rPr>
          <w:rFonts w:ascii="Arial" w:hAnsi="Arial" w:cs="Arial"/>
          <w:sz w:val="16"/>
          <w:szCs w:val="16"/>
          <w:lang w:eastAsia="sk-SK" w:bidi="sk-SK"/>
        </w:rPr>
        <w:t xml:space="preserve"> — </w:t>
      </w:r>
      <w:r w:rsidRPr="00001109">
        <w:rPr>
          <w:rFonts w:ascii="Arial" w:hAnsi="Arial" w:cs="Arial"/>
          <w:sz w:val="16"/>
          <w:szCs w:val="16"/>
          <w:lang w:eastAsia="sk-SK" w:bidi="sk-SK"/>
        </w:rPr>
        <w:t xml:space="preserve">angličtina) sa nachádzajú na webovej lokalite </w:t>
      </w:r>
      <w:hyperlink r:id="rId10">
        <w:r w:rsidRPr="00001109">
          <w:rPr>
            <w:rFonts w:ascii="Arial" w:hAnsi="Arial" w:cs="Arial"/>
            <w:color w:val="003399"/>
            <w:sz w:val="16"/>
            <w:szCs w:val="16"/>
            <w:lang w:eastAsia="sk-SK" w:bidi="sk-SK"/>
          </w:rPr>
          <w:t>www.emcdda.europa.eu/edr2014</w:t>
        </w:r>
      </w:hyperlink>
      <w:r w:rsidRPr="00001109">
        <w:rPr>
          <w:rFonts w:ascii="Arial" w:hAnsi="Arial" w:cs="Arial"/>
          <w:sz w:val="16"/>
          <w:szCs w:val="16"/>
          <w:lang w:eastAsia="sk-SK" w:bidi="sk-SK"/>
        </w:rPr>
        <w:t>. Údaje uvedené v správe sa vzťahujú na rok 2012 alebo posledný dostupný rok. Číselné údaje uvedené v tejto tlačovej správe sa nachádzajú v samotnej správe. Ďalšie údaje a</w:t>
      </w:r>
      <w:r w:rsidR="007326FC" w:rsidRPr="00001109">
        <w:rPr>
          <w:rFonts w:ascii="Arial" w:hAnsi="Arial" w:cs="Arial"/>
          <w:sz w:val="16"/>
          <w:szCs w:val="16"/>
          <w:lang w:eastAsia="sk-SK" w:bidi="sk-SK"/>
        </w:rPr>
        <w:t> </w:t>
      </w:r>
      <w:r w:rsidRPr="00001109">
        <w:rPr>
          <w:rFonts w:ascii="Arial" w:hAnsi="Arial" w:cs="Arial"/>
          <w:sz w:val="16"/>
          <w:szCs w:val="16"/>
          <w:lang w:eastAsia="sk-SK" w:bidi="sk-SK"/>
        </w:rPr>
        <w:t xml:space="preserve">tabuľky sa nachádzajú v </w:t>
      </w:r>
      <w:r w:rsidRPr="00001109">
        <w:rPr>
          <w:rFonts w:ascii="Arial" w:hAnsi="Arial" w:cs="Arial"/>
          <w:b/>
          <w:sz w:val="16"/>
          <w:szCs w:val="16"/>
          <w:lang w:eastAsia="sk-SK" w:bidi="sk-SK"/>
        </w:rPr>
        <w:t xml:space="preserve">Európskej správe o drogách: Údaje a štatistiky </w:t>
      </w:r>
      <w:r w:rsidR="00001109" w:rsidRPr="00001109">
        <w:rPr>
          <w:rFonts w:ascii="Arial" w:hAnsi="Arial" w:cs="Arial"/>
          <w:sz w:val="16"/>
          <w:szCs w:val="16"/>
          <w:lang w:eastAsia="sk-SK" w:bidi="sk-SK"/>
        </w:rPr>
        <w:t>(</w:t>
      </w:r>
      <w:r w:rsidR="00001109" w:rsidRPr="00001109">
        <w:rPr>
          <w:rFonts w:ascii="Arial" w:hAnsi="Arial" w:cs="Arial"/>
          <w:i/>
          <w:sz w:val="16"/>
          <w:szCs w:val="16"/>
          <w:lang w:eastAsia="sk-SK" w:bidi="sk-SK"/>
        </w:rPr>
        <w:t>European Drug Report: Data and statistics</w:t>
      </w:r>
      <w:r w:rsidR="00001109" w:rsidRPr="00001109">
        <w:rPr>
          <w:rFonts w:ascii="Arial" w:hAnsi="Arial" w:cs="Arial"/>
          <w:sz w:val="16"/>
          <w:szCs w:val="16"/>
          <w:lang w:eastAsia="sk-SK" w:bidi="sk-SK"/>
        </w:rPr>
        <w:t xml:space="preserve">) </w:t>
      </w:r>
      <w:r w:rsidRPr="00001109">
        <w:rPr>
          <w:rFonts w:ascii="Arial" w:hAnsi="Arial" w:cs="Arial"/>
          <w:sz w:val="16"/>
          <w:szCs w:val="16"/>
          <w:lang w:eastAsia="sk-SK" w:bidi="sk-SK"/>
        </w:rPr>
        <w:t xml:space="preserve">na webovej lokalite </w:t>
      </w:r>
      <w:hyperlink r:id="rId11">
        <w:r w:rsidRPr="00001109">
          <w:rPr>
            <w:rFonts w:ascii="Arial" w:hAnsi="Arial" w:cs="Arial"/>
            <w:color w:val="003399"/>
            <w:sz w:val="16"/>
            <w:szCs w:val="16"/>
            <w:lang w:eastAsia="sk-SK" w:bidi="sk-SK"/>
          </w:rPr>
          <w:t>www.emcdda.europa.eu/data</w:t>
        </w:r>
      </w:hyperlink>
    </w:p>
    <w:p w:rsidR="00DA03EE" w:rsidRPr="00DA03EE" w:rsidRDefault="00DA03EE" w:rsidP="00DA03EE">
      <w:pPr>
        <w:spacing w:after="0"/>
        <w:rPr>
          <w:rFonts w:ascii="Arial" w:hAnsi="Arial" w:cs="Arial"/>
          <w:sz w:val="16"/>
          <w:szCs w:val="16"/>
          <w:lang w:eastAsia="sk-SK" w:bidi="sk-SK"/>
        </w:rPr>
      </w:pPr>
      <w:r w:rsidRPr="00DA03EE">
        <w:rPr>
          <w:rFonts w:ascii="Arial" w:hAnsi="Arial"/>
          <w:sz w:val="16"/>
          <w:lang w:eastAsia="sk-SK" w:bidi="sk-SK"/>
        </w:rPr>
        <w:t>(</w:t>
      </w:r>
      <w:r w:rsidRPr="00DA03EE">
        <w:rPr>
          <w:rFonts w:ascii="Arial" w:hAnsi="Arial"/>
          <w:sz w:val="16"/>
          <w:vertAlign w:val="superscript"/>
          <w:lang w:eastAsia="sk-SK" w:bidi="sk-SK"/>
        </w:rPr>
        <w:t>2</w:t>
      </w:r>
      <w:r w:rsidRPr="00DA03EE">
        <w:rPr>
          <w:rFonts w:ascii="Arial" w:hAnsi="Arial"/>
          <w:sz w:val="16"/>
          <w:lang w:eastAsia="sk-SK" w:bidi="sk-SK"/>
        </w:rPr>
        <w:t>) Z dôvodu rozdielov v postupoch a spôsoboch vykazovania je pri porovnávaní krajín potrebné zachovať obozretnosť.</w:t>
      </w:r>
    </w:p>
    <w:p w:rsidR="00DA03EE" w:rsidRPr="00DA03EE" w:rsidRDefault="00DA03EE" w:rsidP="00DA03EE">
      <w:pPr>
        <w:spacing w:after="0"/>
        <w:rPr>
          <w:rFonts w:ascii="Arial" w:hAnsi="Arial" w:cs="Arial"/>
          <w:sz w:val="16"/>
          <w:szCs w:val="16"/>
          <w:lang w:eastAsia="sk-SK" w:bidi="sk-SK"/>
        </w:rPr>
      </w:pPr>
      <w:r w:rsidRPr="00DA03EE">
        <w:rPr>
          <w:rFonts w:ascii="Arial" w:hAnsi="Arial"/>
          <w:sz w:val="16"/>
          <w:lang w:eastAsia="sk-SK" w:bidi="sk-SK"/>
        </w:rPr>
        <w:t>(</w:t>
      </w:r>
      <w:r w:rsidRPr="00DA03EE">
        <w:rPr>
          <w:rFonts w:ascii="Arial" w:hAnsi="Arial"/>
          <w:sz w:val="16"/>
          <w:vertAlign w:val="superscript"/>
          <w:lang w:eastAsia="sk-SK" w:bidi="sk-SK"/>
        </w:rPr>
        <w:t>3</w:t>
      </w:r>
      <w:r w:rsidRPr="00DA03EE">
        <w:rPr>
          <w:rFonts w:ascii="Arial" w:hAnsi="Arial"/>
          <w:sz w:val="16"/>
          <w:lang w:eastAsia="sk-SK" w:bidi="sk-SK"/>
        </w:rPr>
        <w:t xml:space="preserve">) </w:t>
      </w:r>
      <w:hyperlink r:id="rId12">
        <w:r w:rsidRPr="00DA03EE">
          <w:rPr>
            <w:rFonts w:ascii="Arial" w:hAnsi="Arial"/>
            <w:color w:val="003399"/>
            <w:sz w:val="16"/>
            <w:lang w:eastAsia="sk-SK" w:bidi="sk-SK"/>
          </w:rPr>
          <w:t>www.eurosurveillance.org/ViewArticle.aspx?ArticleId=20648</w:t>
        </w:r>
      </w:hyperlink>
    </w:p>
    <w:p w:rsidR="00DA03EE" w:rsidRPr="00DA03EE" w:rsidRDefault="00DA03EE" w:rsidP="00DA03EE">
      <w:pPr>
        <w:spacing w:after="0"/>
        <w:rPr>
          <w:rFonts w:ascii="Arial" w:hAnsi="Arial" w:cs="Arial"/>
          <w:sz w:val="16"/>
          <w:szCs w:val="16"/>
          <w:lang w:eastAsia="sk-SK" w:bidi="sk-SK"/>
        </w:rPr>
      </w:pPr>
      <w:r w:rsidRPr="00DA03EE">
        <w:rPr>
          <w:rFonts w:ascii="Arial" w:hAnsi="Arial"/>
          <w:sz w:val="16"/>
          <w:lang w:eastAsia="sk-SK" w:bidi="sk-SK"/>
        </w:rPr>
        <w:t>(</w:t>
      </w:r>
      <w:r w:rsidRPr="00DA03EE">
        <w:rPr>
          <w:rFonts w:ascii="Arial" w:hAnsi="Arial"/>
          <w:sz w:val="16"/>
          <w:vertAlign w:val="superscript"/>
          <w:lang w:eastAsia="sk-SK" w:bidi="sk-SK"/>
        </w:rPr>
        <w:t>4</w:t>
      </w:r>
      <w:r w:rsidRPr="00DA03EE">
        <w:rPr>
          <w:rFonts w:ascii="Arial" w:hAnsi="Arial"/>
          <w:sz w:val="16"/>
          <w:lang w:eastAsia="sk-SK" w:bidi="sk-SK"/>
        </w:rPr>
        <w:t xml:space="preserve">) </w:t>
      </w:r>
      <w:hyperlink r:id="rId13">
        <w:r w:rsidRPr="00DA03EE">
          <w:rPr>
            <w:rFonts w:ascii="Arial" w:hAnsi="Arial"/>
            <w:color w:val="003399"/>
            <w:sz w:val="16"/>
            <w:lang w:eastAsia="sk-SK" w:bidi="sk-SK"/>
          </w:rPr>
          <w:t>www.emcdda.europa.eu/publications/emcdda-papers/exploring-methamphetamine-trends-in-Europe</w:t>
        </w:r>
      </w:hyperlink>
    </w:p>
    <w:p w:rsidR="00DA03EE" w:rsidRPr="00DA03EE" w:rsidRDefault="00DA03EE" w:rsidP="00DA03EE">
      <w:pPr>
        <w:spacing w:after="0"/>
        <w:rPr>
          <w:rFonts w:ascii="Arial" w:hAnsi="Arial" w:cs="Arial"/>
          <w:sz w:val="16"/>
          <w:szCs w:val="16"/>
          <w:lang w:eastAsia="sk-SK" w:bidi="sk-SK"/>
        </w:rPr>
      </w:pPr>
      <w:r w:rsidRPr="00DA03EE">
        <w:rPr>
          <w:rFonts w:ascii="Arial" w:hAnsi="Arial"/>
          <w:sz w:val="16"/>
          <w:lang w:eastAsia="sk-SK" w:bidi="sk-SK"/>
        </w:rPr>
        <w:t>(</w:t>
      </w:r>
      <w:r w:rsidRPr="00DA03EE">
        <w:rPr>
          <w:rFonts w:ascii="Arial" w:hAnsi="Arial"/>
          <w:sz w:val="16"/>
          <w:vertAlign w:val="superscript"/>
          <w:lang w:eastAsia="sk-SK" w:bidi="sk-SK"/>
        </w:rPr>
        <w:t>5</w:t>
      </w:r>
      <w:r w:rsidRPr="00DA03EE">
        <w:rPr>
          <w:rFonts w:ascii="Arial" w:hAnsi="Arial"/>
          <w:sz w:val="16"/>
          <w:lang w:eastAsia="sk-SK" w:bidi="sk-SK"/>
        </w:rPr>
        <w:t xml:space="preserve">) </w:t>
      </w:r>
      <w:hyperlink r:id="rId14">
        <w:r w:rsidRPr="00DA03EE">
          <w:rPr>
            <w:rFonts w:ascii="Arial" w:hAnsi="Arial"/>
            <w:color w:val="003399"/>
            <w:sz w:val="16"/>
            <w:lang w:eastAsia="sk-SK" w:bidi="sk-SK"/>
          </w:rPr>
          <w:t>www.emcdda.europa.eu/news/2014/europol-emcdda1</w:t>
        </w:r>
      </w:hyperlink>
    </w:p>
    <w:p w:rsidR="00DA03EE" w:rsidRPr="00DA03EE" w:rsidRDefault="00DA03EE" w:rsidP="00DA03EE">
      <w:pPr>
        <w:spacing w:after="0"/>
        <w:rPr>
          <w:rFonts w:ascii="Arial" w:hAnsi="Arial" w:cs="Arial"/>
          <w:sz w:val="16"/>
          <w:szCs w:val="16"/>
          <w:lang w:eastAsia="sk-SK" w:bidi="sk-SK"/>
        </w:rPr>
      </w:pPr>
      <w:r w:rsidRPr="00DA03EE">
        <w:rPr>
          <w:rFonts w:ascii="Arial" w:hAnsi="Arial"/>
          <w:sz w:val="16"/>
          <w:lang w:eastAsia="sk-SK" w:bidi="sk-SK"/>
        </w:rPr>
        <w:t>(</w:t>
      </w:r>
      <w:r w:rsidRPr="00DA03EE">
        <w:rPr>
          <w:rFonts w:ascii="Arial" w:hAnsi="Arial"/>
          <w:sz w:val="16"/>
          <w:vertAlign w:val="superscript"/>
          <w:lang w:eastAsia="sk-SK" w:bidi="sk-SK"/>
        </w:rPr>
        <w:t>6</w:t>
      </w:r>
      <w:r w:rsidRPr="00DA03EE">
        <w:rPr>
          <w:rFonts w:ascii="Arial" w:hAnsi="Arial"/>
          <w:sz w:val="16"/>
          <w:lang w:eastAsia="sk-SK" w:bidi="sk-SK"/>
        </w:rPr>
        <w:t xml:space="preserve">) </w:t>
      </w:r>
      <w:hyperlink r:id="rId15">
        <w:r w:rsidRPr="00DA03EE">
          <w:rPr>
            <w:rFonts w:ascii="Arial" w:hAnsi="Arial"/>
            <w:color w:val="003399"/>
            <w:sz w:val="16"/>
            <w:lang w:eastAsia="sk-SK" w:bidi="sk-SK"/>
          </w:rPr>
          <w:t>www.emcdda.europa.eu/publications/implementation-reports/2013</w:t>
        </w:r>
      </w:hyperlink>
    </w:p>
    <w:p w:rsidR="00CB49DA" w:rsidRPr="008916F4" w:rsidRDefault="00DA03EE" w:rsidP="00DA03EE">
      <w:pPr>
        <w:pStyle w:val="newsNotes"/>
      </w:pPr>
      <w:r w:rsidRPr="00DA03EE">
        <w:rPr>
          <w:rFonts w:cstheme="minorBidi"/>
          <w:sz w:val="16"/>
          <w:szCs w:val="22"/>
        </w:rPr>
        <w:t>(</w:t>
      </w:r>
      <w:r w:rsidRPr="00DA03EE">
        <w:rPr>
          <w:rFonts w:cstheme="minorBidi"/>
          <w:sz w:val="16"/>
          <w:szCs w:val="22"/>
          <w:vertAlign w:val="superscript"/>
        </w:rPr>
        <w:t>7</w:t>
      </w:r>
      <w:r w:rsidRPr="00DA03EE">
        <w:rPr>
          <w:rFonts w:cstheme="minorBidi"/>
          <w:sz w:val="16"/>
          <w:szCs w:val="22"/>
        </w:rPr>
        <w:t xml:space="preserve">) </w:t>
      </w:r>
      <w:hyperlink r:id="rId16">
        <w:r w:rsidRPr="00DA03EE">
          <w:rPr>
            <w:rFonts w:cstheme="minorBidi"/>
            <w:color w:val="003399"/>
            <w:sz w:val="16"/>
            <w:szCs w:val="22"/>
          </w:rPr>
          <w:t>http://ec.europa.eu/public_opinion/flash/fl_330_en.pdf</w:t>
        </w:r>
      </w:hyperlink>
      <w:r>
        <w:rPr>
          <w:rFonts w:asciiTheme="minorHAnsi" w:hAnsiTheme="minorHAnsi" w:cstheme="minorBidi"/>
          <w:sz w:val="22"/>
          <w:szCs w:val="22"/>
        </w:rPr>
        <w:t xml:space="preserve"> </w:t>
      </w:r>
      <w:bookmarkStart w:id="0" w:name="_GoBack"/>
      <w:bookmarkEnd w:id="0"/>
    </w:p>
    <w:sectPr w:rsidR="00CB49DA" w:rsidRPr="008916F4" w:rsidSect="00BA494C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1276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B3" w:rsidRDefault="00C70CB3" w:rsidP="009A28FB">
      <w:pPr>
        <w:spacing w:after="0" w:line="240" w:lineRule="auto"/>
      </w:pPr>
      <w:r>
        <w:separator/>
      </w:r>
    </w:p>
  </w:endnote>
  <w:endnote w:type="continuationSeparator" w:id="0">
    <w:p w:rsidR="00C70CB3" w:rsidRDefault="00C70CB3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ivia Sans Medium">
    <w:altName w:val="Trivia Sans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61"/>
      <w:gridCol w:w="2477"/>
    </w:tblGrid>
    <w:tr w:rsidR="00BF1E3B" w:rsidTr="00D37865">
      <w:tc>
        <w:tcPr>
          <w:tcW w:w="1444" w:type="dxa"/>
        </w:tcPr>
        <w:p w:rsidR="00BF1E3B" w:rsidRDefault="00AD26A5" w:rsidP="00D37865">
          <w:pPr>
            <w:pStyle w:val="newsCoordinates"/>
          </w:pPr>
          <w:r>
            <w:rPr>
              <w:noProof/>
              <w:lang w:val="en-GB" w:eastAsia="en-GB"/>
            </w:rPr>
            <w:pict>
              <v:line id="Straight Connector 14" o:spid="_x0000_s2050" style="position:absolute;left:0;text-align:left;flip:x;z-index:-251653120;visibility:visible;mso-position-horizontal-relative:page;mso-position-vertical-relative:page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<w10:wrap anchorx="page" anchory="page"/>
              </v:line>
            </w:pict>
          </w:r>
          <w:r w:rsidR="00936B9B">
            <w:rPr>
              <w:noProof/>
              <w:lang w:eastAsia="en-GB"/>
            </w:rPr>
            <w:t>www.em</w:t>
          </w:r>
          <w:r w:rsidR="00BF1E3B" w:rsidRPr="00D37865">
            <w:rPr>
              <w:noProof/>
              <w:lang w:eastAsia="en-GB"/>
            </w:rPr>
            <w:t>cdda.europa.eu</w:t>
          </w:r>
          <w:r w:rsidR="00936B9B">
            <w:rPr>
              <w:noProof/>
              <w:lang w:eastAsia="en-GB"/>
            </w:rPr>
            <w:t>/edr2014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3200B1" w:rsidP="003B00EE">
          <w:pPr>
            <w:pStyle w:val="newsCoordinates"/>
          </w:pPr>
          <w:r w:rsidRPr="003200B1">
            <w:t>Kontakt: Kathy Robertson, Vzťahy s médiami</w:t>
          </w:r>
          <w:r w:rsidR="00AD26A5">
            <w:rPr>
              <w:i/>
              <w:noProof/>
              <w:lang w:val="en-GB" w:eastAsia="en-GB"/>
            </w:rPr>
            <w:pict>
              <v:line id="Straight Connector 4" o:spid="_x0000_s2049" style="position:absolute;left:0;text-align:left;z-index:-251651072;visibility:visible;mso-position-horizontal-relative:page;mso-position-vertical-relative:page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<w10:wrap anchorx="page" anchory="page"/>
              </v:line>
            </w:pict>
          </w:r>
          <w:r w:rsidR="0063677C">
            <w:t xml:space="preserve"> </w:t>
          </w:r>
        </w:p>
        <w:p w:rsidR="0063677C" w:rsidRDefault="003200B1" w:rsidP="003B00EE">
          <w:pPr>
            <w:pStyle w:val="newsCoordinates"/>
          </w:pPr>
          <w:r w:rsidRPr="003200B1">
            <w:t>Praça Europa 1, Cais do Sodré, 1249-289 Lisabon, Portugalsko</w:t>
          </w:r>
        </w:p>
        <w:p w:rsidR="0063677C" w:rsidRDefault="003200B1" w:rsidP="003200B1">
          <w:pPr>
            <w:pStyle w:val="newsCoordinates"/>
          </w:pPr>
          <w:r w:rsidRPr="003200B1">
            <w:t>Tel. (351) 211 21 02</w:t>
          </w:r>
          <w:r w:rsidR="00944227" w:rsidRPr="00944227">
            <w:t xml:space="preserve"> 00</w:t>
          </w:r>
          <w:r w:rsidR="0063677C">
            <w:t xml:space="preserve"> </w:t>
          </w:r>
          <w:r w:rsidR="0063677C" w:rsidRPr="00FC0187">
            <w:rPr>
              <w:sz w:val="18"/>
            </w:rPr>
            <w:t xml:space="preserve">I </w:t>
          </w:r>
          <w:r w:rsidR="0063677C">
            <w:t xml:space="preserve">press@emcdda.europa.eu </w:t>
          </w:r>
          <w:r w:rsidR="0063677C" w:rsidRPr="00FC0187">
            <w:rPr>
              <w:sz w:val="18"/>
            </w:rPr>
            <w:t>I</w:t>
          </w:r>
          <w:r w:rsidR="0063677C"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3200B1" w:rsidP="00936B9B">
          <w:pPr>
            <w:pStyle w:val="newsReference"/>
            <w:jc w:val="right"/>
          </w:pPr>
          <w:r w:rsidRPr="003200B1">
            <w:t xml:space="preserve">SK — č. </w:t>
          </w:r>
          <w:r w:rsidR="00936B9B">
            <w:t>3</w:t>
          </w:r>
          <w:r w:rsidRPr="003200B1">
            <w:t>/</w:t>
          </w:r>
          <w:r w:rsidR="00936B9B">
            <w:t>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B3" w:rsidRDefault="00C70CB3" w:rsidP="009A28FB">
      <w:pPr>
        <w:spacing w:after="0" w:line="240" w:lineRule="auto"/>
      </w:pPr>
      <w:r>
        <w:separator/>
      </w:r>
    </w:p>
  </w:footnote>
  <w:footnote w:type="continuationSeparator" w:id="0">
    <w:p w:rsidR="00C70CB3" w:rsidRDefault="00C70CB3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AD26A5" w:rsidP="00936B9B">
          <w:pPr>
            <w:pStyle w:val="newsEmbargo"/>
          </w:pPr>
          <w:r>
            <w:rPr>
              <w:noProof/>
              <w:lang w:val="en-GB" w:eastAsia="en-GB"/>
            </w:rPr>
            <w:pict>
              <v:line id="Straight Connector 11" o:spid="_x0000_s2051" style="position:absolute;left:0;text-align:left;z-index:-251655168;visibility:visible;mso-position-horizontal-relative:page;mso-position-vertical-relative:page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<w10:wrap anchorx="page" anchory="page"/>
              </v:line>
            </w:pict>
          </w:r>
          <w:r w:rsidR="00936B9B">
            <w:rPr>
              <w:noProof/>
              <w:lang w:eastAsia="en-GB"/>
            </w:rPr>
            <w:t>Európska správa o drogách za rok 2014</w:t>
          </w:r>
          <w:r w:rsidR="00BF1E3B" w:rsidRPr="00CC4FDA">
            <w:rPr>
              <w:noProof/>
              <w:lang w:eastAsia="en-GB"/>
            </w:rPr>
            <w:t xml:space="preserve"> </w:t>
          </w:r>
          <w:r w:rsidR="00BF1E3B" w:rsidRPr="00CC4FDA">
            <w:rPr>
              <w:noProof/>
              <w:sz w:val="18"/>
              <w:lang w:eastAsia="en-GB"/>
            </w:rPr>
            <w:t>I</w:t>
          </w:r>
          <w:r w:rsidR="00BF1E3B" w:rsidRPr="00CC4FDA">
            <w:rPr>
              <w:noProof/>
              <w:lang w:eastAsia="en-GB"/>
            </w:rPr>
            <w:t xml:space="preserve"> </w:t>
          </w:r>
          <w:r w:rsidR="00BF1E3B" w:rsidRPr="00BA494C">
            <w:rPr>
              <w:b/>
              <w:noProof/>
              <w:color w:val="FF0000"/>
              <w:lang w:eastAsia="en-GB"/>
            </w:rPr>
            <w:t>EMBARGO 10</w:t>
          </w:r>
          <w:r w:rsidR="00936B9B" w:rsidRPr="00BA494C">
            <w:rPr>
              <w:b/>
              <w:noProof/>
              <w:color w:val="FF0000"/>
              <w:lang w:eastAsia="en-GB"/>
            </w:rPr>
            <w:t>.</w:t>
          </w:r>
          <w:r w:rsidR="00BF1E3B" w:rsidRPr="00BA494C">
            <w:rPr>
              <w:b/>
              <w:noProof/>
              <w:color w:val="FF0000"/>
              <w:lang w:eastAsia="en-GB"/>
            </w:rPr>
            <w:t xml:space="preserve">00 </w:t>
          </w:r>
          <w:r w:rsidR="00936B9B" w:rsidRPr="00BA494C">
            <w:rPr>
              <w:b/>
              <w:noProof/>
              <w:color w:val="FF0000"/>
              <w:lang w:eastAsia="en-GB"/>
            </w:rPr>
            <w:t>ZEČ</w:t>
          </w:r>
          <w:r w:rsidR="00BF1E3B" w:rsidRPr="00BA494C">
            <w:rPr>
              <w:b/>
              <w:noProof/>
              <w:color w:val="FF0000"/>
              <w:lang w:eastAsia="en-GB"/>
            </w:rPr>
            <w:t>/Lis</w:t>
          </w:r>
          <w:r w:rsidR="00936B9B" w:rsidRPr="00BA494C">
            <w:rPr>
              <w:b/>
              <w:noProof/>
              <w:color w:val="FF0000"/>
              <w:lang w:eastAsia="en-GB"/>
            </w:rPr>
            <w:t>abonského času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  <w:r w:rsidRPr="00CC4FDA">
            <w:t>2</w:t>
          </w:r>
          <w:r w:rsidR="00936B9B">
            <w:t>7.</w:t>
          </w:r>
          <w:r w:rsidR="00561A72">
            <w:t xml:space="preserve"> </w:t>
          </w:r>
          <w:r w:rsidR="00936B9B">
            <w:t>5</w:t>
          </w:r>
          <w:r w:rsidRPr="00CC4FDA">
            <w:t>.</w:t>
          </w:r>
          <w:r w:rsidR="00561A72">
            <w:t xml:space="preserve"> </w:t>
          </w:r>
          <w:r w:rsidRPr="00CC4FDA">
            <w:t>201</w:t>
          </w:r>
          <w:r w:rsidR="00936B9B">
            <w:t>4</w:t>
          </w:r>
        </w:p>
      </w:tc>
    </w:tr>
  </w:tbl>
  <w:p w:rsidR="00BF1E3B" w:rsidRDefault="00BF1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374"/>
    <w:rsid w:val="00001109"/>
    <w:rsid w:val="00014E8E"/>
    <w:rsid w:val="00025C96"/>
    <w:rsid w:val="00036DAA"/>
    <w:rsid w:val="00042EDA"/>
    <w:rsid w:val="00043A30"/>
    <w:rsid w:val="000535B7"/>
    <w:rsid w:val="00067DD3"/>
    <w:rsid w:val="00075735"/>
    <w:rsid w:val="00095905"/>
    <w:rsid w:val="000A3C95"/>
    <w:rsid w:val="000C6200"/>
    <w:rsid w:val="000D25B6"/>
    <w:rsid w:val="000F0884"/>
    <w:rsid w:val="00105BFC"/>
    <w:rsid w:val="00107C96"/>
    <w:rsid w:val="001114FE"/>
    <w:rsid w:val="0011288A"/>
    <w:rsid w:val="00113EF6"/>
    <w:rsid w:val="00125134"/>
    <w:rsid w:val="00137B41"/>
    <w:rsid w:val="0015747F"/>
    <w:rsid w:val="001574E2"/>
    <w:rsid w:val="0016035E"/>
    <w:rsid w:val="0017212E"/>
    <w:rsid w:val="0017713E"/>
    <w:rsid w:val="001800D0"/>
    <w:rsid w:val="001A3338"/>
    <w:rsid w:val="001B3E82"/>
    <w:rsid w:val="001C2A66"/>
    <w:rsid w:val="001C795A"/>
    <w:rsid w:val="001D5C26"/>
    <w:rsid w:val="001E09E1"/>
    <w:rsid w:val="001E39A7"/>
    <w:rsid w:val="001F70B4"/>
    <w:rsid w:val="0022119A"/>
    <w:rsid w:val="00223753"/>
    <w:rsid w:val="0023151A"/>
    <w:rsid w:val="002557B0"/>
    <w:rsid w:val="002646E4"/>
    <w:rsid w:val="0027252D"/>
    <w:rsid w:val="0028141E"/>
    <w:rsid w:val="002948E2"/>
    <w:rsid w:val="002A52CE"/>
    <w:rsid w:val="002A61F7"/>
    <w:rsid w:val="002B05CE"/>
    <w:rsid w:val="002B45AC"/>
    <w:rsid w:val="0030486D"/>
    <w:rsid w:val="0031365D"/>
    <w:rsid w:val="00317B5A"/>
    <w:rsid w:val="003200B1"/>
    <w:rsid w:val="00330BE5"/>
    <w:rsid w:val="0033158E"/>
    <w:rsid w:val="00351881"/>
    <w:rsid w:val="0036121D"/>
    <w:rsid w:val="00381EE1"/>
    <w:rsid w:val="0038479F"/>
    <w:rsid w:val="00387D02"/>
    <w:rsid w:val="003979E3"/>
    <w:rsid w:val="003B1E3E"/>
    <w:rsid w:val="003B41B1"/>
    <w:rsid w:val="003B6842"/>
    <w:rsid w:val="003C0395"/>
    <w:rsid w:val="003C0973"/>
    <w:rsid w:val="003D0487"/>
    <w:rsid w:val="003D5D4E"/>
    <w:rsid w:val="003F2C14"/>
    <w:rsid w:val="004137B0"/>
    <w:rsid w:val="004221D3"/>
    <w:rsid w:val="00437BAD"/>
    <w:rsid w:val="0044111C"/>
    <w:rsid w:val="00445080"/>
    <w:rsid w:val="00451710"/>
    <w:rsid w:val="0045468D"/>
    <w:rsid w:val="0046179A"/>
    <w:rsid w:val="00465055"/>
    <w:rsid w:val="00474AC8"/>
    <w:rsid w:val="004847FB"/>
    <w:rsid w:val="00484D26"/>
    <w:rsid w:val="004873E3"/>
    <w:rsid w:val="004A3160"/>
    <w:rsid w:val="004C3028"/>
    <w:rsid w:val="004C79BE"/>
    <w:rsid w:val="004D6E0C"/>
    <w:rsid w:val="004E5186"/>
    <w:rsid w:val="00516ECD"/>
    <w:rsid w:val="00520EF1"/>
    <w:rsid w:val="00525377"/>
    <w:rsid w:val="00532A43"/>
    <w:rsid w:val="00532C27"/>
    <w:rsid w:val="00541A97"/>
    <w:rsid w:val="00542253"/>
    <w:rsid w:val="00542CEE"/>
    <w:rsid w:val="00550F25"/>
    <w:rsid w:val="00561A72"/>
    <w:rsid w:val="00575AE2"/>
    <w:rsid w:val="00576388"/>
    <w:rsid w:val="00584788"/>
    <w:rsid w:val="005A0DC8"/>
    <w:rsid w:val="005A4A24"/>
    <w:rsid w:val="005B05A0"/>
    <w:rsid w:val="005B0882"/>
    <w:rsid w:val="005B1B63"/>
    <w:rsid w:val="005C4033"/>
    <w:rsid w:val="005D64C9"/>
    <w:rsid w:val="005E267B"/>
    <w:rsid w:val="005E734D"/>
    <w:rsid w:val="00601EAE"/>
    <w:rsid w:val="006116D9"/>
    <w:rsid w:val="00623A55"/>
    <w:rsid w:val="00635066"/>
    <w:rsid w:val="0063677C"/>
    <w:rsid w:val="006568FE"/>
    <w:rsid w:val="00662096"/>
    <w:rsid w:val="00666A63"/>
    <w:rsid w:val="006671DC"/>
    <w:rsid w:val="00670BC4"/>
    <w:rsid w:val="00671B71"/>
    <w:rsid w:val="0069096E"/>
    <w:rsid w:val="006A1344"/>
    <w:rsid w:val="006A3A86"/>
    <w:rsid w:val="006C70A0"/>
    <w:rsid w:val="006C7DF0"/>
    <w:rsid w:val="007003A8"/>
    <w:rsid w:val="007053FF"/>
    <w:rsid w:val="007142EC"/>
    <w:rsid w:val="00730132"/>
    <w:rsid w:val="007326FC"/>
    <w:rsid w:val="00734C62"/>
    <w:rsid w:val="00737455"/>
    <w:rsid w:val="00745E82"/>
    <w:rsid w:val="00767345"/>
    <w:rsid w:val="00773814"/>
    <w:rsid w:val="007750B5"/>
    <w:rsid w:val="00783C1D"/>
    <w:rsid w:val="00791F09"/>
    <w:rsid w:val="007920E3"/>
    <w:rsid w:val="007927D2"/>
    <w:rsid w:val="007B0E03"/>
    <w:rsid w:val="007B1CCD"/>
    <w:rsid w:val="007B6F08"/>
    <w:rsid w:val="007E7191"/>
    <w:rsid w:val="007F0EAD"/>
    <w:rsid w:val="007F5435"/>
    <w:rsid w:val="00800CE5"/>
    <w:rsid w:val="00813FB5"/>
    <w:rsid w:val="0081623D"/>
    <w:rsid w:val="00816731"/>
    <w:rsid w:val="00826CFF"/>
    <w:rsid w:val="00837F8F"/>
    <w:rsid w:val="00841E86"/>
    <w:rsid w:val="00860C28"/>
    <w:rsid w:val="008644D1"/>
    <w:rsid w:val="00872A7B"/>
    <w:rsid w:val="00875018"/>
    <w:rsid w:val="00881730"/>
    <w:rsid w:val="00881EED"/>
    <w:rsid w:val="008916F4"/>
    <w:rsid w:val="008A65D1"/>
    <w:rsid w:val="008A7C1C"/>
    <w:rsid w:val="008B4AB5"/>
    <w:rsid w:val="008C1172"/>
    <w:rsid w:val="008C2011"/>
    <w:rsid w:val="008C43C4"/>
    <w:rsid w:val="008D54B3"/>
    <w:rsid w:val="008D7906"/>
    <w:rsid w:val="008F177B"/>
    <w:rsid w:val="008F399E"/>
    <w:rsid w:val="00902300"/>
    <w:rsid w:val="00930F8E"/>
    <w:rsid w:val="00936B9B"/>
    <w:rsid w:val="00944227"/>
    <w:rsid w:val="00947B7C"/>
    <w:rsid w:val="00955F0C"/>
    <w:rsid w:val="0095637B"/>
    <w:rsid w:val="00962936"/>
    <w:rsid w:val="00974A27"/>
    <w:rsid w:val="00976898"/>
    <w:rsid w:val="00980041"/>
    <w:rsid w:val="00982473"/>
    <w:rsid w:val="009976AE"/>
    <w:rsid w:val="009A28FB"/>
    <w:rsid w:val="009A4880"/>
    <w:rsid w:val="009A6CBF"/>
    <w:rsid w:val="009D6255"/>
    <w:rsid w:val="009E25FB"/>
    <w:rsid w:val="00A03329"/>
    <w:rsid w:val="00A0788A"/>
    <w:rsid w:val="00A07D70"/>
    <w:rsid w:val="00A20D8C"/>
    <w:rsid w:val="00A27289"/>
    <w:rsid w:val="00A311EF"/>
    <w:rsid w:val="00A3254D"/>
    <w:rsid w:val="00A46056"/>
    <w:rsid w:val="00A661E2"/>
    <w:rsid w:val="00A843D2"/>
    <w:rsid w:val="00A856B7"/>
    <w:rsid w:val="00AA5B3D"/>
    <w:rsid w:val="00AC0769"/>
    <w:rsid w:val="00AC5EA8"/>
    <w:rsid w:val="00AD26A5"/>
    <w:rsid w:val="00AD7BFC"/>
    <w:rsid w:val="00AE093C"/>
    <w:rsid w:val="00AE1738"/>
    <w:rsid w:val="00AF13B3"/>
    <w:rsid w:val="00AF259D"/>
    <w:rsid w:val="00B11B73"/>
    <w:rsid w:val="00B1480E"/>
    <w:rsid w:val="00B25AAF"/>
    <w:rsid w:val="00B272F1"/>
    <w:rsid w:val="00B51E08"/>
    <w:rsid w:val="00B57464"/>
    <w:rsid w:val="00B61036"/>
    <w:rsid w:val="00B72DD3"/>
    <w:rsid w:val="00B7335C"/>
    <w:rsid w:val="00B961C6"/>
    <w:rsid w:val="00B9762F"/>
    <w:rsid w:val="00B97BC5"/>
    <w:rsid w:val="00BA494C"/>
    <w:rsid w:val="00BB1D19"/>
    <w:rsid w:val="00BB60CF"/>
    <w:rsid w:val="00BD2342"/>
    <w:rsid w:val="00BD730E"/>
    <w:rsid w:val="00BF1E3B"/>
    <w:rsid w:val="00C06DC2"/>
    <w:rsid w:val="00C264E5"/>
    <w:rsid w:val="00C36BC1"/>
    <w:rsid w:val="00C426F8"/>
    <w:rsid w:val="00C628C4"/>
    <w:rsid w:val="00C63254"/>
    <w:rsid w:val="00C70CB3"/>
    <w:rsid w:val="00C737E3"/>
    <w:rsid w:val="00C7419E"/>
    <w:rsid w:val="00C874C0"/>
    <w:rsid w:val="00C96865"/>
    <w:rsid w:val="00CA2FF5"/>
    <w:rsid w:val="00CA3088"/>
    <w:rsid w:val="00CA767E"/>
    <w:rsid w:val="00CA7E14"/>
    <w:rsid w:val="00CB49DA"/>
    <w:rsid w:val="00CC4FDA"/>
    <w:rsid w:val="00CC6A8B"/>
    <w:rsid w:val="00CD1CF0"/>
    <w:rsid w:val="00CD6358"/>
    <w:rsid w:val="00CF1D2A"/>
    <w:rsid w:val="00CF4BA7"/>
    <w:rsid w:val="00D01335"/>
    <w:rsid w:val="00D03EC6"/>
    <w:rsid w:val="00D16374"/>
    <w:rsid w:val="00D3312B"/>
    <w:rsid w:val="00D36ED2"/>
    <w:rsid w:val="00D37865"/>
    <w:rsid w:val="00D57367"/>
    <w:rsid w:val="00D713E7"/>
    <w:rsid w:val="00D84AE3"/>
    <w:rsid w:val="00D92A34"/>
    <w:rsid w:val="00DA03EE"/>
    <w:rsid w:val="00DB085B"/>
    <w:rsid w:val="00DB278C"/>
    <w:rsid w:val="00DC485E"/>
    <w:rsid w:val="00DC59DE"/>
    <w:rsid w:val="00DD6635"/>
    <w:rsid w:val="00DE04AA"/>
    <w:rsid w:val="00DF39B6"/>
    <w:rsid w:val="00E21156"/>
    <w:rsid w:val="00E233F5"/>
    <w:rsid w:val="00E31E0D"/>
    <w:rsid w:val="00E32FA6"/>
    <w:rsid w:val="00E572E6"/>
    <w:rsid w:val="00E57C9D"/>
    <w:rsid w:val="00E66CCD"/>
    <w:rsid w:val="00E7099C"/>
    <w:rsid w:val="00E73D7F"/>
    <w:rsid w:val="00E76AD8"/>
    <w:rsid w:val="00E81F3D"/>
    <w:rsid w:val="00E8358F"/>
    <w:rsid w:val="00E83FC3"/>
    <w:rsid w:val="00E84EB5"/>
    <w:rsid w:val="00EA32CA"/>
    <w:rsid w:val="00EA650C"/>
    <w:rsid w:val="00EC3621"/>
    <w:rsid w:val="00EC78E1"/>
    <w:rsid w:val="00ED2010"/>
    <w:rsid w:val="00EE23CC"/>
    <w:rsid w:val="00EF2F5D"/>
    <w:rsid w:val="00F06CDE"/>
    <w:rsid w:val="00F21CA9"/>
    <w:rsid w:val="00F24096"/>
    <w:rsid w:val="00F249CD"/>
    <w:rsid w:val="00F414EF"/>
    <w:rsid w:val="00F47542"/>
    <w:rsid w:val="00F55F7C"/>
    <w:rsid w:val="00F948E9"/>
    <w:rsid w:val="00FA694F"/>
    <w:rsid w:val="00FB351B"/>
    <w:rsid w:val="00FC0187"/>
    <w:rsid w:val="00FD29EB"/>
    <w:rsid w:val="00FD5AD2"/>
    <w:rsid w:val="00FE3721"/>
    <w:rsid w:val="00FE4789"/>
    <w:rsid w:val="00FF1720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24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BA494C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3200B1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816731"/>
    <w:pPr>
      <w:spacing w:after="260" w:line="260" w:lineRule="exact"/>
    </w:pPr>
    <w:rPr>
      <w:rFonts w:ascii="Arial" w:hAnsi="Arial" w:cs="Arial"/>
      <w:sz w:val="20"/>
      <w:szCs w:val="20"/>
      <w:lang w:eastAsia="sk-SK" w:bidi="sk-SK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3200B1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3200B1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3200B1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3200B1"/>
    <w:pPr>
      <w:spacing w:after="0" w:line="220" w:lineRule="exact"/>
    </w:pPr>
    <w:rPr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816731"/>
    <w:rPr>
      <w:rFonts w:ascii="Arial" w:hAnsi="Arial" w:cs="Arial"/>
      <w:sz w:val="20"/>
      <w:szCs w:val="20"/>
      <w:lang w:val="sk-SK" w:eastAsia="sk-SK" w:bidi="sk-SK"/>
    </w:rPr>
  </w:style>
  <w:style w:type="character" w:customStyle="1" w:styleId="newsNotesChar">
    <w:name w:val="newsNotes Char"/>
    <w:basedOn w:val="newsContentChar"/>
    <w:link w:val="newsNotes"/>
    <w:rsid w:val="003200B1"/>
    <w:rPr>
      <w:rFonts w:ascii="Arial" w:hAnsi="Arial" w:cs="Arial"/>
      <w:color w:val="000000" w:themeColor="text1"/>
      <w:sz w:val="17"/>
      <w:szCs w:val="20"/>
      <w:lang w:val="sk-SK" w:eastAsia="sk-SK" w:bidi="sk-SK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Arial"/>
      <w:color w:val="000000" w:themeColor="text1"/>
      <w:sz w:val="17"/>
      <w:szCs w:val="20"/>
      <w:vertAlign w:val="superscript"/>
      <w:lang w:val="sk-SK" w:eastAsia="sk-SK" w:bidi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397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9E3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9E3"/>
    <w:rPr>
      <w:b/>
      <w:bCs/>
      <w:sz w:val="20"/>
      <w:szCs w:val="20"/>
      <w:lang w:val="sk-SK"/>
    </w:rPr>
  </w:style>
  <w:style w:type="character" w:customStyle="1" w:styleId="A20">
    <w:name w:val="A20"/>
    <w:uiPriority w:val="99"/>
    <w:rsid w:val="00484D26"/>
    <w:rPr>
      <w:rFonts w:cs="Trivia Sans Medium"/>
      <w:color w:val="52525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mcdda.europa.eu/publications/emcdda-papers/exploring-methamphetamine-trends-in-Europ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urosurveillance.org/ViewArticle.aspx?ArticleId=2064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c.europa.eu/public_opinion/flash/fl_330_e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cdda.europa.eu/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cdda.europa.eu/publications/implementation-reports/2013" TargetMode="External"/><Relationship Id="rId10" Type="http://schemas.openxmlformats.org/officeDocument/2006/relationships/hyperlink" Target="http://www.emcdda.europa.eu/edr201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mcdda.europa.eu/news/2014/europol-emcdda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Temporary%20Internet%20Files\Content.Outlook\PS6Z0LB2\news-release-SK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C0CA-1F71-44D2-9128-2E9BA825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news-release-SK (2)</Template>
  <TotalTime>20</TotalTime>
  <Pages>5</Pages>
  <Words>2673</Words>
  <Characters>15238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News release SK</vt:lpstr>
      <vt:lpstr>News release SK</vt:lpstr>
    </vt:vector>
  </TitlesOfParts>
  <Manager>EMCDDA</Manager>
  <Company>Translation Centre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SK</dc:title>
  <dc:subject>News release SK</dc:subject>
  <dc:creator>Translation Centre</dc:creator>
  <cp:lastModifiedBy>Kathryn Robertson</cp:lastModifiedBy>
  <cp:revision>5</cp:revision>
  <cp:lastPrinted>2014-04-04T12:51:00Z</cp:lastPrinted>
  <dcterms:created xsi:type="dcterms:W3CDTF">2014-05-19T12:25:00Z</dcterms:created>
  <dcterms:modified xsi:type="dcterms:W3CDTF">2014-05-19T15:30:00Z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SK</vt:lpwstr>
  </property>
</Properties>
</file>