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C527A" w:rsidTr="00025C96">
        <w:trPr>
          <w:trHeight w:val="1695"/>
        </w:trPr>
        <w:tc>
          <w:tcPr>
            <w:tcW w:w="2331" w:type="pct"/>
          </w:tcPr>
          <w:p w:rsidR="00EE23CC" w:rsidRPr="00FC527A" w:rsidRDefault="00EE23CC" w:rsidP="00025C96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3C7A869D" wp14:editId="438B09C7">
                  <wp:extent cx="2691386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38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C527A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C527A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C527A" w:rsidRDefault="001F70B4" w:rsidP="001F70B4">
            <w:r w:rsidRPr="00FC527A">
              <w:rPr>
                <w:noProof/>
                <w:lang w:val="en-GB" w:eastAsia="en-GB"/>
              </w:rPr>
              <w:drawing>
                <wp:inline distT="0" distB="0" distL="0" distR="0" wp14:anchorId="480301D7" wp14:editId="366A7A2F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903" w:rsidRPr="00AE1151" w:rsidRDefault="00333903" w:rsidP="00192E2E">
      <w:pPr>
        <w:pStyle w:val="newsTitle"/>
        <w:rPr>
          <w:b/>
        </w:rPr>
      </w:pPr>
      <w:r w:rsidRPr="00141DF2">
        <w:t>AS DROGAS NUM MERCADO EUROPEU EM</w:t>
      </w:r>
      <w:r w:rsidR="00893DF0" w:rsidRPr="00141DF2">
        <w:t xml:space="preserve"> Transformação</w:t>
      </w:r>
      <w:r w:rsidRPr="00141DF2">
        <w:t xml:space="preserve"> — ANÁLISE</w:t>
      </w:r>
      <w:r w:rsidR="00D17289" w:rsidRPr="00141DF2">
        <w:t xml:space="preserve"> de 2014</w:t>
      </w:r>
      <w:r w:rsidRPr="00AE1151">
        <w:t xml:space="preserve"> </w:t>
      </w:r>
    </w:p>
    <w:p w:rsidR="00333903" w:rsidRPr="00FE01DA" w:rsidRDefault="00333903" w:rsidP="00333903">
      <w:pPr>
        <w:pStyle w:val="newsSubTitle"/>
      </w:pPr>
      <w:r w:rsidRPr="00FE01DA">
        <w:t>Relatório Europeu sobre Droga</w:t>
      </w:r>
      <w:r w:rsidR="00DB73C0">
        <w:t>s</w:t>
      </w:r>
      <w:r w:rsidR="00F777DA">
        <w:t xml:space="preserve"> </w:t>
      </w:r>
      <w:r w:rsidRPr="00FE01DA">
        <w:t>hoje</w:t>
      </w:r>
      <w:r w:rsidR="00DB73C0">
        <w:t xml:space="preserve"> publicado</w:t>
      </w:r>
      <w:r w:rsidR="00F777DA">
        <w:t>: fenómeno</w:t>
      </w:r>
      <w:r w:rsidR="00822F1D">
        <w:t xml:space="preserve"> </w:t>
      </w:r>
      <w:r>
        <w:t>d</w:t>
      </w:r>
      <w:r w:rsidR="000C2FA1">
        <w:t>a</w:t>
      </w:r>
      <w:r w:rsidR="00822F1D">
        <w:t>s</w:t>
      </w:r>
      <w:r>
        <w:t xml:space="preserve"> droga</w:t>
      </w:r>
      <w:r w:rsidR="00822F1D">
        <w:t>s</w:t>
      </w:r>
      <w:r>
        <w:t xml:space="preserve"> </w:t>
      </w:r>
      <w:r w:rsidR="000C2FA1">
        <w:t>n</w:t>
      </w:r>
      <w:r>
        <w:t xml:space="preserve">a </w:t>
      </w:r>
      <w:r w:rsidRPr="00FE01DA">
        <w:t>Europ</w:t>
      </w:r>
      <w:r>
        <w:t>a</w:t>
      </w:r>
      <w:r w:rsidR="00D30212">
        <w:t xml:space="preserve"> </w:t>
      </w:r>
      <w:r>
        <w:t>«cada vez mais complexo»</w:t>
      </w:r>
    </w:p>
    <w:p w:rsidR="00333903" w:rsidRPr="00DA78E6" w:rsidRDefault="00333903" w:rsidP="00333903">
      <w:pPr>
        <w:pStyle w:val="newsContent"/>
      </w:pPr>
      <w:r w:rsidRPr="0002147B">
        <w:t xml:space="preserve">(27.5.2014, LISBOA </w:t>
      </w:r>
      <w:r w:rsidR="00D17289">
        <w:t xml:space="preserve">SOB </w:t>
      </w:r>
      <w:r w:rsidRPr="0002147B">
        <w:rPr>
          <w:color w:val="FF0000"/>
        </w:rPr>
        <w:t xml:space="preserve">EMBARGO </w:t>
      </w:r>
      <w:r w:rsidR="00D17289">
        <w:rPr>
          <w:color w:val="FF0000"/>
        </w:rPr>
        <w:t xml:space="preserve">até às </w:t>
      </w:r>
      <w:r w:rsidRPr="0002147B">
        <w:rPr>
          <w:color w:val="FF0000"/>
        </w:rPr>
        <w:t xml:space="preserve">10:00 </w:t>
      </w:r>
      <w:r w:rsidR="00D17289">
        <w:rPr>
          <w:color w:val="FF0000"/>
        </w:rPr>
        <w:t>UTC</w:t>
      </w:r>
      <w:r w:rsidRPr="0002147B">
        <w:rPr>
          <w:color w:val="FF0000"/>
        </w:rPr>
        <w:t>/</w:t>
      </w:r>
      <w:r w:rsidR="00D17289">
        <w:rPr>
          <w:color w:val="FF0000"/>
        </w:rPr>
        <w:t>hora de Lisboa</w:t>
      </w:r>
      <w:r w:rsidRPr="0002147B">
        <w:t xml:space="preserve">) </w:t>
      </w:r>
      <w:r w:rsidR="000C2FA1">
        <w:t>O</w:t>
      </w:r>
      <w:r w:rsidRPr="0002147B">
        <w:t xml:space="preserve"> </w:t>
      </w:r>
      <w:r w:rsidR="00F777DA">
        <w:t>fenómeno das</w:t>
      </w:r>
      <w:r w:rsidRPr="0002147B">
        <w:t xml:space="preserve"> droga</w:t>
      </w:r>
      <w:r w:rsidR="00822F1D">
        <w:t>s</w:t>
      </w:r>
      <w:r w:rsidRPr="0002147B">
        <w:t xml:space="preserve"> </w:t>
      </w:r>
      <w:r w:rsidR="000C2FA1">
        <w:t>n</w:t>
      </w:r>
      <w:r w:rsidRPr="0002147B">
        <w:t xml:space="preserve">a Europa está a tornar-se cada vez mais complexo </w:t>
      </w:r>
      <w:r>
        <w:t xml:space="preserve">e a </w:t>
      </w:r>
      <w:r w:rsidR="006B5A4D">
        <w:t>gerar</w:t>
      </w:r>
      <w:r>
        <w:t xml:space="preserve"> </w:t>
      </w:r>
      <w:r w:rsidRPr="0002147B">
        <w:t>desafios</w:t>
      </w:r>
      <w:r w:rsidR="00822F1D">
        <w:t xml:space="preserve"> emergentes</w:t>
      </w:r>
      <w:r w:rsidRPr="0002147B">
        <w:t xml:space="preserve"> </w:t>
      </w:r>
      <w:r w:rsidR="00F777DA" w:rsidRPr="0002147B">
        <w:t xml:space="preserve">que </w:t>
      </w:r>
      <w:r w:rsidR="00F777DA">
        <w:t>suscitam</w:t>
      </w:r>
      <w:r w:rsidR="00822F1D">
        <w:t xml:space="preserve"> </w:t>
      </w:r>
      <w:r w:rsidR="00F777DA">
        <w:t>preocupações para</w:t>
      </w:r>
      <w:r w:rsidR="00C95271">
        <w:t xml:space="preserve"> a saúde </w:t>
      </w:r>
      <w:r>
        <w:t>pública</w:t>
      </w:r>
      <w:r w:rsidRPr="0002147B">
        <w:t xml:space="preserve">. </w:t>
      </w:r>
      <w:r w:rsidR="00F777DA" w:rsidRPr="005C09DB">
        <w:t xml:space="preserve">É </w:t>
      </w:r>
      <w:r w:rsidR="00F777DA">
        <w:t>o</w:t>
      </w:r>
      <w:r w:rsidRPr="005C09DB">
        <w:t xml:space="preserve"> que afirma o </w:t>
      </w:r>
      <w:r w:rsidRPr="005C09DB">
        <w:rPr>
          <w:b/>
          <w:i/>
        </w:rPr>
        <w:t>Relatório Europeu sobre Drogas 2014: Tend</w:t>
      </w:r>
      <w:r>
        <w:rPr>
          <w:b/>
          <w:i/>
        </w:rPr>
        <w:t>ências e evoluções</w:t>
      </w:r>
      <w:r w:rsidR="00122CAA">
        <w:t xml:space="preserve">, </w:t>
      </w:r>
      <w:r w:rsidR="00F777DA">
        <w:t>hoje publicado</w:t>
      </w:r>
      <w:r w:rsidR="00D17289">
        <w:t xml:space="preserve"> em Lisboa</w:t>
      </w:r>
      <w:r>
        <w:t xml:space="preserve"> pela </w:t>
      </w:r>
      <w:r>
        <w:rPr>
          <w:b/>
        </w:rPr>
        <w:t xml:space="preserve">agência da UE de informação sobre droga </w:t>
      </w:r>
      <w:r w:rsidRPr="005C09DB">
        <w:rPr>
          <w:b/>
        </w:rPr>
        <w:t>(EMCDDA)</w:t>
      </w:r>
      <w:r w:rsidRPr="005C09DB">
        <w:t>(</w:t>
      </w:r>
      <w:r w:rsidRPr="005C09DB">
        <w:rPr>
          <w:vertAlign w:val="superscript"/>
        </w:rPr>
        <w:t>1</w:t>
      </w:r>
      <w:r w:rsidRPr="005C09DB">
        <w:t xml:space="preserve">). </w:t>
      </w:r>
      <w:r w:rsidRPr="003A68E8">
        <w:t xml:space="preserve">Na sua análise anual </w:t>
      </w:r>
      <w:r w:rsidR="00011F6B">
        <w:t xml:space="preserve">sobre </w:t>
      </w:r>
      <w:r w:rsidR="00F777DA">
        <w:t xml:space="preserve">o </w:t>
      </w:r>
      <w:r w:rsidR="00F777DA" w:rsidRPr="003A68E8">
        <w:t>problema</w:t>
      </w:r>
      <w:r w:rsidR="00822F1D">
        <w:t xml:space="preserve"> </w:t>
      </w:r>
      <w:r w:rsidRPr="003A68E8">
        <w:t>da</w:t>
      </w:r>
      <w:r w:rsidR="00822F1D">
        <w:t>s</w:t>
      </w:r>
      <w:r w:rsidRPr="003A68E8">
        <w:t xml:space="preserve"> droga</w:t>
      </w:r>
      <w:r w:rsidR="00822F1D">
        <w:t>s</w:t>
      </w:r>
      <w:r w:rsidRPr="003A68E8">
        <w:t>, a agência volta a descrever uma situaç</w:t>
      </w:r>
      <w:r>
        <w:t xml:space="preserve">ão globalmente estável, com alguns sinais positivos em relação às drogas mais tradicionais. </w:t>
      </w:r>
      <w:r w:rsidR="001C4FEF">
        <w:t xml:space="preserve">                  </w:t>
      </w:r>
      <w:r w:rsidR="00822F1D">
        <w:t>No entanto, e</w:t>
      </w:r>
      <w:r w:rsidR="00D30212">
        <w:t xml:space="preserve">sses </w:t>
      </w:r>
      <w:r w:rsidRPr="003A68E8">
        <w:t xml:space="preserve">sinais são contrabalançados </w:t>
      </w:r>
      <w:r w:rsidR="00011F6B">
        <w:t>por</w:t>
      </w:r>
      <w:r w:rsidR="00011F6B" w:rsidRPr="003A68E8">
        <w:t xml:space="preserve"> </w:t>
      </w:r>
      <w:r w:rsidRPr="003A68E8">
        <w:t xml:space="preserve">ameaças </w:t>
      </w:r>
      <w:r w:rsidR="00011F6B">
        <w:t>que surgem relacionadas com</w:t>
      </w:r>
      <w:r w:rsidR="00D30212">
        <w:t xml:space="preserve"> </w:t>
      </w:r>
      <w:r w:rsidRPr="003A68E8">
        <w:t>drogas sint</w:t>
      </w:r>
      <w:r>
        <w:t xml:space="preserve">éticas, </w:t>
      </w:r>
      <w:r w:rsidR="00547CA6">
        <w:t>incluindo</w:t>
      </w:r>
      <w:r w:rsidR="00C95271">
        <w:t xml:space="preserve"> </w:t>
      </w:r>
      <w:r>
        <w:t xml:space="preserve">estimulantes, novas substâncias psicoativas </w:t>
      </w:r>
      <w:r w:rsidR="00F777DA">
        <w:t>e produtos</w:t>
      </w:r>
      <w:r w:rsidR="00822F1D">
        <w:t xml:space="preserve"> medicinais</w:t>
      </w:r>
      <w:r>
        <w:t xml:space="preserve">, </w:t>
      </w:r>
      <w:r w:rsidR="00547CA6">
        <w:t>que</w:t>
      </w:r>
      <w:r w:rsidR="00C95271">
        <w:t xml:space="preserve"> </w:t>
      </w:r>
      <w:r w:rsidR="00D30212">
        <w:t xml:space="preserve">estão a </w:t>
      </w:r>
      <w:r w:rsidR="00011F6B">
        <w:t>tornar-se mais importantes</w:t>
      </w:r>
      <w:r>
        <w:t xml:space="preserve"> num mercado de droga europeu em</w:t>
      </w:r>
      <w:r w:rsidR="00893DF0">
        <w:t xml:space="preserve"> transformação</w:t>
      </w:r>
      <w:r w:rsidRPr="00DA78E6">
        <w:t>.</w:t>
      </w:r>
    </w:p>
    <w:p w:rsidR="00333903" w:rsidRPr="00DA78E6" w:rsidRDefault="00333903" w:rsidP="00333903">
      <w:pPr>
        <w:pStyle w:val="newsContent"/>
      </w:pPr>
      <w:r w:rsidRPr="00DA78E6">
        <w:rPr>
          <w:b/>
        </w:rPr>
        <w:t xml:space="preserve">A Comissária Europeia dos Assuntos Internos, Cecilia </w:t>
      </w:r>
      <w:r w:rsidR="00F777DA" w:rsidRPr="00DA78E6">
        <w:rPr>
          <w:b/>
        </w:rPr>
        <w:t>Malmström</w:t>
      </w:r>
      <w:r w:rsidR="00F777DA" w:rsidRPr="00352EA3">
        <w:t>,</w:t>
      </w:r>
      <w:r w:rsidR="00F777DA" w:rsidRPr="00DA78E6">
        <w:t xml:space="preserve"> </w:t>
      </w:r>
      <w:r w:rsidR="00F777DA">
        <w:t>afirma</w:t>
      </w:r>
      <w:r w:rsidRPr="00DA78E6">
        <w:t xml:space="preserve">: «Estou muito preocupada </w:t>
      </w:r>
      <w:r>
        <w:t>com a possibilidade d</w:t>
      </w:r>
      <w:r w:rsidRPr="00DA78E6">
        <w:t xml:space="preserve">as drogas </w:t>
      </w:r>
      <w:r>
        <w:t xml:space="preserve">atualmente </w:t>
      </w:r>
      <w:r w:rsidRPr="00DA78E6">
        <w:t xml:space="preserve">consumidas na Europa </w:t>
      </w:r>
      <w:r>
        <w:t xml:space="preserve">serem ainda mais prejudiciais para a saúde dos consumidores do que </w:t>
      </w:r>
      <w:r w:rsidR="00D054B3">
        <w:t xml:space="preserve">eram </w:t>
      </w:r>
      <w:r w:rsidR="00D52AC2">
        <w:t>n</w:t>
      </w:r>
      <w:r w:rsidR="00C95271">
        <w:t>o passado</w:t>
      </w:r>
      <w:r>
        <w:t xml:space="preserve">. </w:t>
      </w:r>
      <w:r w:rsidRPr="00DA78E6">
        <w:t xml:space="preserve">Há indícios de que </w:t>
      </w:r>
      <w:r w:rsidR="00C95271">
        <w:t>a potência d</w:t>
      </w:r>
      <w:r w:rsidRPr="00DA78E6">
        <w:t xml:space="preserve">o </w:t>
      </w:r>
      <w:r w:rsidRPr="00DA78E6">
        <w:rPr>
          <w:i/>
        </w:rPr>
        <w:t>ecstasy</w:t>
      </w:r>
      <w:r w:rsidRPr="00DA78E6">
        <w:t xml:space="preserve"> e </w:t>
      </w:r>
      <w:r w:rsidR="00F777DA">
        <w:t>d</w:t>
      </w:r>
      <w:r w:rsidR="00F777DA" w:rsidRPr="00DA78E6">
        <w:t xml:space="preserve">a </w:t>
      </w:r>
      <w:r w:rsidR="00F171D4">
        <w:rPr>
          <w:i/>
        </w:rPr>
        <w:t xml:space="preserve"> cannabis</w:t>
      </w:r>
      <w:r w:rsidRPr="00DA78E6">
        <w:t xml:space="preserve"> vendidos na</w:t>
      </w:r>
      <w:r w:rsidR="00D52AC2">
        <w:t>s</w:t>
      </w:r>
      <w:r w:rsidRPr="00DA78E6">
        <w:t xml:space="preserve"> rua</w:t>
      </w:r>
      <w:r w:rsidR="00D52AC2">
        <w:t>s</w:t>
      </w:r>
      <w:r w:rsidRPr="00DA78E6">
        <w:t xml:space="preserve"> est</w:t>
      </w:r>
      <w:r w:rsidR="00C95271">
        <w:t>á a aumentar</w:t>
      </w:r>
      <w:r>
        <w:t xml:space="preserve">. </w:t>
      </w:r>
      <w:r w:rsidR="00547CA6">
        <w:t xml:space="preserve">Verifico </w:t>
      </w:r>
      <w:r>
        <w:t xml:space="preserve">também que o </w:t>
      </w:r>
      <w:r w:rsidRPr="001924B7">
        <w:rPr>
          <w:b/>
        </w:rPr>
        <w:t>Sistema de</w:t>
      </w:r>
      <w:r>
        <w:t xml:space="preserve"> </w:t>
      </w:r>
      <w:r w:rsidRPr="001924B7">
        <w:rPr>
          <w:b/>
        </w:rPr>
        <w:t>Alerta Rápido da UE</w:t>
      </w:r>
      <w:r>
        <w:t xml:space="preserve">, a nossa primeira linha de defesa contra </w:t>
      </w:r>
      <w:r w:rsidR="00F777DA">
        <w:t>as drogas</w:t>
      </w:r>
      <w:r w:rsidR="00815562">
        <w:t xml:space="preserve"> </w:t>
      </w:r>
      <w:r w:rsidR="00F777DA">
        <w:t>emergentes, está</w:t>
      </w:r>
      <w:r w:rsidR="00815562">
        <w:t xml:space="preserve"> sob pressão </w:t>
      </w:r>
      <w:r w:rsidR="00F777DA">
        <w:t>crescente dado</w:t>
      </w:r>
      <w:r w:rsidR="00815562">
        <w:t xml:space="preserve"> que o</w:t>
      </w:r>
      <w:r w:rsidR="00515CA2">
        <w:t xml:space="preserve"> </w:t>
      </w:r>
      <w:r>
        <w:t xml:space="preserve">número e </w:t>
      </w:r>
      <w:r w:rsidR="00040370">
        <w:t>a</w:t>
      </w:r>
      <w:r w:rsidR="00515CA2">
        <w:t xml:space="preserve"> </w:t>
      </w:r>
      <w:r>
        <w:t>diversidade</w:t>
      </w:r>
      <w:r w:rsidR="00515CA2">
        <w:t xml:space="preserve"> </w:t>
      </w:r>
      <w:r w:rsidR="00011F6B">
        <w:t xml:space="preserve">destas </w:t>
      </w:r>
      <w:r w:rsidR="00815562">
        <w:t xml:space="preserve">substâncias continua a aumentar </w:t>
      </w:r>
      <w:r w:rsidR="00F777DA">
        <w:t>acentuadamente.</w:t>
      </w:r>
      <w:r>
        <w:t xml:space="preserve"> </w:t>
      </w:r>
      <w:r w:rsidR="00515CA2">
        <w:t>Este ano, o</w:t>
      </w:r>
      <w:r w:rsidR="00C95271">
        <w:t xml:space="preserve"> </w:t>
      </w:r>
      <w:r>
        <w:t>sistema</w:t>
      </w:r>
      <w:r w:rsidRPr="00DA78E6">
        <w:t xml:space="preserve"> já analisou quatro </w:t>
      </w:r>
      <w:r w:rsidR="00805906" w:rsidRPr="00DA78E6">
        <w:t xml:space="preserve">novas </w:t>
      </w:r>
      <w:r w:rsidRPr="00DA78E6">
        <w:t>substâncias associadas a intoxicaç</w:t>
      </w:r>
      <w:r w:rsidR="00805906">
        <w:t>ões</w:t>
      </w:r>
      <w:r w:rsidR="00C95271">
        <w:t xml:space="preserve"> </w:t>
      </w:r>
      <w:r>
        <w:t>aguda</w:t>
      </w:r>
      <w:r w:rsidR="00805906">
        <w:t>s</w:t>
      </w:r>
      <w:r>
        <w:t xml:space="preserve"> e morte</w:t>
      </w:r>
      <w:r w:rsidR="00805906">
        <w:t xml:space="preserve">s </w:t>
      </w:r>
      <w:r w:rsidR="00515CA2">
        <w:t>ocorridas</w:t>
      </w:r>
      <w:r>
        <w:t xml:space="preserve"> nos Estados</w:t>
      </w:r>
      <w:r>
        <w:noBreakHyphen/>
        <w:t>Membros»</w:t>
      </w:r>
      <w:r w:rsidR="00515CA2">
        <w:t>.</w:t>
      </w:r>
    </w:p>
    <w:p w:rsidR="00333903" w:rsidRPr="00352EA3" w:rsidRDefault="00547CA6" w:rsidP="00333903">
      <w:pPr>
        <w:pStyle w:val="newsContent"/>
      </w:pPr>
      <w:r>
        <w:t>A</w:t>
      </w:r>
      <w:r w:rsidR="00333903" w:rsidRPr="00E4066C">
        <w:rPr>
          <w:b/>
        </w:rPr>
        <w:t xml:space="preserve"> Comissária Malmström</w:t>
      </w:r>
      <w:r w:rsidR="00333903" w:rsidRPr="00E4066C">
        <w:t xml:space="preserve"> acrescenta: «Os organismos responsáveis pela</w:t>
      </w:r>
      <w:r w:rsidR="004317D9">
        <w:t xml:space="preserve"> aplicação da lei na Europa s</w:t>
      </w:r>
      <w:r w:rsidR="00333903" w:rsidRPr="00E4066C">
        <w:t xml:space="preserve">ão cada vez mais confrontados com o facto de </w:t>
      </w:r>
      <w:r w:rsidR="00570A8C">
        <w:t xml:space="preserve">pequenos </w:t>
      </w:r>
      <w:r w:rsidR="00333903">
        <w:t>pacotes</w:t>
      </w:r>
      <w:r w:rsidR="00805906">
        <w:t xml:space="preserve"> </w:t>
      </w:r>
      <w:r w:rsidR="00333903">
        <w:t>de</w:t>
      </w:r>
      <w:r w:rsidR="00570A8C">
        <w:t xml:space="preserve"> fácil</w:t>
      </w:r>
      <w:r w:rsidR="00333903">
        <w:t xml:space="preserve"> transport</w:t>
      </w:r>
      <w:r w:rsidR="00570A8C">
        <w:t>e</w:t>
      </w:r>
      <w:r w:rsidR="00805906">
        <w:t>,</w:t>
      </w:r>
      <w:r w:rsidR="00333903">
        <w:t xml:space="preserve"> </w:t>
      </w:r>
      <w:r w:rsidR="00805906">
        <w:t xml:space="preserve">contendo </w:t>
      </w:r>
      <w:r w:rsidR="00333903">
        <w:t>pós aparentemente inócuos, pode</w:t>
      </w:r>
      <w:r w:rsidR="00805906">
        <w:t>re</w:t>
      </w:r>
      <w:r w:rsidR="00333903">
        <w:t xml:space="preserve">m </w:t>
      </w:r>
      <w:r w:rsidR="00805906">
        <w:t xml:space="preserve">dar origem a </w:t>
      </w:r>
      <w:r w:rsidR="00333903">
        <w:t xml:space="preserve">muitos milhares de doses individuais. </w:t>
      </w:r>
      <w:r w:rsidR="00011F6B">
        <w:t>Esta</w:t>
      </w:r>
      <w:r w:rsidR="00333903" w:rsidRPr="00E12A76">
        <w:t xml:space="preserve"> análise anual do EMCDDA </w:t>
      </w:r>
      <w:r w:rsidR="00011F6B">
        <w:t>faculta-nos</w:t>
      </w:r>
      <w:r w:rsidR="00333903" w:rsidRPr="00E12A76">
        <w:t xml:space="preserve"> uma perspetiva extremamente importante </w:t>
      </w:r>
      <w:r w:rsidR="00E15E3B">
        <w:t xml:space="preserve">sobre </w:t>
      </w:r>
      <w:r w:rsidR="00805906">
        <w:t xml:space="preserve">a </w:t>
      </w:r>
      <w:r w:rsidR="00333903">
        <w:t>evolução do fenómeno da</w:t>
      </w:r>
      <w:r w:rsidR="00E15E3B">
        <w:t>s</w:t>
      </w:r>
      <w:r w:rsidR="00333903">
        <w:t xml:space="preserve"> droga</w:t>
      </w:r>
      <w:r w:rsidR="00E15E3B">
        <w:t>s</w:t>
      </w:r>
      <w:r w:rsidR="00333903">
        <w:t xml:space="preserve"> na </w:t>
      </w:r>
      <w:r w:rsidR="00333903" w:rsidRPr="00E12A76">
        <w:t>Europ</w:t>
      </w:r>
      <w:r w:rsidR="00333903">
        <w:t xml:space="preserve">a. </w:t>
      </w:r>
      <w:r w:rsidR="00490572">
        <w:t>I</w:t>
      </w:r>
      <w:r w:rsidR="00805906">
        <w:t>mporta agora</w:t>
      </w:r>
      <w:r w:rsidR="00490572">
        <w:t xml:space="preserve"> </w:t>
      </w:r>
      <w:r w:rsidR="00003024">
        <w:t xml:space="preserve">que </w:t>
      </w:r>
      <w:r w:rsidR="00333903">
        <w:t>es</w:t>
      </w:r>
      <w:r w:rsidR="00003024">
        <w:t xml:space="preserve">ta informação contribua para a </w:t>
      </w:r>
      <w:r w:rsidR="00333903">
        <w:t xml:space="preserve">aplicação da lei, </w:t>
      </w:r>
      <w:r w:rsidR="00805906">
        <w:t xml:space="preserve">bem como </w:t>
      </w:r>
      <w:r w:rsidR="00003024">
        <w:t xml:space="preserve">para </w:t>
      </w:r>
      <w:r w:rsidR="00333903">
        <w:t>a prevenção e o tratamento da toxicodependência. É essencial utiliz</w:t>
      </w:r>
      <w:r w:rsidR="00805906">
        <w:t>ar</w:t>
      </w:r>
      <w:r w:rsidR="00333903">
        <w:t xml:space="preserve">mos estes dados </w:t>
      </w:r>
      <w:r w:rsidR="00805906">
        <w:t xml:space="preserve">de modo a </w:t>
      </w:r>
      <w:r w:rsidR="00B95569">
        <w:t>garantir</w:t>
      </w:r>
      <w:r w:rsidR="00333903">
        <w:t xml:space="preserve"> que a resposta das autoridades europeias </w:t>
      </w:r>
      <w:r w:rsidR="00B95569">
        <w:t>consegue acompanhar</w:t>
      </w:r>
      <w:r w:rsidR="00333903">
        <w:t xml:space="preserve"> a evolução dos </w:t>
      </w:r>
      <w:r w:rsidR="00F777DA">
        <w:t>desafios que enfrentamos</w:t>
      </w:r>
      <w:r w:rsidR="00333903">
        <w:t>»</w:t>
      </w:r>
      <w:r w:rsidR="00333903" w:rsidRPr="00352EA3">
        <w:t xml:space="preserve">.  </w:t>
      </w:r>
    </w:p>
    <w:p w:rsidR="00333903" w:rsidRPr="00AD2DF9" w:rsidRDefault="00333903" w:rsidP="00333903">
      <w:pPr>
        <w:pStyle w:val="newsContent"/>
      </w:pPr>
      <w:r w:rsidRPr="009A7D6C">
        <w:rPr>
          <w:b/>
        </w:rPr>
        <w:t>Wolfgang Götz</w:t>
      </w:r>
      <w:r w:rsidRPr="009A7D6C">
        <w:t xml:space="preserve">, </w:t>
      </w:r>
      <w:r w:rsidRPr="009A7D6C">
        <w:rPr>
          <w:b/>
        </w:rPr>
        <w:t>Diretor do EMCDDA</w:t>
      </w:r>
      <w:r w:rsidRPr="009A7D6C">
        <w:t>,</w:t>
      </w:r>
      <w:r w:rsidRPr="009A7D6C">
        <w:rPr>
          <w:b/>
        </w:rPr>
        <w:t xml:space="preserve"> </w:t>
      </w:r>
      <w:r w:rsidR="00B95569">
        <w:t>salienta</w:t>
      </w:r>
      <w:r w:rsidRPr="009A7D6C">
        <w:t>: «</w:t>
      </w:r>
      <w:r w:rsidR="00011F6B">
        <w:t>Na generalidade</w:t>
      </w:r>
      <w:r w:rsidR="007260D0">
        <w:t>, v</w:t>
      </w:r>
      <w:r>
        <w:t xml:space="preserve">erificamos que </w:t>
      </w:r>
      <w:r w:rsidR="00EF317A">
        <w:t xml:space="preserve">se </w:t>
      </w:r>
      <w:r w:rsidR="00011F6B">
        <w:t xml:space="preserve">fizeram </w:t>
      </w:r>
      <w:r w:rsidRPr="009A7D6C">
        <w:t>progressos</w:t>
      </w:r>
      <w:r w:rsidR="00365E1C">
        <w:t xml:space="preserve"> na Europa</w:t>
      </w:r>
      <w:r w:rsidRPr="009A7D6C">
        <w:t xml:space="preserve"> </w:t>
      </w:r>
      <w:r w:rsidR="00547CA6">
        <w:t xml:space="preserve">relativamente a </w:t>
      </w:r>
      <w:r>
        <w:t xml:space="preserve">alguns dos principais objetivos </w:t>
      </w:r>
      <w:r w:rsidR="007D0ACB">
        <w:t>de saúde pública estabelecidos n</w:t>
      </w:r>
      <w:r>
        <w:t>o passado</w:t>
      </w:r>
      <w:r w:rsidR="00365E1C">
        <w:t>.</w:t>
      </w:r>
      <w:r>
        <w:t xml:space="preserve"> </w:t>
      </w:r>
      <w:r w:rsidR="00365E1C">
        <w:t>M</w:t>
      </w:r>
      <w:r>
        <w:t xml:space="preserve">as </w:t>
      </w:r>
      <w:r w:rsidR="00011F6B">
        <w:t>esta visão a nível europeu</w:t>
      </w:r>
      <w:r>
        <w:t xml:space="preserve"> pode o</w:t>
      </w:r>
      <w:r w:rsidR="00013BE2">
        <w:t>cultar</w:t>
      </w:r>
      <w:r w:rsidR="00805906">
        <w:t xml:space="preserve"> </w:t>
      </w:r>
      <w:r w:rsidR="00365E1C">
        <w:t xml:space="preserve">algumas </w:t>
      </w:r>
      <w:r>
        <w:t xml:space="preserve">diferenças </w:t>
      </w:r>
      <w:r w:rsidR="007D0ACB">
        <w:t>muito significativas</w:t>
      </w:r>
      <w:r w:rsidR="00011F6B">
        <w:t xml:space="preserve"> a nível nacional</w:t>
      </w:r>
      <w:r>
        <w:t xml:space="preserve">. Os nossos dados mais recentes mostram, por exemplo, </w:t>
      </w:r>
      <w:r w:rsidR="00547CA6">
        <w:t xml:space="preserve">um nítido contraste entre </w:t>
      </w:r>
      <w:r>
        <w:t>tendência</w:t>
      </w:r>
      <w:r w:rsidR="00801ED5">
        <w:t>s</w:t>
      </w:r>
      <w:r>
        <w:t xml:space="preserve"> globa</w:t>
      </w:r>
      <w:r w:rsidR="00ED6A34">
        <w:t xml:space="preserve">is </w:t>
      </w:r>
      <w:r w:rsidR="00BF283D">
        <w:t xml:space="preserve">encorajantes </w:t>
      </w:r>
      <w:r w:rsidR="00ED6A34">
        <w:t xml:space="preserve">da UE </w:t>
      </w:r>
      <w:r w:rsidR="00547CA6">
        <w:t>no que diz respeito</w:t>
      </w:r>
      <w:r w:rsidR="00F777DA">
        <w:t xml:space="preserve"> </w:t>
      </w:r>
      <w:r w:rsidR="00061CBB">
        <w:t>à</w:t>
      </w:r>
      <w:r w:rsidR="00EF317A">
        <w:t>s</w:t>
      </w:r>
      <w:r w:rsidR="00466181">
        <w:t xml:space="preserve"> mortes por </w:t>
      </w:r>
      <w:r w:rsidR="00466181" w:rsidRPr="00AD2DF9">
        <w:rPr>
          <w:i/>
        </w:rPr>
        <w:t>overdose</w:t>
      </w:r>
      <w:r w:rsidR="00466181" w:rsidRPr="00AD2DF9">
        <w:t xml:space="preserve"> </w:t>
      </w:r>
      <w:r w:rsidR="00466181">
        <w:t xml:space="preserve">e infeções por VIH relacionadas com o consumo de droga </w:t>
      </w:r>
      <w:r w:rsidR="00BF283D">
        <w:t xml:space="preserve">e certas evoluções preocupantes </w:t>
      </w:r>
      <w:r w:rsidR="007D0ACB">
        <w:t>observada</w:t>
      </w:r>
      <w:r w:rsidR="00ED6A34">
        <w:t>s</w:t>
      </w:r>
      <w:r w:rsidR="007D0ACB">
        <w:t xml:space="preserve"> </w:t>
      </w:r>
      <w:r>
        <w:t>em alguns Estados</w:t>
      </w:r>
      <w:r>
        <w:noBreakHyphen/>
        <w:t>Membros»</w:t>
      </w:r>
      <w:r w:rsidRPr="00AD2DF9">
        <w:t xml:space="preserve">. </w:t>
      </w:r>
    </w:p>
    <w:p w:rsidR="00333903" w:rsidRPr="00270610" w:rsidRDefault="00333903" w:rsidP="00333903">
      <w:pPr>
        <w:pStyle w:val="newsContent"/>
      </w:pPr>
      <w:r w:rsidRPr="00270610">
        <w:t xml:space="preserve">Reconhecendo esta complexidade, o relatório apresenta </w:t>
      </w:r>
      <w:r w:rsidR="00F777DA" w:rsidRPr="00270610">
        <w:t xml:space="preserve">uma </w:t>
      </w:r>
      <w:r w:rsidR="00F777DA">
        <w:t>visão</w:t>
      </w:r>
      <w:r w:rsidR="00EF317A" w:rsidRPr="00270610">
        <w:t xml:space="preserve"> </w:t>
      </w:r>
      <w:r w:rsidR="00FA3E5B">
        <w:t xml:space="preserve">geral </w:t>
      </w:r>
      <w:r w:rsidRPr="00270610">
        <w:t>das tendências</w:t>
      </w:r>
      <w:r w:rsidR="00321F96">
        <w:t xml:space="preserve"> a longo prazo</w:t>
      </w:r>
      <w:r w:rsidRPr="00270610">
        <w:t xml:space="preserve"> e evoluções</w:t>
      </w:r>
      <w:r w:rsidR="00FA3E5B">
        <w:t xml:space="preserve"> </w:t>
      </w:r>
      <w:r w:rsidR="00EF317A">
        <w:t xml:space="preserve">do fenómeno da droga </w:t>
      </w:r>
      <w:r w:rsidR="0016217F">
        <w:t xml:space="preserve">a nível </w:t>
      </w:r>
      <w:r w:rsidR="00F777DA">
        <w:t>europeu,</w:t>
      </w:r>
      <w:r>
        <w:t xml:space="preserve"> </w:t>
      </w:r>
      <w:r w:rsidR="00EF317A">
        <w:t xml:space="preserve">sem descurar os </w:t>
      </w:r>
      <w:r>
        <w:t>problemas</w:t>
      </w:r>
      <w:r w:rsidR="002E4A96">
        <w:t xml:space="preserve"> emergentes</w:t>
      </w:r>
      <w:r>
        <w:t xml:space="preserve"> em alguns países</w:t>
      </w:r>
      <w:r w:rsidRPr="00270610">
        <w:t>.</w:t>
      </w:r>
    </w:p>
    <w:p w:rsidR="00333903" w:rsidRPr="00270610" w:rsidRDefault="00EF317A" w:rsidP="00333903">
      <w:pPr>
        <w:pStyle w:val="newsContent"/>
        <w:rPr>
          <w:b/>
        </w:rPr>
      </w:pPr>
      <w:r w:rsidRPr="00EF317A">
        <w:rPr>
          <w:b/>
        </w:rPr>
        <w:lastRenderedPageBreak/>
        <w:t>Declínio da heroína, mas as substâncias de substituição causam preocupação</w:t>
      </w:r>
    </w:p>
    <w:p w:rsidR="00333903" w:rsidRPr="00707758" w:rsidRDefault="00333903" w:rsidP="00000FE8">
      <w:pPr>
        <w:pStyle w:val="newsContent"/>
        <w:ind w:right="-144"/>
      </w:pPr>
      <w:r w:rsidRPr="00270610">
        <w:t xml:space="preserve">Embora a produção mundial de heroína </w:t>
      </w:r>
      <w:r w:rsidR="00EF317A">
        <w:t>permaneça</w:t>
      </w:r>
      <w:r w:rsidRPr="00270610">
        <w:t xml:space="preserve"> elevada e as quantidades apreendidas na </w:t>
      </w:r>
      <w:r w:rsidRPr="00270610">
        <w:rPr>
          <w:b/>
        </w:rPr>
        <w:t>Turquia</w:t>
      </w:r>
      <w:r w:rsidRPr="00270610">
        <w:t xml:space="preserve"> estejam a aumentar (Figuras 1.4</w:t>
      </w:r>
      <w:r w:rsidR="00EF317A">
        <w:t xml:space="preserve"> e</w:t>
      </w:r>
      <w:r w:rsidRPr="00270610">
        <w:t xml:space="preserve"> 1.5), os </w:t>
      </w:r>
      <w:r w:rsidR="00EF317A">
        <w:t xml:space="preserve">últimos </w:t>
      </w:r>
      <w:r w:rsidRPr="00270610">
        <w:t>dados sobre a procura de tratamento</w:t>
      </w:r>
      <w:r w:rsidR="00167EC5">
        <w:t>, bem como</w:t>
      </w:r>
      <w:r w:rsidRPr="00270610">
        <w:t xml:space="preserve"> as apreens</w:t>
      </w:r>
      <w:r>
        <w:t xml:space="preserve">ões </w:t>
      </w:r>
      <w:r w:rsidR="00EF317A">
        <w:t xml:space="preserve">efetuadas </w:t>
      </w:r>
      <w:r>
        <w:t>na Europa</w:t>
      </w:r>
      <w:r w:rsidR="00167EC5">
        <w:t>,</w:t>
      </w:r>
      <w:r>
        <w:t xml:space="preserve"> indicam </w:t>
      </w:r>
      <w:r w:rsidR="007965EB">
        <w:t xml:space="preserve">uma tendência </w:t>
      </w:r>
      <w:r w:rsidR="00F777DA">
        <w:t>decrescente no</w:t>
      </w:r>
      <w:r w:rsidR="00A04455">
        <w:t xml:space="preserve"> </w:t>
      </w:r>
      <w:r>
        <w:t xml:space="preserve">consumo e </w:t>
      </w:r>
      <w:r w:rsidR="00861756">
        <w:t>n</w:t>
      </w:r>
      <w:r>
        <w:t xml:space="preserve">a disponibilidade desta </w:t>
      </w:r>
      <w:r w:rsidR="00F777DA">
        <w:t>droga.</w:t>
      </w:r>
      <w:r w:rsidRPr="00270610">
        <w:t xml:space="preserve"> O número de utentes que iniciaram pela primeira vez </w:t>
      </w:r>
      <w:r w:rsidR="006240A6">
        <w:t xml:space="preserve">um tratamento especializado </w:t>
      </w:r>
      <w:r w:rsidR="001448FD">
        <w:t xml:space="preserve">para </w:t>
      </w:r>
      <w:r w:rsidR="00F777DA">
        <w:t xml:space="preserve">os </w:t>
      </w:r>
      <w:r w:rsidR="00F777DA" w:rsidRPr="00270610">
        <w:t>problemas</w:t>
      </w:r>
      <w:r w:rsidRPr="00270610">
        <w:t xml:space="preserve"> </w:t>
      </w:r>
      <w:r w:rsidR="00735001">
        <w:t>associados ao</w:t>
      </w:r>
      <w:r w:rsidRPr="00270610">
        <w:t xml:space="preserve"> consum</w:t>
      </w:r>
      <w:r>
        <w:t>o</w:t>
      </w:r>
      <w:r w:rsidRPr="00270610">
        <w:t xml:space="preserve"> de hero</w:t>
      </w:r>
      <w:r>
        <w:t xml:space="preserve">ína baixou </w:t>
      </w:r>
      <w:r w:rsidR="006240A6">
        <w:t xml:space="preserve">do número recorde </w:t>
      </w:r>
      <w:r>
        <w:t xml:space="preserve">de </w:t>
      </w:r>
      <w:r w:rsidRPr="00270610">
        <w:t>59</w:t>
      </w:r>
      <w:r>
        <w:t> </w:t>
      </w:r>
      <w:r w:rsidRPr="00270610">
        <w:t>000</w:t>
      </w:r>
      <w:r>
        <w:t xml:space="preserve"> </w:t>
      </w:r>
      <w:r w:rsidR="006240A6">
        <w:t>novos utentes registado</w:t>
      </w:r>
      <w:r w:rsidR="00DC598C">
        <w:t>s</w:t>
      </w:r>
      <w:r w:rsidR="006240A6">
        <w:t xml:space="preserve"> </w:t>
      </w:r>
      <w:r>
        <w:t>em</w:t>
      </w:r>
      <w:r w:rsidRPr="00270610">
        <w:t xml:space="preserve"> 2007 </w:t>
      </w:r>
      <w:r>
        <w:t xml:space="preserve">para </w:t>
      </w:r>
      <w:r w:rsidR="006240A6">
        <w:t xml:space="preserve">apenas </w:t>
      </w:r>
      <w:r w:rsidRPr="00270610">
        <w:t>31</w:t>
      </w:r>
      <w:r>
        <w:t> </w:t>
      </w:r>
      <w:r w:rsidRPr="00270610">
        <w:t xml:space="preserve">000 </w:t>
      </w:r>
      <w:r>
        <w:t xml:space="preserve">em </w:t>
      </w:r>
      <w:r w:rsidRPr="00270610">
        <w:t xml:space="preserve">2012. </w:t>
      </w:r>
      <w:r w:rsidRPr="001A25CA">
        <w:t xml:space="preserve">Os dados relativos </w:t>
      </w:r>
      <w:r>
        <w:t xml:space="preserve">à </w:t>
      </w:r>
      <w:r w:rsidRPr="001A25CA">
        <w:t xml:space="preserve">oferta de droga mostram que a quantidade de heroína apreendida em 2012 (5 </w:t>
      </w:r>
      <w:r w:rsidR="00F777DA" w:rsidRPr="001A25CA">
        <w:t xml:space="preserve">toneladas) </w:t>
      </w:r>
      <w:r w:rsidR="00F777DA">
        <w:t>foi</w:t>
      </w:r>
      <w:r>
        <w:t xml:space="preserve"> </w:t>
      </w:r>
      <w:r w:rsidR="00861756">
        <w:t xml:space="preserve">também </w:t>
      </w:r>
      <w:r>
        <w:t>a m</w:t>
      </w:r>
      <w:r w:rsidR="002D69F0">
        <w:t xml:space="preserve">enor da </w:t>
      </w:r>
      <w:r>
        <w:t xml:space="preserve">última década, </w:t>
      </w:r>
      <w:r w:rsidR="00A04455">
        <w:t xml:space="preserve">correspondendo </w:t>
      </w:r>
      <w:r>
        <w:t xml:space="preserve">a metade da quantidade apreendida em </w:t>
      </w:r>
      <w:r w:rsidRPr="001A25CA">
        <w:t>2002 (10</w:t>
      </w:r>
      <w:r>
        <w:t> </w:t>
      </w:r>
      <w:r w:rsidRPr="001A25CA">
        <w:t>ton</w:t>
      </w:r>
      <w:r>
        <w:t>eladas</w:t>
      </w:r>
      <w:r w:rsidRPr="001A25CA">
        <w:t xml:space="preserve">). </w:t>
      </w:r>
      <w:r w:rsidRPr="00707758">
        <w:t xml:space="preserve">O número de apreensões de </w:t>
      </w:r>
      <w:r w:rsidR="00F777DA" w:rsidRPr="00707758">
        <w:t>heroína caiu</w:t>
      </w:r>
      <w:r w:rsidR="007A3FA6">
        <w:t xml:space="preserve"> igualmente</w:t>
      </w:r>
      <w:r w:rsidRPr="00707758">
        <w:t xml:space="preserve"> de cerca de 50</w:t>
      </w:r>
      <w:r>
        <w:t> </w:t>
      </w:r>
      <w:r w:rsidRPr="00707758">
        <w:t xml:space="preserve">000 </w:t>
      </w:r>
      <w:r>
        <w:t xml:space="preserve">em </w:t>
      </w:r>
      <w:r w:rsidRPr="00707758">
        <w:t xml:space="preserve">2010 </w:t>
      </w:r>
      <w:r>
        <w:t xml:space="preserve">para </w:t>
      </w:r>
      <w:r w:rsidRPr="00707758">
        <w:t>32</w:t>
      </w:r>
      <w:r>
        <w:t> </w:t>
      </w:r>
      <w:r w:rsidRPr="00707758">
        <w:t xml:space="preserve">000 </w:t>
      </w:r>
      <w:r>
        <w:t>em</w:t>
      </w:r>
      <w:r w:rsidRPr="00707758">
        <w:t xml:space="preserve"> 2012. </w:t>
      </w:r>
    </w:p>
    <w:p w:rsidR="00333903" w:rsidRPr="002B44AC" w:rsidRDefault="00333903" w:rsidP="00000FE8">
      <w:pPr>
        <w:pStyle w:val="newsContent"/>
        <w:ind w:right="-144"/>
      </w:pPr>
      <w:r w:rsidRPr="00707758">
        <w:t xml:space="preserve">Estima-se que existam </w:t>
      </w:r>
      <w:r w:rsidR="00B97EC6">
        <w:t xml:space="preserve">na Europa </w:t>
      </w:r>
      <w:r w:rsidR="00011F6B">
        <w:t xml:space="preserve">cerca de </w:t>
      </w:r>
      <w:r w:rsidRPr="00707758">
        <w:t>1,3 milhões de consumidores problem</w:t>
      </w:r>
      <w:r>
        <w:t>áticos de opiáceos</w:t>
      </w:r>
      <w:r w:rsidR="00B97EC6">
        <w:t>, a maioria dos quais consome heroína</w:t>
      </w:r>
      <w:r w:rsidRPr="00707758">
        <w:t xml:space="preserve">. O relatório </w:t>
      </w:r>
      <w:r w:rsidR="00A04455">
        <w:t xml:space="preserve">reflete as </w:t>
      </w:r>
      <w:r w:rsidRPr="00707758">
        <w:t xml:space="preserve">preocupações </w:t>
      </w:r>
      <w:r w:rsidR="00A04455">
        <w:t xml:space="preserve">suscitadas pelo facto </w:t>
      </w:r>
      <w:r w:rsidRPr="00707758">
        <w:t>de a heroína estar a ser substitu</w:t>
      </w:r>
      <w:r>
        <w:t>ída por substâncias como os opiáceos sintéticos. Produzid</w:t>
      </w:r>
      <w:r w:rsidR="00B97EC6">
        <w:t>o</w:t>
      </w:r>
      <w:r>
        <w:t xml:space="preserve">s </w:t>
      </w:r>
      <w:r w:rsidR="00A04455">
        <w:t xml:space="preserve">ilegalmente </w:t>
      </w:r>
      <w:r>
        <w:t>ou desviad</w:t>
      </w:r>
      <w:r w:rsidR="00B97EC6">
        <w:t>o</w:t>
      </w:r>
      <w:r w:rsidR="00A04455">
        <w:t>s</w:t>
      </w:r>
      <w:r>
        <w:t xml:space="preserve"> de fontes médicas, </w:t>
      </w:r>
      <w:r w:rsidR="00B97EC6">
        <w:t>estes incluem</w:t>
      </w:r>
      <w:r w:rsidR="00A04455">
        <w:t xml:space="preserve"> </w:t>
      </w:r>
      <w:r w:rsidR="00011F6B">
        <w:t xml:space="preserve">formas de </w:t>
      </w:r>
      <w:r>
        <w:t>fentani</w:t>
      </w:r>
      <w:r w:rsidR="001440AA">
        <w:t>l</w:t>
      </w:r>
      <w:r>
        <w:t xml:space="preserve"> </w:t>
      </w:r>
      <w:r w:rsidR="00B97EC6">
        <w:t>extremamente</w:t>
      </w:r>
      <w:r w:rsidR="00A04455">
        <w:t xml:space="preserve"> potente</w:t>
      </w:r>
      <w:r w:rsidR="00011F6B">
        <w:t>s</w:t>
      </w:r>
      <w:r w:rsidR="00A04455">
        <w:t xml:space="preserve"> </w:t>
      </w:r>
      <w:r w:rsidR="00B97EC6">
        <w:t xml:space="preserve">e outras substâncias </w:t>
      </w:r>
      <w:r>
        <w:t xml:space="preserve">utilizadas no tratamento de substituição de opiáceos </w:t>
      </w:r>
      <w:r w:rsidRPr="002B44AC">
        <w:t>(</w:t>
      </w:r>
      <w:r>
        <w:t>por ex</w:t>
      </w:r>
      <w:r w:rsidR="00092B6E">
        <w:t>.:</w:t>
      </w:r>
      <w:r>
        <w:t xml:space="preserve"> </w:t>
      </w:r>
      <w:r w:rsidRPr="002B44AC">
        <w:t>metadon</w:t>
      </w:r>
      <w:r>
        <w:t>a</w:t>
      </w:r>
      <w:r w:rsidR="00A04455">
        <w:t xml:space="preserve"> e </w:t>
      </w:r>
      <w:r w:rsidRPr="002B44AC">
        <w:t>buprenor</w:t>
      </w:r>
      <w:r>
        <w:t>fina</w:t>
      </w:r>
      <w:r w:rsidRPr="002B44AC">
        <w:t xml:space="preserve">). </w:t>
      </w:r>
      <w:r w:rsidR="001C4FEF">
        <w:t xml:space="preserve">          </w:t>
      </w:r>
      <w:r w:rsidRPr="002B44AC">
        <w:t xml:space="preserve">Em 2012, 17 países comunicaram que mais de 10 % dos utentes que </w:t>
      </w:r>
      <w:r w:rsidR="00A04455">
        <w:t xml:space="preserve">iniciaram </w:t>
      </w:r>
      <w:r w:rsidRPr="002B44AC">
        <w:t xml:space="preserve">pela primeira vez </w:t>
      </w:r>
      <w:r w:rsidR="00A04455">
        <w:t>um</w:t>
      </w:r>
      <w:r w:rsidRPr="002B44AC">
        <w:t xml:space="preserve"> tratamento especializado </w:t>
      </w:r>
      <w:r w:rsidR="009C14EB">
        <w:t>devido ao</w:t>
      </w:r>
      <w:r w:rsidRPr="002B44AC">
        <w:t xml:space="preserve"> consumo </w:t>
      </w:r>
      <w:r>
        <w:t xml:space="preserve">de opiáceos </w:t>
      </w:r>
      <w:r w:rsidR="00B97EC6">
        <w:t>abusavam de</w:t>
      </w:r>
      <w:r w:rsidR="00B51DCE">
        <w:t xml:space="preserve"> </w:t>
      </w:r>
      <w:r>
        <w:t xml:space="preserve">outros opiáceos que não a heroína </w:t>
      </w:r>
      <w:r w:rsidRPr="002B44AC">
        <w:t>(Figur</w:t>
      </w:r>
      <w:r>
        <w:t>a</w:t>
      </w:r>
      <w:r w:rsidR="009C14EB">
        <w:t> </w:t>
      </w:r>
      <w:r w:rsidRPr="002B44AC">
        <w:t xml:space="preserve">2.9). </w:t>
      </w:r>
    </w:p>
    <w:p w:rsidR="00333903" w:rsidRPr="00B24C91" w:rsidRDefault="00333903" w:rsidP="00333903">
      <w:pPr>
        <w:pStyle w:val="newsContent"/>
      </w:pPr>
      <w:r w:rsidRPr="00620AE5">
        <w:rPr>
          <w:b/>
        </w:rPr>
        <w:t>Mortes relacionadas com a droga: redu</w:t>
      </w:r>
      <w:r w:rsidR="00B51DCE" w:rsidRPr="00620AE5">
        <w:rPr>
          <w:b/>
        </w:rPr>
        <w:t xml:space="preserve">ção </w:t>
      </w:r>
      <w:r w:rsidR="009C14EB" w:rsidRPr="00620AE5">
        <w:rPr>
          <w:b/>
        </w:rPr>
        <w:t xml:space="preserve">global, </w:t>
      </w:r>
      <w:r w:rsidR="00620AE5" w:rsidRPr="00620AE5">
        <w:rPr>
          <w:b/>
        </w:rPr>
        <w:t>mas com</w:t>
      </w:r>
      <w:r w:rsidRPr="00620AE5">
        <w:rPr>
          <w:b/>
        </w:rPr>
        <w:t xml:space="preserve"> aument</w:t>
      </w:r>
      <w:r w:rsidR="00B51DCE" w:rsidRPr="00620AE5">
        <w:rPr>
          <w:b/>
        </w:rPr>
        <w:t>o</w:t>
      </w:r>
      <w:r w:rsidR="009C14EB" w:rsidRPr="00620AE5">
        <w:rPr>
          <w:b/>
        </w:rPr>
        <w:t>s</w:t>
      </w:r>
      <w:r w:rsidRPr="00620AE5">
        <w:rPr>
          <w:b/>
        </w:rPr>
        <w:t xml:space="preserve"> em alguns países</w:t>
      </w:r>
      <w:bookmarkStart w:id="0" w:name="_GoBack"/>
      <w:bookmarkEnd w:id="0"/>
    </w:p>
    <w:p w:rsidR="00333903" w:rsidRDefault="009C14EB" w:rsidP="00333903">
      <w:pPr>
        <w:pStyle w:val="newsContent"/>
      </w:pPr>
      <w:r>
        <w:t xml:space="preserve">O </w:t>
      </w:r>
      <w:r w:rsidR="00333903" w:rsidRPr="00B24C91">
        <w:t>consumo de droga é uma das principais causas de mortalidade entre os jovens</w:t>
      </w:r>
      <w:r>
        <w:t xml:space="preserve"> na Europa</w:t>
      </w:r>
      <w:r w:rsidR="00333903" w:rsidRPr="00B24C91">
        <w:t xml:space="preserve">, </w:t>
      </w:r>
      <w:r>
        <w:t>tanto</w:t>
      </w:r>
      <w:r w:rsidR="00333903">
        <w:t xml:space="preserve"> </w:t>
      </w:r>
      <w:r w:rsidR="00333903" w:rsidRPr="00B24C91">
        <w:t>d</w:t>
      </w:r>
      <w:r w:rsidR="00B51DCE">
        <w:t>iretamente</w:t>
      </w:r>
      <w:r w:rsidR="00333903">
        <w:t>,</w:t>
      </w:r>
      <w:r w:rsidR="00333903" w:rsidRPr="00B24C91">
        <w:t xml:space="preserve"> </w:t>
      </w:r>
      <w:r>
        <w:t>através de</w:t>
      </w:r>
      <w:r w:rsidR="00333903" w:rsidRPr="00B24C91">
        <w:t xml:space="preserve"> </w:t>
      </w:r>
      <w:r w:rsidR="00333903" w:rsidRPr="00B24C91">
        <w:rPr>
          <w:i/>
        </w:rPr>
        <w:t>overdose</w:t>
      </w:r>
      <w:r>
        <w:rPr>
          <w:i/>
        </w:rPr>
        <w:t>s</w:t>
      </w:r>
      <w:r w:rsidR="00333903" w:rsidRPr="00B24C91">
        <w:t xml:space="preserve"> (</w:t>
      </w:r>
      <w:r w:rsidR="00333903">
        <w:t>mortes induzidas pela droga</w:t>
      </w:r>
      <w:r w:rsidR="00333903" w:rsidRPr="00B24C91">
        <w:t>)</w:t>
      </w:r>
      <w:r w:rsidR="00333903">
        <w:t xml:space="preserve">, </w:t>
      </w:r>
      <w:r>
        <w:t>como</w:t>
      </w:r>
      <w:r w:rsidR="00333903">
        <w:t xml:space="preserve"> indireta</w:t>
      </w:r>
      <w:r w:rsidR="00B51DCE">
        <w:t>mente</w:t>
      </w:r>
      <w:r w:rsidR="00333903">
        <w:t>, através de doenças, acidentes, violência e suicídios</w:t>
      </w:r>
      <w:r w:rsidR="00333903" w:rsidRPr="00B24C91">
        <w:t xml:space="preserve">. </w:t>
      </w:r>
      <w:r>
        <w:t>Globalmente</w:t>
      </w:r>
      <w:r w:rsidR="004317D9">
        <w:t>, foram notificadas cerca de 6</w:t>
      </w:r>
      <w:r w:rsidR="00333903" w:rsidRPr="00B24C91">
        <w:t xml:space="preserve">100 mortes por </w:t>
      </w:r>
      <w:r w:rsidR="00333903" w:rsidRPr="00B24C91">
        <w:rPr>
          <w:i/>
        </w:rPr>
        <w:t>overdose</w:t>
      </w:r>
      <w:r w:rsidRPr="009C14EB">
        <w:t xml:space="preserve"> </w:t>
      </w:r>
      <w:r w:rsidRPr="00B24C91">
        <w:t>na Europa</w:t>
      </w:r>
      <w:r w:rsidR="00333903" w:rsidRPr="00B24C91">
        <w:t xml:space="preserve">, </w:t>
      </w:r>
      <w:r>
        <w:t xml:space="preserve">em 2012, na sua </w:t>
      </w:r>
      <w:r w:rsidR="00333903">
        <w:t>maioria</w:t>
      </w:r>
      <w:r>
        <w:t xml:space="preserve"> associadas a </w:t>
      </w:r>
      <w:r w:rsidR="00333903">
        <w:t>opiáceos</w:t>
      </w:r>
      <w:r w:rsidR="00333903" w:rsidRPr="00B24C91">
        <w:t xml:space="preserve">. </w:t>
      </w:r>
      <w:r w:rsidR="00333903" w:rsidRPr="009C032D">
        <w:t xml:space="preserve">Este número representa uma diminuição </w:t>
      </w:r>
      <w:r w:rsidR="001B467C">
        <w:t xml:space="preserve">em comparação com </w:t>
      </w:r>
      <w:r w:rsidR="00B51DCE">
        <w:t xml:space="preserve">os </w:t>
      </w:r>
      <w:r w:rsidR="00333903" w:rsidRPr="009C032D">
        <w:t xml:space="preserve">6500 </w:t>
      </w:r>
      <w:r w:rsidR="00333903">
        <w:t xml:space="preserve">casos notificados em </w:t>
      </w:r>
      <w:r w:rsidR="00333903" w:rsidRPr="009C032D">
        <w:t xml:space="preserve">2011 </w:t>
      </w:r>
      <w:r w:rsidR="001B467C">
        <w:t xml:space="preserve">e com </w:t>
      </w:r>
      <w:r w:rsidR="00333903">
        <w:t xml:space="preserve">os </w:t>
      </w:r>
      <w:r w:rsidR="00333903" w:rsidRPr="009C032D">
        <w:t>7100 cas</w:t>
      </w:r>
      <w:r w:rsidR="00333903">
        <w:t xml:space="preserve">os de </w:t>
      </w:r>
      <w:r w:rsidR="00333903" w:rsidRPr="009C032D">
        <w:t xml:space="preserve">2009. </w:t>
      </w:r>
      <w:r w:rsidR="001C4FEF">
        <w:t xml:space="preserve">      </w:t>
      </w:r>
      <w:r w:rsidR="00333903" w:rsidRPr="009C032D">
        <w:t xml:space="preserve">Os progressos efetuados neste domínio podem ser </w:t>
      </w:r>
      <w:r w:rsidR="001B467C">
        <w:t>em parte</w:t>
      </w:r>
      <w:r w:rsidR="00333903" w:rsidRPr="009C032D">
        <w:t xml:space="preserve"> atribuídos à expansão do tratamento e das intervenç</w:t>
      </w:r>
      <w:r w:rsidR="00333903">
        <w:t xml:space="preserve">ões de redução dos danos </w:t>
      </w:r>
      <w:r w:rsidR="00333903" w:rsidRPr="009C032D">
        <w:t>(</w:t>
      </w:r>
      <w:r w:rsidR="00333903">
        <w:t>por ex</w:t>
      </w:r>
      <w:r w:rsidR="002802F6">
        <w:t>.:</w:t>
      </w:r>
      <w:r w:rsidR="00333903">
        <w:t xml:space="preserve"> o </w:t>
      </w:r>
      <w:r w:rsidR="00B51DCE">
        <w:t>tratamento de substituição de opiáceos</w:t>
      </w:r>
      <w:r w:rsidR="00333903" w:rsidRPr="009C032D">
        <w:t xml:space="preserve">). </w:t>
      </w:r>
      <w:r w:rsidR="00333903" w:rsidRPr="007C180F">
        <w:t xml:space="preserve">Ainda assim, contrariando </w:t>
      </w:r>
      <w:r w:rsidR="001B467C">
        <w:t>a</w:t>
      </w:r>
      <w:r w:rsidR="00333903" w:rsidRPr="007C180F">
        <w:t xml:space="preserve"> tendência g</w:t>
      </w:r>
      <w:r w:rsidR="001B467C">
        <w:t xml:space="preserve">lobalmente </w:t>
      </w:r>
      <w:r w:rsidR="00333903" w:rsidRPr="007C180F">
        <w:t xml:space="preserve">animadora </w:t>
      </w:r>
      <w:r w:rsidR="001B467C">
        <w:t xml:space="preserve">observada </w:t>
      </w:r>
      <w:r w:rsidR="00333903" w:rsidRPr="007C180F">
        <w:t xml:space="preserve">a nível europeu, as mortes por </w:t>
      </w:r>
      <w:r w:rsidR="00333903" w:rsidRPr="007C180F">
        <w:rPr>
          <w:i/>
        </w:rPr>
        <w:t>overdose</w:t>
      </w:r>
      <w:r w:rsidR="00333903" w:rsidRPr="007C180F">
        <w:t xml:space="preserve"> </w:t>
      </w:r>
      <w:r w:rsidR="001B467C">
        <w:t>permanecem</w:t>
      </w:r>
      <w:r w:rsidR="00333903">
        <w:t xml:space="preserve"> elevadas, ou estão mesmo a aumentar, em alguns países</w:t>
      </w:r>
      <w:r w:rsidR="00333903" w:rsidRPr="007C180F">
        <w:t xml:space="preserve">. </w:t>
      </w:r>
    </w:p>
    <w:p w:rsidR="00333903" w:rsidRPr="00722133" w:rsidRDefault="00333903" w:rsidP="00333903">
      <w:pPr>
        <w:pStyle w:val="newsContent"/>
      </w:pPr>
      <w:r w:rsidRPr="00722133">
        <w:t xml:space="preserve">Estima-se </w:t>
      </w:r>
      <w:r w:rsidR="001B467C">
        <w:t xml:space="preserve">que </w:t>
      </w:r>
      <w:r w:rsidR="001B467C" w:rsidRPr="00722133">
        <w:t>a taxa m</w:t>
      </w:r>
      <w:r w:rsidR="001B467C">
        <w:t xml:space="preserve">édia de mortalidade </w:t>
      </w:r>
      <w:r w:rsidR="00011F6B">
        <w:t>por</w:t>
      </w:r>
      <w:r w:rsidR="001B467C">
        <w:t xml:space="preserve"> </w:t>
      </w:r>
      <w:r w:rsidR="001B467C" w:rsidRPr="00722133">
        <w:rPr>
          <w:i/>
        </w:rPr>
        <w:t>overdoses</w:t>
      </w:r>
      <w:r w:rsidR="001B467C" w:rsidRPr="00722133">
        <w:t xml:space="preserve"> n</w:t>
      </w:r>
      <w:r w:rsidR="001B467C">
        <w:t>a</w:t>
      </w:r>
      <w:r w:rsidR="001B467C" w:rsidRPr="00722133">
        <w:t xml:space="preserve"> Europ</w:t>
      </w:r>
      <w:r w:rsidR="001B467C">
        <w:t>a</w:t>
      </w:r>
      <w:r w:rsidR="001B467C" w:rsidRPr="00722133">
        <w:t xml:space="preserve"> </w:t>
      </w:r>
      <w:r w:rsidR="001B467C">
        <w:t>seja de</w:t>
      </w:r>
      <w:r w:rsidRPr="00722133">
        <w:t xml:space="preserve"> </w:t>
      </w:r>
      <w:r w:rsidR="00011F6B">
        <w:t xml:space="preserve">cerca de </w:t>
      </w:r>
      <w:r w:rsidRPr="00722133">
        <w:t>17 mortes por milhão de habitantes (entre os 15 e os 64 anos)</w:t>
      </w:r>
      <w:r>
        <w:t xml:space="preserve">, mas </w:t>
      </w:r>
      <w:r w:rsidR="00B51DCE">
        <w:t>há grandes variações a nível nacional</w:t>
      </w:r>
      <w:r>
        <w:t xml:space="preserve">. </w:t>
      </w:r>
      <w:r w:rsidR="001B467C">
        <w:t>Cinco países registaram</w:t>
      </w:r>
      <w:r w:rsidRPr="00722133">
        <w:t xml:space="preserve"> taxas superiores a 50 mortes por milhão de habitantes</w:t>
      </w:r>
      <w:r>
        <w:t xml:space="preserve">, sendo as mais elevadas </w:t>
      </w:r>
      <w:r w:rsidR="001B467C">
        <w:t>notificadas</w:t>
      </w:r>
      <w:r>
        <w:t xml:space="preserve"> pela </w:t>
      </w:r>
      <w:r w:rsidRPr="00722133">
        <w:rPr>
          <w:b/>
        </w:rPr>
        <w:t>Est</w:t>
      </w:r>
      <w:r>
        <w:rPr>
          <w:b/>
        </w:rPr>
        <w:t>ó</w:t>
      </w:r>
      <w:r w:rsidRPr="00722133">
        <w:rPr>
          <w:b/>
        </w:rPr>
        <w:t>nia</w:t>
      </w:r>
      <w:r w:rsidRPr="00722133">
        <w:t xml:space="preserve"> (191 p</w:t>
      </w:r>
      <w:r>
        <w:t>or milhão</w:t>
      </w:r>
      <w:r w:rsidRPr="00722133">
        <w:t xml:space="preserve">) </w:t>
      </w:r>
      <w:r>
        <w:t xml:space="preserve">e pela </w:t>
      </w:r>
      <w:r w:rsidRPr="00722133">
        <w:rPr>
          <w:b/>
        </w:rPr>
        <w:t>Nor</w:t>
      </w:r>
      <w:r>
        <w:rPr>
          <w:b/>
        </w:rPr>
        <w:t>uega</w:t>
      </w:r>
      <w:r w:rsidRPr="00722133">
        <w:t xml:space="preserve"> (76 p</w:t>
      </w:r>
      <w:r>
        <w:t>or milhão</w:t>
      </w:r>
      <w:r w:rsidRPr="00722133">
        <w:t xml:space="preserve">), </w:t>
      </w:r>
      <w:r>
        <w:t xml:space="preserve">seguidas </w:t>
      </w:r>
      <w:r w:rsidR="006462DE">
        <w:t xml:space="preserve">da </w:t>
      </w:r>
      <w:r w:rsidRPr="00722133">
        <w:rPr>
          <w:b/>
        </w:rPr>
        <w:t>Irland</w:t>
      </w:r>
      <w:r>
        <w:rPr>
          <w:b/>
        </w:rPr>
        <w:t>a</w:t>
      </w:r>
      <w:r w:rsidRPr="00722133">
        <w:t xml:space="preserve"> </w:t>
      </w:r>
      <w:r w:rsidR="001C4FEF">
        <w:t xml:space="preserve">              </w:t>
      </w:r>
      <w:r w:rsidRPr="00722133">
        <w:t>(70 p</w:t>
      </w:r>
      <w:r>
        <w:t xml:space="preserve">or </w:t>
      </w:r>
      <w:r w:rsidR="00F777DA">
        <w:t>milhão</w:t>
      </w:r>
      <w:r w:rsidR="00F777DA" w:rsidRPr="00722133">
        <w:t xml:space="preserve">), </w:t>
      </w:r>
      <w:r w:rsidR="00F777DA">
        <w:t>Suécia</w:t>
      </w:r>
      <w:r w:rsidRPr="00722133">
        <w:t xml:space="preserve"> (63 p</w:t>
      </w:r>
      <w:r>
        <w:t>or milhão</w:t>
      </w:r>
      <w:r w:rsidRPr="00722133">
        <w:t xml:space="preserve">) </w:t>
      </w:r>
      <w:r w:rsidR="00F777DA">
        <w:t xml:space="preserve">e </w:t>
      </w:r>
      <w:r w:rsidR="00F777DA" w:rsidRPr="00722133">
        <w:t>Finlândia</w:t>
      </w:r>
      <w:r w:rsidRPr="00722133">
        <w:t xml:space="preserve"> (58 p</w:t>
      </w:r>
      <w:r>
        <w:t>or milhão</w:t>
      </w:r>
      <w:r w:rsidRPr="00722133">
        <w:t>) (Figur</w:t>
      </w:r>
      <w:r>
        <w:t>a</w:t>
      </w:r>
      <w:r w:rsidRPr="00722133">
        <w:t xml:space="preserve"> 2.13) (</w:t>
      </w:r>
      <w:r w:rsidRPr="00722133">
        <w:rPr>
          <w:vertAlign w:val="superscript"/>
        </w:rPr>
        <w:t>2</w:t>
      </w:r>
      <w:r w:rsidRPr="00722133">
        <w:t xml:space="preserve">). </w:t>
      </w:r>
    </w:p>
    <w:p w:rsidR="00333903" w:rsidRPr="00B40FE8" w:rsidRDefault="00333903" w:rsidP="00333903">
      <w:pPr>
        <w:pStyle w:val="newsContent"/>
      </w:pPr>
      <w:r w:rsidRPr="005B3779">
        <w:t xml:space="preserve">Embora a </w:t>
      </w:r>
      <w:r w:rsidR="00F777DA" w:rsidRPr="005B3779">
        <w:t>heroína esteja</w:t>
      </w:r>
      <w:r w:rsidR="008D3C26">
        <w:t xml:space="preserve"> ainda</w:t>
      </w:r>
      <w:r w:rsidRPr="005B3779">
        <w:t xml:space="preserve"> envolvida em muitas </w:t>
      </w:r>
      <w:r w:rsidRPr="005B3779">
        <w:rPr>
          <w:i/>
        </w:rPr>
        <w:t>overdoses</w:t>
      </w:r>
      <w:r w:rsidRPr="005B3779">
        <w:t xml:space="preserve"> fatais, as mortes relacionadas com </w:t>
      </w:r>
      <w:r w:rsidR="001B467C">
        <w:t>o seu consumo</w:t>
      </w:r>
      <w:r w:rsidRPr="005B3779">
        <w:t xml:space="preserve"> estão</w:t>
      </w:r>
      <w:r w:rsidR="008D3C26">
        <w:t>, de um modo geral</w:t>
      </w:r>
      <w:r w:rsidRPr="005B3779">
        <w:t xml:space="preserve"> a </w:t>
      </w:r>
      <w:r w:rsidR="00F777DA" w:rsidRPr="005B3779">
        <w:t>diminuir</w:t>
      </w:r>
      <w:r w:rsidR="00F777DA">
        <w:t>,</w:t>
      </w:r>
      <w:r w:rsidR="00F777DA" w:rsidRPr="005B3779">
        <w:t xml:space="preserve"> enquanto</w:t>
      </w:r>
      <w:r>
        <w:t xml:space="preserve"> </w:t>
      </w:r>
      <w:r w:rsidR="008D3C26">
        <w:t xml:space="preserve">que </w:t>
      </w:r>
      <w:r w:rsidRPr="005B3779">
        <w:t xml:space="preserve">as </w:t>
      </w:r>
      <w:r w:rsidR="00AF703E">
        <w:t xml:space="preserve">relacionadas com o consumo de </w:t>
      </w:r>
      <w:r w:rsidRPr="005B3779">
        <w:t>opi</w:t>
      </w:r>
      <w:r>
        <w:t xml:space="preserve">áceos sintéticos </w:t>
      </w:r>
      <w:r w:rsidR="00AF703E">
        <w:t xml:space="preserve">estão a aumentar </w:t>
      </w:r>
      <w:r>
        <w:t>em alguns países</w:t>
      </w:r>
      <w:r w:rsidRPr="005B3779">
        <w:t xml:space="preserve">. </w:t>
      </w:r>
      <w:r>
        <w:t>Em 2012 a</w:t>
      </w:r>
      <w:r w:rsidRPr="00B40FE8">
        <w:t xml:space="preserve">s mortes por </w:t>
      </w:r>
      <w:r w:rsidRPr="00B40FE8">
        <w:rPr>
          <w:i/>
        </w:rPr>
        <w:t>overdose</w:t>
      </w:r>
      <w:r w:rsidRPr="00B40FE8">
        <w:t xml:space="preserve"> sofreram um acentuado crescimento (de 38 %) n</w:t>
      </w:r>
      <w:r>
        <w:t>a</w:t>
      </w:r>
      <w:r w:rsidRPr="00B40FE8">
        <w:t xml:space="preserve"> </w:t>
      </w:r>
      <w:r w:rsidRPr="00B40FE8">
        <w:rPr>
          <w:b/>
        </w:rPr>
        <w:t>Est</w:t>
      </w:r>
      <w:r>
        <w:rPr>
          <w:b/>
        </w:rPr>
        <w:t>ó</w:t>
      </w:r>
      <w:r w:rsidRPr="00B40FE8">
        <w:rPr>
          <w:b/>
        </w:rPr>
        <w:t>nia</w:t>
      </w:r>
      <w:r w:rsidRPr="00B40FE8">
        <w:t xml:space="preserve">, </w:t>
      </w:r>
      <w:r>
        <w:t xml:space="preserve">estando o fentanil </w:t>
      </w:r>
      <w:r w:rsidR="00F777DA">
        <w:t>e seus</w:t>
      </w:r>
      <w:r>
        <w:t xml:space="preserve"> derivados presentes na maioria d</w:t>
      </w:r>
      <w:r w:rsidR="00AF703E">
        <w:t>o</w:t>
      </w:r>
      <w:r w:rsidR="00B51DCE">
        <w:t>s</w:t>
      </w:r>
      <w:r>
        <w:t xml:space="preserve"> casos. </w:t>
      </w:r>
      <w:r w:rsidRPr="00B40FE8">
        <w:t xml:space="preserve">Os derivados não controlados do fentanil e </w:t>
      </w:r>
      <w:r w:rsidR="00AF703E">
        <w:t xml:space="preserve">vários </w:t>
      </w:r>
      <w:r w:rsidRPr="00B40FE8">
        <w:t>outros potentes opi</w:t>
      </w:r>
      <w:r>
        <w:t xml:space="preserve">áceos sintéticos </w:t>
      </w:r>
      <w:r w:rsidRPr="00B40FE8">
        <w:t xml:space="preserve">(por exemplo, o AH-7921) </w:t>
      </w:r>
      <w:r>
        <w:t xml:space="preserve">têm sido cada vez mais detetados no mercado de drogas ilícitas através do </w:t>
      </w:r>
      <w:r w:rsidR="00D23E01">
        <w:rPr>
          <w:b/>
        </w:rPr>
        <w:t>S</w:t>
      </w:r>
      <w:r>
        <w:rPr>
          <w:b/>
        </w:rPr>
        <w:t xml:space="preserve">istema de </w:t>
      </w:r>
      <w:r w:rsidR="00D23E01">
        <w:rPr>
          <w:b/>
        </w:rPr>
        <w:t>A</w:t>
      </w:r>
      <w:r>
        <w:rPr>
          <w:b/>
        </w:rPr>
        <w:t xml:space="preserve">lerta </w:t>
      </w:r>
      <w:r w:rsidR="00D23E01">
        <w:rPr>
          <w:b/>
        </w:rPr>
        <w:t>R</w:t>
      </w:r>
      <w:r>
        <w:rPr>
          <w:b/>
        </w:rPr>
        <w:t xml:space="preserve">ápido da </w:t>
      </w:r>
      <w:r w:rsidR="00D23E01">
        <w:rPr>
          <w:b/>
        </w:rPr>
        <w:t>UE (EU</w:t>
      </w:r>
      <w:r w:rsidR="001924B7">
        <w:rPr>
          <w:b/>
        </w:rPr>
        <w:t>–</w:t>
      </w:r>
      <w:r w:rsidR="00D23E01">
        <w:rPr>
          <w:b/>
        </w:rPr>
        <w:t>EWS)</w:t>
      </w:r>
      <w:r w:rsidRPr="00B40FE8">
        <w:t xml:space="preserve">. </w:t>
      </w:r>
    </w:p>
    <w:p w:rsidR="00333903" w:rsidRPr="006277D7" w:rsidRDefault="00333903" w:rsidP="00333903">
      <w:pPr>
        <w:pStyle w:val="newsContent"/>
      </w:pPr>
      <w:r w:rsidRPr="006277D7">
        <w:rPr>
          <w:b/>
        </w:rPr>
        <w:t>VIH:</w:t>
      </w:r>
      <w:r w:rsidR="004317D9">
        <w:rPr>
          <w:b/>
        </w:rPr>
        <w:t xml:space="preserve"> </w:t>
      </w:r>
      <w:r w:rsidRPr="006277D7">
        <w:rPr>
          <w:b/>
        </w:rPr>
        <w:t xml:space="preserve">surtos em alguns países </w:t>
      </w:r>
      <w:r w:rsidR="00E413ED">
        <w:rPr>
          <w:b/>
        </w:rPr>
        <w:t xml:space="preserve">têm impacto negativo na </w:t>
      </w:r>
      <w:r w:rsidRPr="006277D7">
        <w:rPr>
          <w:b/>
        </w:rPr>
        <w:t>tend</w:t>
      </w:r>
      <w:r>
        <w:rPr>
          <w:b/>
        </w:rPr>
        <w:t xml:space="preserve">ência da </w:t>
      </w:r>
      <w:r w:rsidR="000C4E25">
        <w:rPr>
          <w:b/>
        </w:rPr>
        <w:t>UE</w:t>
      </w:r>
    </w:p>
    <w:p w:rsidR="00333903" w:rsidRPr="007008AB" w:rsidRDefault="00333903" w:rsidP="00333903">
      <w:pPr>
        <w:pStyle w:val="newsContent"/>
      </w:pPr>
      <w:r w:rsidRPr="00850A1D">
        <w:t xml:space="preserve">Ao longo da última década, </w:t>
      </w:r>
      <w:r w:rsidR="001968B1">
        <w:t xml:space="preserve">a </w:t>
      </w:r>
      <w:r w:rsidRPr="00850A1D">
        <w:t xml:space="preserve">União Europeia </w:t>
      </w:r>
      <w:r w:rsidR="00BF283D">
        <w:t xml:space="preserve">conseguiu </w:t>
      </w:r>
      <w:r w:rsidR="001968B1" w:rsidRPr="00850A1D">
        <w:t xml:space="preserve">grandes progressos </w:t>
      </w:r>
      <w:r w:rsidRPr="00850A1D">
        <w:t>no combate à infeção por VIH entre os consumidores de droga injetada</w:t>
      </w:r>
      <w:r w:rsidR="00E413ED">
        <w:t xml:space="preserve"> – </w:t>
      </w:r>
      <w:r w:rsidR="00F11F41">
        <w:t xml:space="preserve">incluindo, </w:t>
      </w:r>
      <w:r w:rsidR="00F777DA">
        <w:t>designadamente, uma</w:t>
      </w:r>
      <w:r w:rsidR="00E413ED">
        <w:t xml:space="preserve"> </w:t>
      </w:r>
      <w:r w:rsidRPr="00850A1D">
        <w:t>maior cobertura das medidas de prevenç</w:t>
      </w:r>
      <w:r>
        <w:t>ão, tratamento e redução dos danos</w:t>
      </w:r>
      <w:r w:rsidRPr="00850A1D">
        <w:t xml:space="preserve">. </w:t>
      </w:r>
      <w:r w:rsidRPr="00B25527">
        <w:t xml:space="preserve">Os </w:t>
      </w:r>
      <w:r w:rsidR="00E413ED">
        <w:t>dados</w:t>
      </w:r>
      <w:r w:rsidRPr="00B25527">
        <w:t xml:space="preserve"> mais recentes mostram, porém, que as evoluções ocorridas em alguns países </w:t>
      </w:r>
      <w:r w:rsidR="009E5B8E">
        <w:t>estão a contrariar</w:t>
      </w:r>
      <w:r w:rsidR="00050B18">
        <w:t xml:space="preserve"> </w:t>
      </w:r>
      <w:r w:rsidR="009E5B8E">
        <w:t xml:space="preserve">o declínio </w:t>
      </w:r>
      <w:r w:rsidR="004317D9">
        <w:t>prolongado</w:t>
      </w:r>
      <w:r w:rsidR="004317D9" w:rsidRPr="00B25527">
        <w:t xml:space="preserve"> </w:t>
      </w:r>
      <w:r w:rsidRPr="00B25527">
        <w:t>do n</w:t>
      </w:r>
      <w:r>
        <w:t xml:space="preserve">úmero de </w:t>
      </w:r>
      <w:r w:rsidR="009E5B8E">
        <w:t xml:space="preserve">diagnósticos de </w:t>
      </w:r>
      <w:r>
        <w:t xml:space="preserve">novos casos de VIH na </w:t>
      </w:r>
      <w:r w:rsidRPr="00B25527">
        <w:t>Europ</w:t>
      </w:r>
      <w:r>
        <w:t>a</w:t>
      </w:r>
      <w:r w:rsidRPr="00B25527">
        <w:t xml:space="preserve">. </w:t>
      </w:r>
      <w:r w:rsidRPr="007008AB">
        <w:t>«</w:t>
      </w:r>
      <w:r>
        <w:rPr>
          <w:rFonts w:eastAsia="Times New Roman"/>
        </w:rPr>
        <w:t xml:space="preserve">Surtos de VIH entre consumidores de droga na </w:t>
      </w:r>
      <w:r w:rsidRPr="007008AB">
        <w:rPr>
          <w:rFonts w:eastAsia="Times New Roman"/>
          <w:b/>
        </w:rPr>
        <w:t xml:space="preserve">Grécia </w:t>
      </w:r>
      <w:r>
        <w:rPr>
          <w:rFonts w:eastAsia="Times New Roman"/>
        </w:rPr>
        <w:lastRenderedPageBreak/>
        <w:t xml:space="preserve">e na </w:t>
      </w:r>
      <w:r w:rsidRPr="007008AB">
        <w:rPr>
          <w:rFonts w:eastAsia="Times New Roman"/>
          <w:b/>
        </w:rPr>
        <w:t>Roménia</w:t>
      </w:r>
      <w:r>
        <w:rPr>
          <w:rFonts w:eastAsia="Times New Roman"/>
        </w:rPr>
        <w:t xml:space="preserve">, bem como problemas detetados nos </w:t>
      </w:r>
      <w:r w:rsidRPr="007008AB">
        <w:rPr>
          <w:rFonts w:eastAsia="Times New Roman"/>
          <w:b/>
        </w:rPr>
        <w:t>países bálticos</w:t>
      </w:r>
      <w:r>
        <w:rPr>
          <w:rFonts w:eastAsia="Times New Roman"/>
        </w:rPr>
        <w:t>, têm moderado os progressos da Europa na redução do número de novas infeções relacionadas com</w:t>
      </w:r>
      <w:r w:rsidR="002E4AD8">
        <w:rPr>
          <w:rFonts w:eastAsia="Times New Roman"/>
        </w:rPr>
        <w:t xml:space="preserve"> a</w:t>
      </w:r>
      <w:r>
        <w:rPr>
          <w:rFonts w:eastAsia="Times New Roman"/>
        </w:rPr>
        <w:t xml:space="preserve"> droga</w:t>
      </w:r>
      <w:r w:rsidRPr="007008AB">
        <w:t xml:space="preserve">», afirma o relatório. </w:t>
      </w:r>
    </w:p>
    <w:p w:rsidR="00333903" w:rsidRPr="00DF5AF0" w:rsidRDefault="00333903" w:rsidP="00333903">
      <w:pPr>
        <w:pStyle w:val="newsContent"/>
      </w:pPr>
      <w:r>
        <w:t xml:space="preserve">Em </w:t>
      </w:r>
      <w:r w:rsidRPr="00DF5AF0">
        <w:t>2012</w:t>
      </w:r>
      <w:r>
        <w:t xml:space="preserve">, </w:t>
      </w:r>
      <w:r w:rsidR="009E5B8E" w:rsidRPr="009E5B8E">
        <w:t xml:space="preserve">o índice médio de casos de infeção por VIH recentemente </w:t>
      </w:r>
      <w:r w:rsidR="00167C55">
        <w:t>diagnost</w:t>
      </w:r>
      <w:r w:rsidR="009E5B8E" w:rsidRPr="009E5B8E">
        <w:t>icados e atribuídos ao consumo de droga injetada era de 3,1 por milhão de habitantes</w:t>
      </w:r>
      <w:r w:rsidRPr="00DF5AF0">
        <w:t xml:space="preserve">. Na </w:t>
      </w:r>
      <w:r w:rsidRPr="00DF5AF0">
        <w:rPr>
          <w:b/>
        </w:rPr>
        <w:t>Estónia</w:t>
      </w:r>
      <w:r w:rsidRPr="00DF5AF0">
        <w:t xml:space="preserve">, </w:t>
      </w:r>
      <w:r w:rsidR="00B56840">
        <w:t xml:space="preserve">o </w:t>
      </w:r>
      <w:r w:rsidR="009E5B8E">
        <w:t>índice</w:t>
      </w:r>
      <w:r w:rsidR="00B56840">
        <w:t xml:space="preserve"> de novos </w:t>
      </w:r>
      <w:r w:rsidR="0020614C">
        <w:t>casos</w:t>
      </w:r>
      <w:r w:rsidR="009E5B8E">
        <w:t xml:space="preserve"> </w:t>
      </w:r>
      <w:r w:rsidRPr="00DF5AF0">
        <w:t>permanece elevad</w:t>
      </w:r>
      <w:r w:rsidR="009E5B8E">
        <w:t>o</w:t>
      </w:r>
      <w:r w:rsidRPr="00DF5AF0">
        <w:t xml:space="preserve"> (53,7 casos por milhão de habitantes em 2012), enquanto </w:t>
      </w:r>
      <w:r w:rsidR="00B56840">
        <w:t xml:space="preserve">que </w:t>
      </w:r>
      <w:r w:rsidRPr="00DF5AF0">
        <w:t xml:space="preserve">na </w:t>
      </w:r>
      <w:r w:rsidRPr="00DF5AF0">
        <w:rPr>
          <w:b/>
        </w:rPr>
        <w:t>Let</w:t>
      </w:r>
      <w:r>
        <w:rPr>
          <w:b/>
        </w:rPr>
        <w:t>ónia</w:t>
      </w:r>
      <w:r w:rsidRPr="00DF5AF0">
        <w:t xml:space="preserve"> </w:t>
      </w:r>
      <w:r>
        <w:t xml:space="preserve">as taxas anuais têm vindo a </w:t>
      </w:r>
      <w:r w:rsidR="009E5B8E">
        <w:t>aumentar</w:t>
      </w:r>
      <w:r w:rsidR="00050B18">
        <w:t xml:space="preserve"> </w:t>
      </w:r>
      <w:r>
        <w:t xml:space="preserve">desde </w:t>
      </w:r>
      <w:r w:rsidRPr="00DF5AF0">
        <w:t>2009 (</w:t>
      </w:r>
      <w:r>
        <w:t xml:space="preserve">de </w:t>
      </w:r>
      <w:r w:rsidRPr="00DF5AF0">
        <w:t>34</w:t>
      </w:r>
      <w:r>
        <w:t>,</w:t>
      </w:r>
      <w:r w:rsidRPr="00DF5AF0">
        <w:t>5 cas</w:t>
      </w:r>
      <w:r>
        <w:t xml:space="preserve">os por milhão de habitantes em </w:t>
      </w:r>
      <w:r w:rsidRPr="00DF5AF0">
        <w:t xml:space="preserve">2009 </w:t>
      </w:r>
      <w:r>
        <w:t xml:space="preserve">para </w:t>
      </w:r>
      <w:r w:rsidRPr="00DF5AF0">
        <w:t>46</w:t>
      </w:r>
      <w:r w:rsidR="004317D9">
        <w:t>,0</w:t>
      </w:r>
      <w:r w:rsidR="00050B18">
        <w:t xml:space="preserve"> casos </w:t>
      </w:r>
      <w:r>
        <w:t>em</w:t>
      </w:r>
      <w:r w:rsidRPr="00DF5AF0">
        <w:t xml:space="preserve"> 2012). </w:t>
      </w:r>
      <w:r w:rsidR="00050B18">
        <w:t>Em 2012</w:t>
      </w:r>
      <w:r w:rsidR="004317D9">
        <w:t>,</w:t>
      </w:r>
      <w:r w:rsidR="00050B18">
        <w:t xml:space="preserve"> f</w:t>
      </w:r>
      <w:r w:rsidR="004317D9">
        <w:t>oram notificados 1</w:t>
      </w:r>
      <w:r w:rsidRPr="00DF5AF0">
        <w:t xml:space="preserve">788 novos </w:t>
      </w:r>
      <w:r w:rsidR="00050B18" w:rsidRPr="00DF5AF0">
        <w:t xml:space="preserve">casos </w:t>
      </w:r>
      <w:r w:rsidRPr="00DF5AF0">
        <w:t xml:space="preserve">de VIH, </w:t>
      </w:r>
      <w:r w:rsidR="00A238F2">
        <w:t>ligeiramente</w:t>
      </w:r>
      <w:r w:rsidR="004317D9">
        <w:t xml:space="preserve"> mais do que em 2011 (1</w:t>
      </w:r>
      <w:r w:rsidRPr="00DF5AF0">
        <w:t xml:space="preserve">732), </w:t>
      </w:r>
      <w:r w:rsidR="008E06C3">
        <w:t xml:space="preserve">confirmando-se assim a </w:t>
      </w:r>
      <w:r>
        <w:t xml:space="preserve">tendência para o </w:t>
      </w:r>
      <w:r w:rsidR="008E06C3">
        <w:t>aumento do número de casos</w:t>
      </w:r>
      <w:r>
        <w:t xml:space="preserve"> observada desde </w:t>
      </w:r>
      <w:r w:rsidRPr="00DF5AF0">
        <w:t>2010 (Figur</w:t>
      </w:r>
      <w:r>
        <w:t>a</w:t>
      </w:r>
      <w:r w:rsidRPr="00DF5AF0">
        <w:t xml:space="preserve"> 2.11). </w:t>
      </w:r>
      <w:r w:rsidR="00011F6B">
        <w:t>Por outro lado, e</w:t>
      </w:r>
      <w:r w:rsidRPr="00DF5AF0">
        <w:t>nquanto</w:t>
      </w:r>
      <w:r w:rsidR="00A238F2">
        <w:t xml:space="preserve"> que</w:t>
      </w:r>
      <w:r w:rsidRPr="00DF5AF0">
        <w:t xml:space="preserve"> em 2010 a </w:t>
      </w:r>
      <w:r w:rsidRPr="00DF5AF0">
        <w:rPr>
          <w:b/>
        </w:rPr>
        <w:t xml:space="preserve">Grécia </w:t>
      </w:r>
      <w:r w:rsidRPr="00DF5AF0">
        <w:t xml:space="preserve">e a </w:t>
      </w:r>
      <w:r w:rsidRPr="00DF5AF0">
        <w:rPr>
          <w:b/>
        </w:rPr>
        <w:t>Roménia</w:t>
      </w:r>
      <w:r w:rsidRPr="00DF5AF0">
        <w:t xml:space="preserve"> contribuíram com pouco mais de 2 % </w:t>
      </w:r>
      <w:r w:rsidR="00A238F2">
        <w:t>para o</w:t>
      </w:r>
      <w:r w:rsidRPr="00DF5AF0">
        <w:t xml:space="preserve"> número total de novos </w:t>
      </w:r>
      <w:r w:rsidR="008E06C3">
        <w:t>casos</w:t>
      </w:r>
      <w:r w:rsidRPr="00DF5AF0">
        <w:t xml:space="preserve"> </w:t>
      </w:r>
      <w:r w:rsidR="008E06C3">
        <w:t xml:space="preserve">de </w:t>
      </w:r>
      <w:r>
        <w:t>pessoas infetadas através do consumo de droga injetada</w:t>
      </w:r>
      <w:r w:rsidR="008E06C3">
        <w:t xml:space="preserve"> </w:t>
      </w:r>
      <w:r w:rsidR="008E06C3" w:rsidRPr="00DF5AF0">
        <w:t>notificad</w:t>
      </w:r>
      <w:r w:rsidR="008E06C3">
        <w:t>os na UE</w:t>
      </w:r>
      <w:r>
        <w:t xml:space="preserve">, em </w:t>
      </w:r>
      <w:r w:rsidRPr="00DF5AF0">
        <w:t xml:space="preserve">2012 </w:t>
      </w:r>
      <w:r>
        <w:t>es</w:t>
      </w:r>
      <w:r w:rsidR="008E06C3">
        <w:t>t</w:t>
      </w:r>
      <w:r>
        <w:t>a percentagem</w:t>
      </w:r>
      <w:r w:rsidR="00A238F2">
        <w:t xml:space="preserve"> aumentou para cerca de</w:t>
      </w:r>
      <w:r w:rsidR="00FD1DB2">
        <w:t xml:space="preserve"> </w:t>
      </w:r>
      <w:r w:rsidRPr="00DF5AF0">
        <w:t>37</w:t>
      </w:r>
      <w:r>
        <w:t> </w:t>
      </w:r>
      <w:r w:rsidRPr="00DF5AF0">
        <w:t>% (</w:t>
      </w:r>
      <w:r>
        <w:t xml:space="preserve">tendo a </w:t>
      </w:r>
      <w:r w:rsidRPr="00DF5AF0">
        <w:rPr>
          <w:b/>
        </w:rPr>
        <w:t>Gr</w:t>
      </w:r>
      <w:r>
        <w:rPr>
          <w:b/>
        </w:rPr>
        <w:t>écia</w:t>
      </w:r>
      <w:r>
        <w:t xml:space="preserve"> </w:t>
      </w:r>
      <w:r w:rsidR="00A238F2">
        <w:t>reportado</w:t>
      </w:r>
      <w:r>
        <w:t xml:space="preserve"> uma taxa de </w:t>
      </w:r>
      <w:r w:rsidRPr="00DF5AF0">
        <w:t>42</w:t>
      </w:r>
      <w:r>
        <w:t>,</w:t>
      </w:r>
      <w:r w:rsidRPr="00DF5AF0">
        <w:t>9 cas</w:t>
      </w:r>
      <w:r>
        <w:t xml:space="preserve">os por milhão de habitantes e a </w:t>
      </w:r>
      <w:r w:rsidRPr="00DF5AF0">
        <w:rPr>
          <w:b/>
        </w:rPr>
        <w:t>Rom</w:t>
      </w:r>
      <w:r>
        <w:rPr>
          <w:b/>
        </w:rPr>
        <w:t>é</w:t>
      </w:r>
      <w:r w:rsidRPr="00DF5AF0">
        <w:rPr>
          <w:b/>
        </w:rPr>
        <w:t>nia</w:t>
      </w:r>
      <w:r w:rsidRPr="00DF5AF0">
        <w:t xml:space="preserve"> 8</w:t>
      </w:r>
      <w:r>
        <w:t>,</w:t>
      </w:r>
      <w:r w:rsidRPr="00DF5AF0">
        <w:t>0 cas</w:t>
      </w:r>
      <w:r>
        <w:t>o</w:t>
      </w:r>
      <w:r w:rsidRPr="00DF5AF0">
        <w:t>s).</w:t>
      </w:r>
    </w:p>
    <w:p w:rsidR="00333903" w:rsidRPr="00E525EC" w:rsidRDefault="00333903" w:rsidP="00333903">
      <w:pPr>
        <w:pStyle w:val="newsContent"/>
      </w:pPr>
      <w:r w:rsidRPr="00E525EC">
        <w:t xml:space="preserve">Apesar do </w:t>
      </w:r>
      <w:r w:rsidR="00FD1DB2">
        <w:t xml:space="preserve">sucesso obtido pela </w:t>
      </w:r>
      <w:r w:rsidRPr="00E525EC">
        <w:t>Europa no combate à transmissão do VIH entre os consumidores de droga, este v</w:t>
      </w:r>
      <w:r>
        <w:t xml:space="preserve">írus </w:t>
      </w:r>
      <w:r w:rsidR="00BB029E">
        <w:t xml:space="preserve">mantém o seu </w:t>
      </w:r>
      <w:r w:rsidR="00FD1DB2">
        <w:t xml:space="preserve">potencial para se </w:t>
      </w:r>
      <w:r>
        <w:t xml:space="preserve">propagar rapidamente em </w:t>
      </w:r>
      <w:r w:rsidR="00BB029E">
        <w:t>determinados</w:t>
      </w:r>
      <w:r>
        <w:t xml:space="preserve"> grupos. </w:t>
      </w:r>
      <w:r w:rsidR="007F7698">
        <w:t xml:space="preserve">    </w:t>
      </w:r>
      <w:r w:rsidRPr="00E525EC">
        <w:t xml:space="preserve">Uma avaliação de riscos </w:t>
      </w:r>
      <w:r w:rsidR="00BB029E">
        <w:t>efetuada</w:t>
      </w:r>
      <w:r w:rsidRPr="00E525EC">
        <w:t xml:space="preserve"> em 2013 pelo </w:t>
      </w:r>
      <w:r w:rsidRPr="00E525EC">
        <w:rPr>
          <w:b/>
        </w:rPr>
        <w:t>EMCDDA–ECDC</w:t>
      </w:r>
      <w:r w:rsidR="00C2551F" w:rsidRPr="007F7698">
        <w:t>,</w:t>
      </w:r>
      <w:r w:rsidRPr="00E525EC">
        <w:t xml:space="preserve"> com o objetivo de </w:t>
      </w:r>
      <w:r w:rsidR="00830AC0">
        <w:t>identificar</w:t>
      </w:r>
      <w:r w:rsidRPr="00E525EC">
        <w:t xml:space="preserve"> os países vulneráveis a novos surtos de VIH</w:t>
      </w:r>
      <w:r w:rsidR="00C2551F">
        <w:t>,</w:t>
      </w:r>
      <w:r w:rsidRPr="00E525EC">
        <w:t xml:space="preserve"> revelou a presença </w:t>
      </w:r>
      <w:r>
        <w:t xml:space="preserve">de um ou mais indicadores de risco em cerca de um terço dos </w:t>
      </w:r>
      <w:r w:rsidRPr="00E525EC">
        <w:t xml:space="preserve">30 </w:t>
      </w:r>
      <w:r>
        <w:t>países examinados </w:t>
      </w:r>
      <w:r w:rsidRPr="00E525EC">
        <w:t>(</w:t>
      </w:r>
      <w:r w:rsidRPr="00E525EC">
        <w:rPr>
          <w:vertAlign w:val="superscript"/>
        </w:rPr>
        <w:t>3</w:t>
      </w:r>
      <w:r w:rsidRPr="00E525EC">
        <w:t xml:space="preserve">). Este resultado </w:t>
      </w:r>
      <w:r w:rsidR="00830AC0">
        <w:t>sugere</w:t>
      </w:r>
      <w:r w:rsidR="00FD1DB2">
        <w:t xml:space="preserve"> </w:t>
      </w:r>
      <w:r w:rsidRPr="00E525EC">
        <w:t>a necessidade de vigil</w:t>
      </w:r>
      <w:r>
        <w:t xml:space="preserve">ância contínua e de uma maior cobertura das medidas de prevenção do VIH </w:t>
      </w:r>
      <w:r w:rsidRPr="00E525EC">
        <w:t>(Figur</w:t>
      </w:r>
      <w:r>
        <w:t>a</w:t>
      </w:r>
      <w:r w:rsidRPr="00E525EC">
        <w:t xml:space="preserve"> 3.5).</w:t>
      </w:r>
    </w:p>
    <w:p w:rsidR="00333903" w:rsidRPr="00E525EC" w:rsidRDefault="00333903" w:rsidP="00333903">
      <w:pPr>
        <w:pStyle w:val="newsContent"/>
      </w:pPr>
      <w:r w:rsidRPr="00E525EC">
        <w:rPr>
          <w:b/>
        </w:rPr>
        <w:t>Estimulantes: cocaína est</w:t>
      </w:r>
      <w:r>
        <w:rPr>
          <w:b/>
        </w:rPr>
        <w:t xml:space="preserve">ável ou </w:t>
      </w:r>
      <w:r w:rsidRPr="00E525EC">
        <w:rPr>
          <w:b/>
        </w:rPr>
        <w:t xml:space="preserve">em </w:t>
      </w:r>
      <w:r w:rsidR="00830AC0">
        <w:rPr>
          <w:b/>
        </w:rPr>
        <w:t xml:space="preserve">queda, mas </w:t>
      </w:r>
      <w:r w:rsidRPr="00E525EC">
        <w:rPr>
          <w:b/>
        </w:rPr>
        <w:t xml:space="preserve">metanfetamina e MDMA </w:t>
      </w:r>
      <w:r w:rsidR="00830AC0">
        <w:rPr>
          <w:b/>
        </w:rPr>
        <w:t>suscitam</w:t>
      </w:r>
      <w:r w:rsidR="00FD1DB2">
        <w:rPr>
          <w:b/>
        </w:rPr>
        <w:t xml:space="preserve"> </w:t>
      </w:r>
      <w:r w:rsidRPr="00E525EC">
        <w:rPr>
          <w:b/>
        </w:rPr>
        <w:t>preocupaç</w:t>
      </w:r>
      <w:r w:rsidR="00FD1DB2">
        <w:rPr>
          <w:b/>
        </w:rPr>
        <w:t>ão</w:t>
      </w:r>
    </w:p>
    <w:p w:rsidR="00333903" w:rsidRDefault="00333903" w:rsidP="00000FE8">
      <w:pPr>
        <w:pStyle w:val="newsContent"/>
        <w:ind w:right="-144"/>
      </w:pPr>
      <w:r w:rsidRPr="002D0ECF">
        <w:t xml:space="preserve">A cocaína continua a ser </w:t>
      </w:r>
      <w:r w:rsidR="00830AC0">
        <w:t>o</w:t>
      </w:r>
      <w:r w:rsidRPr="002D0ECF">
        <w:t xml:space="preserve"> estimulante ilícit</w:t>
      </w:r>
      <w:r w:rsidR="00830AC0">
        <w:t>o</w:t>
      </w:r>
      <w:r w:rsidRPr="002D0ECF">
        <w:t xml:space="preserve"> mais consumid</w:t>
      </w:r>
      <w:r w:rsidR="00830AC0">
        <w:t>o</w:t>
      </w:r>
      <w:r w:rsidRPr="002D0ECF">
        <w:t xml:space="preserve"> na Europa, embora os consumidores </w:t>
      </w:r>
      <w:r w:rsidR="00FD1DB2">
        <w:t xml:space="preserve">se </w:t>
      </w:r>
      <w:r>
        <w:t>concentr</w:t>
      </w:r>
      <w:r w:rsidR="00FD1DB2">
        <w:t xml:space="preserve">em </w:t>
      </w:r>
      <w:r w:rsidRPr="002D0ECF">
        <w:t>num pequeno n</w:t>
      </w:r>
      <w:r>
        <w:t>úmero de países ocidentais da União Europeia</w:t>
      </w:r>
      <w:r w:rsidRPr="002D0ECF">
        <w:t xml:space="preserve">. Estima-se que </w:t>
      </w:r>
      <w:r w:rsidR="00C2551F">
        <w:t xml:space="preserve">cerca de </w:t>
      </w:r>
      <w:r w:rsidRPr="002D0ECF">
        <w:t>14</w:t>
      </w:r>
      <w:r w:rsidR="00FD1DB2">
        <w:t>,</w:t>
      </w:r>
      <w:r w:rsidRPr="002D0ECF">
        <w:t>1 milhões de adultos europeus (</w:t>
      </w:r>
      <w:r w:rsidR="0044394B">
        <w:t xml:space="preserve">entre os </w:t>
      </w:r>
      <w:r w:rsidRPr="002D0ECF">
        <w:t>15</w:t>
      </w:r>
      <w:r w:rsidR="0044394B">
        <w:t xml:space="preserve"> e</w:t>
      </w:r>
      <w:r w:rsidR="00F777DA">
        <w:t xml:space="preserve"> </w:t>
      </w:r>
      <w:r w:rsidR="0044394B">
        <w:t xml:space="preserve">os </w:t>
      </w:r>
      <w:r w:rsidRPr="002D0ECF">
        <w:t>64 anos) já tenham consumido essa droga</w:t>
      </w:r>
      <w:r w:rsidR="0044394B">
        <w:t>;</w:t>
      </w:r>
      <w:r w:rsidR="00755CA6">
        <w:t xml:space="preserve"> </w:t>
      </w:r>
      <w:r w:rsidR="00FD1DB2" w:rsidRPr="002D0ECF">
        <w:t>3</w:t>
      </w:r>
      <w:r w:rsidR="00FD1DB2">
        <w:t>,</w:t>
      </w:r>
      <w:r w:rsidR="00FD1DB2" w:rsidRPr="002D0ECF">
        <w:t>1 mil</w:t>
      </w:r>
      <w:r w:rsidR="00FD1DB2">
        <w:t>hões</w:t>
      </w:r>
      <w:r w:rsidR="00FD1DB2" w:rsidRPr="002D0ECF">
        <w:t xml:space="preserve"> </w:t>
      </w:r>
      <w:r w:rsidR="00FD1DB2">
        <w:t xml:space="preserve">dos quais </w:t>
      </w:r>
      <w:r>
        <w:t>no último ano</w:t>
      </w:r>
      <w:r w:rsidR="00FD1DB2">
        <w:t xml:space="preserve"> </w:t>
      </w:r>
      <w:r w:rsidRPr="002D0ECF">
        <w:t>(</w:t>
      </w:r>
      <w:r>
        <w:t>ver quadro «</w:t>
      </w:r>
      <w:r w:rsidR="00B25AE0">
        <w:t>Síntese</w:t>
      </w:r>
      <w:r>
        <w:t>»</w:t>
      </w:r>
      <w:r w:rsidRPr="002D0ECF">
        <w:t xml:space="preserve">). Dados recentes sugerem que o consumo de cocaína está a </w:t>
      </w:r>
      <w:r w:rsidR="00AF6A64">
        <w:t>decrescer</w:t>
      </w:r>
      <w:r w:rsidRPr="002D0ECF">
        <w:t>, tendo 11 dos 12 pa</w:t>
      </w:r>
      <w:r>
        <w:t xml:space="preserve">íses que </w:t>
      </w:r>
      <w:r w:rsidR="00FD1DB2">
        <w:t>realizaram</w:t>
      </w:r>
      <w:r>
        <w:t xml:space="preserve"> inquéritos entre </w:t>
      </w:r>
      <w:r w:rsidRPr="002D0ECF">
        <w:t xml:space="preserve">2011 </w:t>
      </w:r>
      <w:r>
        <w:t xml:space="preserve">e </w:t>
      </w:r>
      <w:r w:rsidRPr="002D0ECF">
        <w:t xml:space="preserve">2013 </w:t>
      </w:r>
      <w:r w:rsidR="00B768F5">
        <w:t xml:space="preserve">assinalado </w:t>
      </w:r>
      <w:r w:rsidR="00F777DA">
        <w:t>uma diminuição</w:t>
      </w:r>
      <w:r w:rsidR="00AF6A64">
        <w:t xml:space="preserve"> </w:t>
      </w:r>
      <w:r>
        <w:t xml:space="preserve">da prevalência entre os jovens adultos </w:t>
      </w:r>
      <w:r w:rsidRPr="002D0ECF">
        <w:t>(</w:t>
      </w:r>
      <w:r w:rsidR="00AF6A64">
        <w:t xml:space="preserve">entre os </w:t>
      </w:r>
      <w:r w:rsidRPr="002D0ECF">
        <w:t>15</w:t>
      </w:r>
      <w:r w:rsidR="00AF6A64">
        <w:t xml:space="preserve"> e os</w:t>
      </w:r>
      <w:r w:rsidR="00755CA6">
        <w:t xml:space="preserve"> </w:t>
      </w:r>
      <w:r w:rsidRPr="002D0ECF">
        <w:t xml:space="preserve">34 </w:t>
      </w:r>
      <w:r>
        <w:t>anos</w:t>
      </w:r>
      <w:r w:rsidRPr="002D0ECF">
        <w:t xml:space="preserve">). </w:t>
      </w:r>
      <w:r w:rsidR="00EB291D">
        <w:t xml:space="preserve">Analisando </w:t>
      </w:r>
      <w:r w:rsidR="00830AC0">
        <w:t xml:space="preserve">as </w:t>
      </w:r>
      <w:r w:rsidRPr="002D0ECF">
        <w:t>tendências a longo prazo do consum</w:t>
      </w:r>
      <w:r w:rsidR="00FD1DB2">
        <w:t>o</w:t>
      </w:r>
      <w:r w:rsidRPr="002D0ECF">
        <w:t xml:space="preserve"> de cocaína</w:t>
      </w:r>
      <w:r w:rsidR="00830AC0">
        <w:t xml:space="preserve"> </w:t>
      </w:r>
      <w:r w:rsidR="00B91677">
        <w:t xml:space="preserve">verificou-se </w:t>
      </w:r>
      <w:r w:rsidR="00C2551F">
        <w:t xml:space="preserve">que este atingiu o seu ponto mais alto em 2008, seguido de </w:t>
      </w:r>
      <w:r w:rsidR="00B91677">
        <w:t>uma</w:t>
      </w:r>
      <w:r w:rsidR="00830AC0">
        <w:t xml:space="preserve"> diminui</w:t>
      </w:r>
      <w:r w:rsidR="00B91677">
        <w:t>ção</w:t>
      </w:r>
      <w:r w:rsidRPr="002D0ECF">
        <w:t xml:space="preserve"> na </w:t>
      </w:r>
      <w:r w:rsidRPr="002D0ECF">
        <w:rPr>
          <w:b/>
        </w:rPr>
        <w:t>Dinamarca</w:t>
      </w:r>
      <w:r w:rsidRPr="007F7698">
        <w:t>,</w:t>
      </w:r>
      <w:r w:rsidRPr="002D0ECF">
        <w:rPr>
          <w:b/>
        </w:rPr>
        <w:t xml:space="preserve"> </w:t>
      </w:r>
      <w:r>
        <w:t xml:space="preserve">em </w:t>
      </w:r>
      <w:r>
        <w:rPr>
          <w:b/>
        </w:rPr>
        <w:t xml:space="preserve">Espanha </w:t>
      </w:r>
      <w:r>
        <w:t xml:space="preserve">e </w:t>
      </w:r>
      <w:r w:rsidRPr="002D0ECF">
        <w:t>n</w:t>
      </w:r>
      <w:r>
        <w:t xml:space="preserve">o </w:t>
      </w:r>
      <w:r>
        <w:rPr>
          <w:b/>
        </w:rPr>
        <w:t>Reino Unido</w:t>
      </w:r>
      <w:r w:rsidRPr="002D0ECF">
        <w:t xml:space="preserve"> (</w:t>
      </w:r>
      <w:r>
        <w:t xml:space="preserve">países </w:t>
      </w:r>
      <w:r w:rsidR="00B768F5">
        <w:t>com</w:t>
      </w:r>
      <w:r>
        <w:t xml:space="preserve"> taxas de prevalência relativamente elevadas</w:t>
      </w:r>
      <w:r w:rsidRPr="002D0ECF">
        <w:t>) (Figur</w:t>
      </w:r>
      <w:r>
        <w:t>a</w:t>
      </w:r>
      <w:r w:rsidRPr="002D0ECF">
        <w:t xml:space="preserve"> 2.5). </w:t>
      </w:r>
      <w:r>
        <w:t xml:space="preserve">Na maioria dos outros países, </w:t>
      </w:r>
      <w:r w:rsidR="00B768F5">
        <w:t xml:space="preserve">o consumo mantém-se estável ou tende </w:t>
      </w:r>
      <w:r>
        <w:t>a</w:t>
      </w:r>
      <w:r w:rsidR="00B768F5">
        <w:t xml:space="preserve"> </w:t>
      </w:r>
      <w:r w:rsidR="00AF6A64">
        <w:t>diminuir</w:t>
      </w:r>
      <w:r w:rsidRPr="00243EE8">
        <w:t xml:space="preserve">. </w:t>
      </w:r>
    </w:p>
    <w:p w:rsidR="00333903" w:rsidRPr="00243EE8" w:rsidRDefault="00333903" w:rsidP="00000FE8">
      <w:pPr>
        <w:pStyle w:val="newsContent"/>
        <w:ind w:right="-144"/>
      </w:pPr>
      <w:r>
        <w:t>Na Europa, o</w:t>
      </w:r>
      <w:r w:rsidRPr="00243EE8">
        <w:t xml:space="preserve"> </w:t>
      </w:r>
      <w:r>
        <w:t>consumo</w:t>
      </w:r>
      <w:r w:rsidRPr="00243EE8">
        <w:t xml:space="preserve"> de anfetaminas (</w:t>
      </w:r>
      <w:r w:rsidR="00FD1DB2">
        <w:t>incluindo</w:t>
      </w:r>
      <w:r w:rsidR="000C1120">
        <w:t xml:space="preserve"> a</w:t>
      </w:r>
      <w:r w:rsidRPr="00243EE8">
        <w:t xml:space="preserve"> anfetamina e</w:t>
      </w:r>
      <w:r w:rsidR="000C1120">
        <w:t xml:space="preserve"> a</w:t>
      </w:r>
      <w:r w:rsidRPr="00243EE8">
        <w:t xml:space="preserve"> metanfetamina) continua a ser globalmente </w:t>
      </w:r>
      <w:r w:rsidR="00FD1DB2">
        <w:t xml:space="preserve">inferior ao </w:t>
      </w:r>
      <w:r w:rsidRPr="00243EE8">
        <w:t>da cocaína</w:t>
      </w:r>
      <w:r w:rsidR="00B768F5">
        <w:t>:</w:t>
      </w:r>
      <w:r w:rsidR="00FD1DB2">
        <w:t xml:space="preserve"> </w:t>
      </w:r>
      <w:r w:rsidR="000C1120">
        <w:t xml:space="preserve">com </w:t>
      </w:r>
      <w:r>
        <w:t xml:space="preserve">cerca de </w:t>
      </w:r>
      <w:r w:rsidRPr="00243EE8">
        <w:t>11</w:t>
      </w:r>
      <w:r>
        <w:t>,</w:t>
      </w:r>
      <w:r w:rsidRPr="00243EE8">
        <w:t>4 mil</w:t>
      </w:r>
      <w:r>
        <w:t xml:space="preserve">hões </w:t>
      </w:r>
      <w:r w:rsidR="00B768F5">
        <w:t>de</w:t>
      </w:r>
      <w:r w:rsidR="00FD1DB2">
        <w:t xml:space="preserve"> </w:t>
      </w:r>
      <w:r>
        <w:t>adultos</w:t>
      </w:r>
      <w:r w:rsidR="000C1120">
        <w:t xml:space="preserve"> a</w:t>
      </w:r>
      <w:r w:rsidR="00B768F5">
        <w:t xml:space="preserve"> refer</w:t>
      </w:r>
      <w:r w:rsidR="000C1120">
        <w:t>irem</w:t>
      </w:r>
      <w:r w:rsidR="00B768F5">
        <w:t xml:space="preserve"> o seu consumo pelo menos uma vez na</w:t>
      </w:r>
      <w:r>
        <w:t xml:space="preserve"> vida e </w:t>
      </w:r>
      <w:r w:rsidRPr="00243EE8">
        <w:t>1</w:t>
      </w:r>
      <w:r>
        <w:t>,</w:t>
      </w:r>
      <w:r w:rsidRPr="00243EE8">
        <w:t>5 mil</w:t>
      </w:r>
      <w:r>
        <w:t>hões</w:t>
      </w:r>
      <w:r w:rsidR="00B768F5">
        <w:t xml:space="preserve"> </w:t>
      </w:r>
      <w:r>
        <w:t>no último ano</w:t>
      </w:r>
      <w:r w:rsidRPr="00243EE8">
        <w:t xml:space="preserve">. Das duas drogas, a anfetamina é a mais </w:t>
      </w:r>
      <w:r w:rsidR="00EB2C19">
        <w:t>utilizada</w:t>
      </w:r>
      <w:r w:rsidRPr="00243EE8">
        <w:t>, mas disponibilidade e o consumo de metanfetamina n</w:t>
      </w:r>
      <w:r w:rsidR="00EB2C19">
        <w:t>a</w:t>
      </w:r>
      <w:r>
        <w:t xml:space="preserve"> </w:t>
      </w:r>
      <w:r w:rsidR="005832EB">
        <w:t>Europa</w:t>
      </w:r>
      <w:r w:rsidR="00C2551F">
        <w:t xml:space="preserve"> suscitam preocupações crescentes</w:t>
      </w:r>
      <w:r w:rsidRPr="00243EE8">
        <w:t xml:space="preserve">. </w:t>
      </w:r>
      <w:r w:rsidR="007F7698">
        <w:t xml:space="preserve">         </w:t>
      </w:r>
      <w:r w:rsidRPr="00243EE8">
        <w:t xml:space="preserve">O relatório hoje </w:t>
      </w:r>
      <w:r w:rsidR="00F634FB">
        <w:t xml:space="preserve">publicado </w:t>
      </w:r>
      <w:r w:rsidR="00B768F5">
        <w:t>refere que</w:t>
      </w:r>
      <w:r w:rsidRPr="00243EE8">
        <w:t xml:space="preserve"> as apreensões de metanfetamina, ainda </w:t>
      </w:r>
      <w:r w:rsidR="00F634FB">
        <w:t xml:space="preserve">que </w:t>
      </w:r>
      <w:r w:rsidR="00C2551F">
        <w:t>reduzidas</w:t>
      </w:r>
      <w:r w:rsidR="00C2551F" w:rsidRPr="00243EE8">
        <w:t xml:space="preserve"> </w:t>
      </w:r>
      <w:r w:rsidRPr="00243EE8">
        <w:t>em n</w:t>
      </w:r>
      <w:r>
        <w:t xml:space="preserve">úmero e quantidade, têm vindo a </w:t>
      </w:r>
      <w:r w:rsidR="00C2551F">
        <w:t xml:space="preserve">aumentar </w:t>
      </w:r>
      <w:r>
        <w:t>ao longo da última década</w:t>
      </w:r>
      <w:r w:rsidRPr="00243EE8">
        <w:t xml:space="preserve">, </w:t>
      </w:r>
      <w:r>
        <w:t xml:space="preserve">o que indica uma maior disponibilidade desta droga </w:t>
      </w:r>
      <w:r w:rsidRPr="00243EE8">
        <w:t>(Figur</w:t>
      </w:r>
      <w:r>
        <w:t>a</w:t>
      </w:r>
      <w:r w:rsidRPr="00243EE8">
        <w:t xml:space="preserve"> 1.10). Em 2012, foram notificadas na </w:t>
      </w:r>
      <w:r w:rsidRPr="00243EE8">
        <w:rPr>
          <w:b/>
        </w:rPr>
        <w:t xml:space="preserve">UE </w:t>
      </w:r>
      <w:r w:rsidR="004317D9">
        <w:t>7</w:t>
      </w:r>
      <w:r w:rsidRPr="00243EE8">
        <w:t>000 apreensões</w:t>
      </w:r>
      <w:r w:rsidR="00820C6A">
        <w:t>,</w:t>
      </w:r>
      <w:r w:rsidRPr="00243EE8">
        <w:t xml:space="preserve"> equivalentes a 343 kg. Outras 4000 apreensões, correspondentes a 637 kg, foram </w:t>
      </w:r>
      <w:r w:rsidR="008B6CDF">
        <w:t>reportadas</w:t>
      </w:r>
      <w:r w:rsidRPr="00243EE8">
        <w:t xml:space="preserve"> pela </w:t>
      </w:r>
      <w:r w:rsidRPr="00243EE8">
        <w:rPr>
          <w:b/>
        </w:rPr>
        <w:t xml:space="preserve">Turquia </w:t>
      </w:r>
      <w:r w:rsidR="00F777DA">
        <w:t>e</w:t>
      </w:r>
      <w:r w:rsidRPr="00243EE8">
        <w:t xml:space="preserve"> </w:t>
      </w:r>
      <w:r w:rsidRPr="00243EE8">
        <w:rPr>
          <w:b/>
        </w:rPr>
        <w:t>Noruega</w:t>
      </w:r>
      <w:r w:rsidRPr="00243EE8">
        <w:t xml:space="preserve"> (quase o dobro da quantidade apreendida </w:t>
      </w:r>
      <w:r w:rsidR="005433B7">
        <w:t xml:space="preserve">em toda </w:t>
      </w:r>
      <w:r w:rsidR="00820C6A">
        <w:t>a</w:t>
      </w:r>
      <w:r w:rsidRPr="00243EE8">
        <w:t xml:space="preserve"> </w:t>
      </w:r>
      <w:r w:rsidRPr="00243EE8">
        <w:rPr>
          <w:b/>
        </w:rPr>
        <w:t>U</w:t>
      </w:r>
      <w:r w:rsidR="008B6CDF">
        <w:rPr>
          <w:b/>
        </w:rPr>
        <w:t>E</w:t>
      </w:r>
      <w:r w:rsidRPr="00243EE8">
        <w:t>).</w:t>
      </w:r>
    </w:p>
    <w:p w:rsidR="00EC1A1C" w:rsidRPr="00DC615C" w:rsidRDefault="00EC1A1C" w:rsidP="00EC1A1C">
      <w:pPr>
        <w:pStyle w:val="newsContent"/>
      </w:pPr>
      <w:r w:rsidRPr="00590AC9">
        <w:t xml:space="preserve">O consumo de metanfetamina, historicamente baixo na Europa e </w:t>
      </w:r>
      <w:r w:rsidR="000A224A">
        <w:t xml:space="preserve">essencialmente </w:t>
      </w:r>
      <w:r w:rsidRPr="00590AC9">
        <w:t xml:space="preserve">limitado à </w:t>
      </w:r>
      <w:r w:rsidRPr="00590AC9">
        <w:rPr>
          <w:b/>
        </w:rPr>
        <w:t xml:space="preserve">República Checa </w:t>
      </w:r>
      <w:r w:rsidRPr="00590AC9">
        <w:t xml:space="preserve">e à </w:t>
      </w:r>
      <w:r>
        <w:rPr>
          <w:b/>
        </w:rPr>
        <w:t>Eslováquia</w:t>
      </w:r>
      <w:r w:rsidRPr="00590AC9">
        <w:t>,</w:t>
      </w:r>
      <w:r>
        <w:rPr>
          <w:b/>
        </w:rPr>
        <w:t xml:space="preserve"> </w:t>
      </w:r>
      <w:r>
        <w:t>parece estar agora a disseminar-se (por ex</w:t>
      </w:r>
      <w:r w:rsidR="00A332FC">
        <w:t>.:</w:t>
      </w:r>
      <w:r>
        <w:t xml:space="preserve"> na </w:t>
      </w:r>
      <w:r>
        <w:rPr>
          <w:b/>
        </w:rPr>
        <w:t>Alemanha</w:t>
      </w:r>
      <w:r>
        <w:t xml:space="preserve">). </w:t>
      </w:r>
      <w:r w:rsidR="00820C6A">
        <w:t>D</w:t>
      </w:r>
      <w:r w:rsidRPr="00590AC9">
        <w:t xml:space="preserve">o </w:t>
      </w:r>
      <w:r>
        <w:t>S</w:t>
      </w:r>
      <w:r w:rsidRPr="00590AC9">
        <w:t>udeste da Europa (</w:t>
      </w:r>
      <w:r w:rsidRPr="00590AC9">
        <w:rPr>
          <w:b/>
        </w:rPr>
        <w:t>Grécia, Chipre e Turquia</w:t>
      </w:r>
      <w:r w:rsidRPr="00590AC9">
        <w:t xml:space="preserve">) </w:t>
      </w:r>
      <w:r w:rsidR="00820C6A">
        <w:t>chegam notícias</w:t>
      </w:r>
      <w:r w:rsidR="00820C6A" w:rsidRPr="00590AC9">
        <w:t xml:space="preserve"> preocupantes </w:t>
      </w:r>
      <w:r w:rsidRPr="00590AC9">
        <w:t xml:space="preserve">de que o consumo de </w:t>
      </w:r>
      <w:r>
        <w:t xml:space="preserve">cristais de metanfetamina </w:t>
      </w:r>
      <w:r w:rsidRPr="00A332FC">
        <w:t>fumados</w:t>
      </w:r>
      <w:r w:rsidRPr="00012FDD">
        <w:t xml:space="preserve"> </w:t>
      </w:r>
      <w:r>
        <w:t>constitui um pr</w:t>
      </w:r>
      <w:r w:rsidR="000A224A">
        <w:t>oblema</w:t>
      </w:r>
      <w:r w:rsidR="00820C6A">
        <w:t xml:space="preserve"> </w:t>
      </w:r>
      <w:r w:rsidR="00C2551F">
        <w:t>ainda circunscrito</w:t>
      </w:r>
      <w:r w:rsidR="000A224A">
        <w:t xml:space="preserve">, mas emergente e passível de </w:t>
      </w:r>
      <w:r>
        <w:t xml:space="preserve">se expandir entre as populações vulneráveis. </w:t>
      </w:r>
      <w:r w:rsidR="00820C6A" w:rsidRPr="003E7B65">
        <w:rPr>
          <w:rFonts w:eastAsia="Times New Roman"/>
        </w:rPr>
        <w:t xml:space="preserve">Acresce que, em algumas grandes cidades europeias, foram detetadas novas tendências para o consumo de </w:t>
      </w:r>
      <w:r w:rsidR="00012FDD">
        <w:rPr>
          <w:rFonts w:eastAsia="Times New Roman"/>
        </w:rPr>
        <w:t>metanfetamina</w:t>
      </w:r>
      <w:r w:rsidR="00820C6A" w:rsidRPr="003E7B65">
        <w:rPr>
          <w:rFonts w:eastAsia="Times New Roman"/>
        </w:rPr>
        <w:t xml:space="preserve"> injetada entre pequenos grupos de homens que têm relações sexuais com outros homens</w:t>
      </w:r>
      <w:r w:rsidR="00820C6A">
        <w:rPr>
          <w:rFonts w:eastAsia="Times New Roman"/>
        </w:rPr>
        <w:t> </w:t>
      </w:r>
      <w:r w:rsidRPr="00DC615C">
        <w:t>(</w:t>
      </w:r>
      <w:r w:rsidRPr="00DC615C">
        <w:rPr>
          <w:vertAlign w:val="superscript"/>
        </w:rPr>
        <w:t>4</w:t>
      </w:r>
      <w:r w:rsidRPr="00DC615C">
        <w:t xml:space="preserve">). </w:t>
      </w:r>
    </w:p>
    <w:p w:rsidR="002551C3" w:rsidRPr="00DC615C" w:rsidRDefault="00DD6E77" w:rsidP="002551C3">
      <w:pPr>
        <w:pStyle w:val="newsContent"/>
      </w:pPr>
      <w:r>
        <w:t xml:space="preserve">O relatório destaca também </w:t>
      </w:r>
      <w:r w:rsidR="00820C6A">
        <w:t xml:space="preserve">os receios suscitados pelo </w:t>
      </w:r>
      <w:r w:rsidR="00C2551F">
        <w:t>ressurgimento</w:t>
      </w:r>
      <w:r w:rsidR="002551C3" w:rsidRPr="00DC615C">
        <w:t xml:space="preserve"> de p</w:t>
      </w:r>
      <w:r w:rsidR="002551C3">
        <w:t xml:space="preserve">ós e comprimidos de </w:t>
      </w:r>
      <w:r w:rsidR="002551C3" w:rsidRPr="00DC615C">
        <w:rPr>
          <w:i/>
        </w:rPr>
        <w:t>ecstasy</w:t>
      </w:r>
      <w:r w:rsidR="002551C3" w:rsidRPr="00DC615C">
        <w:t xml:space="preserve"> (MDMA) </w:t>
      </w:r>
      <w:r w:rsidR="002551C3">
        <w:t xml:space="preserve">de alta qualidade. As apreensões </w:t>
      </w:r>
      <w:r w:rsidR="00820C6A" w:rsidRPr="003E7B65">
        <w:rPr>
          <w:rFonts w:eastAsia="Times New Roman"/>
        </w:rPr>
        <w:t>e as notificações de efeitos adversos para a saúde levaram</w:t>
      </w:r>
      <w:r w:rsidR="002551C3">
        <w:t xml:space="preserve"> a </w:t>
      </w:r>
      <w:r w:rsidR="002551C3" w:rsidRPr="00DC615C">
        <w:rPr>
          <w:b/>
        </w:rPr>
        <w:lastRenderedPageBreak/>
        <w:t>Europol</w:t>
      </w:r>
      <w:r w:rsidR="002551C3">
        <w:t xml:space="preserve"> e o </w:t>
      </w:r>
      <w:r w:rsidR="002551C3" w:rsidRPr="00DC615C">
        <w:rPr>
          <w:b/>
        </w:rPr>
        <w:t>EMCDDA</w:t>
      </w:r>
      <w:r w:rsidR="002551C3">
        <w:t xml:space="preserve"> a emitir um</w:t>
      </w:r>
      <w:r w:rsidR="00820C6A">
        <w:t>a advertência</w:t>
      </w:r>
      <w:r w:rsidR="002551C3">
        <w:t xml:space="preserve"> conjunt</w:t>
      </w:r>
      <w:r w:rsidR="00820C6A">
        <w:t>a</w:t>
      </w:r>
      <w:r w:rsidR="002551C3">
        <w:t xml:space="preserve"> sobre a disponibilidade </w:t>
      </w:r>
      <w:r w:rsidR="00820C6A">
        <w:t>no mercado de</w:t>
      </w:r>
      <w:r w:rsidR="002551C3">
        <w:t xml:space="preserve"> produtos </w:t>
      </w:r>
      <w:r w:rsidR="00820C6A">
        <w:t>extremamente potentes contendo</w:t>
      </w:r>
      <w:r w:rsidR="002551C3">
        <w:t xml:space="preserve"> </w:t>
      </w:r>
      <w:r w:rsidR="000A224A">
        <w:t>MDMA</w:t>
      </w:r>
      <w:r w:rsidR="00820C6A">
        <w:t> </w:t>
      </w:r>
      <w:r w:rsidR="002551C3" w:rsidRPr="00DC615C">
        <w:t>(</w:t>
      </w:r>
      <w:r w:rsidR="002551C3" w:rsidRPr="00DC615C">
        <w:rPr>
          <w:vertAlign w:val="superscript"/>
        </w:rPr>
        <w:t>5</w:t>
      </w:r>
      <w:r w:rsidR="002551C3" w:rsidRPr="00DC615C">
        <w:t xml:space="preserve">). A </w:t>
      </w:r>
      <w:r w:rsidR="002551C3" w:rsidRPr="00DC615C">
        <w:rPr>
          <w:b/>
        </w:rPr>
        <w:t xml:space="preserve">Europol </w:t>
      </w:r>
      <w:r w:rsidR="002551C3" w:rsidRPr="00DC615C">
        <w:t>comunicou</w:t>
      </w:r>
      <w:r w:rsidR="00820C6A">
        <w:t xml:space="preserve"> </w:t>
      </w:r>
      <w:r w:rsidR="000C7EF7">
        <w:t xml:space="preserve">em </w:t>
      </w:r>
      <w:r w:rsidR="00820C6A">
        <w:t xml:space="preserve">2013 </w:t>
      </w:r>
      <w:r w:rsidR="000C7EF7">
        <w:t xml:space="preserve">o desmantelamento </w:t>
      </w:r>
      <w:r w:rsidR="002551C3" w:rsidRPr="00DC615C">
        <w:t xml:space="preserve">na </w:t>
      </w:r>
      <w:r w:rsidR="002551C3" w:rsidRPr="00DC615C">
        <w:rPr>
          <w:b/>
        </w:rPr>
        <w:t>Bélgica</w:t>
      </w:r>
      <w:r w:rsidR="002551C3">
        <w:rPr>
          <w:rFonts w:eastAsia="Times New Roman"/>
        </w:rPr>
        <w:t xml:space="preserve"> d</w:t>
      </w:r>
      <w:r w:rsidR="000C7EF7">
        <w:rPr>
          <w:rFonts w:eastAsia="Times New Roman"/>
        </w:rPr>
        <w:t xml:space="preserve">as duas </w:t>
      </w:r>
      <w:r w:rsidR="002551C3">
        <w:rPr>
          <w:rFonts w:eastAsia="Times New Roman"/>
        </w:rPr>
        <w:t>maiores instalações de produção d</w:t>
      </w:r>
      <w:r w:rsidR="000A224A">
        <w:rPr>
          <w:rFonts w:eastAsia="Times New Roman"/>
        </w:rPr>
        <w:t>e</w:t>
      </w:r>
      <w:r w:rsidR="002551C3">
        <w:rPr>
          <w:rFonts w:eastAsia="Times New Roman"/>
        </w:rPr>
        <w:t xml:space="preserve"> droga </w:t>
      </w:r>
      <w:r w:rsidR="000C7EF7">
        <w:rPr>
          <w:rFonts w:eastAsia="Times New Roman"/>
        </w:rPr>
        <w:t xml:space="preserve">alguma vez </w:t>
      </w:r>
      <w:r w:rsidR="00EB21CF">
        <w:rPr>
          <w:rFonts w:eastAsia="Times New Roman"/>
        </w:rPr>
        <w:t>descobert</w:t>
      </w:r>
      <w:r w:rsidR="000C7EF7">
        <w:rPr>
          <w:rFonts w:eastAsia="Times New Roman"/>
        </w:rPr>
        <w:t xml:space="preserve">as </w:t>
      </w:r>
      <w:r w:rsidR="002551C3">
        <w:rPr>
          <w:rFonts w:eastAsia="Times New Roman"/>
        </w:rPr>
        <w:t xml:space="preserve">na </w:t>
      </w:r>
      <w:r w:rsidR="002551C3">
        <w:rPr>
          <w:b/>
        </w:rPr>
        <w:t>União Europeia</w:t>
      </w:r>
      <w:r w:rsidR="002551C3" w:rsidRPr="00DC615C">
        <w:t xml:space="preserve">, </w:t>
      </w:r>
      <w:r w:rsidR="002551C3">
        <w:rPr>
          <w:rFonts w:eastAsia="Times New Roman"/>
        </w:rPr>
        <w:t>com capacidade para produzir em muito pouco tempo grandes quantidades de MDMA</w:t>
      </w:r>
      <w:r w:rsidR="002551C3" w:rsidRPr="00DC615C">
        <w:t>.</w:t>
      </w:r>
    </w:p>
    <w:p w:rsidR="0026528A" w:rsidRPr="00804817" w:rsidRDefault="0026528A" w:rsidP="0026528A">
      <w:pPr>
        <w:pStyle w:val="newsContent"/>
        <w:rPr>
          <w:b/>
        </w:rPr>
      </w:pPr>
      <w:r>
        <w:rPr>
          <w:b/>
        </w:rPr>
        <w:t xml:space="preserve">Novas substâncias psicoativas: </w:t>
      </w:r>
      <w:r w:rsidR="001A5A1F">
        <w:rPr>
          <w:b/>
        </w:rPr>
        <w:t>S</w:t>
      </w:r>
      <w:r>
        <w:rPr>
          <w:b/>
        </w:rPr>
        <w:t xml:space="preserve">istema de </w:t>
      </w:r>
      <w:r w:rsidR="001A5A1F">
        <w:rPr>
          <w:b/>
        </w:rPr>
        <w:t>A</w:t>
      </w:r>
      <w:r>
        <w:rPr>
          <w:b/>
        </w:rPr>
        <w:t xml:space="preserve">lerta </w:t>
      </w:r>
      <w:r w:rsidR="001A5A1F">
        <w:rPr>
          <w:b/>
        </w:rPr>
        <w:t>R</w:t>
      </w:r>
      <w:r>
        <w:rPr>
          <w:b/>
        </w:rPr>
        <w:t>ápido da UE «sob pressão crescente»</w:t>
      </w:r>
    </w:p>
    <w:p w:rsidR="008552F1" w:rsidRPr="000A588B" w:rsidRDefault="008552F1" w:rsidP="008552F1">
      <w:pPr>
        <w:pStyle w:val="newsContent"/>
      </w:pPr>
      <w:r>
        <w:t>Na</w:t>
      </w:r>
      <w:r w:rsidRPr="007A6DB7">
        <w:t xml:space="preserve"> Europ</w:t>
      </w:r>
      <w:r>
        <w:t xml:space="preserve">a, </w:t>
      </w:r>
      <w:r w:rsidR="00C2551F">
        <w:t>o aumento</w:t>
      </w:r>
      <w:r w:rsidR="000C7EF7">
        <w:t xml:space="preserve"> </w:t>
      </w:r>
      <w:r w:rsidRPr="007A6DB7">
        <w:t>d</w:t>
      </w:r>
      <w:r>
        <w:t>as</w:t>
      </w:r>
      <w:r w:rsidRPr="007A6DB7">
        <w:t xml:space="preserve"> novas substâncias psicoativas (</w:t>
      </w:r>
      <w:r w:rsidR="00EB21CF">
        <w:t xml:space="preserve">NSP </w:t>
      </w:r>
      <w:r>
        <w:t>ou «novas drogas»</w:t>
      </w:r>
      <w:r w:rsidRPr="007A6DB7">
        <w:t xml:space="preserve">) </w:t>
      </w:r>
      <w:r>
        <w:t xml:space="preserve">em </w:t>
      </w:r>
      <w:r w:rsidRPr="007A6DB7">
        <w:t xml:space="preserve">número, tipo e disponibilidade </w:t>
      </w:r>
      <w:r>
        <w:t xml:space="preserve">não </w:t>
      </w:r>
      <w:r w:rsidR="000C7EF7">
        <w:t>mostra</w:t>
      </w:r>
      <w:r>
        <w:t xml:space="preserve"> sinais de</w:t>
      </w:r>
      <w:r w:rsidR="001924B7">
        <w:t xml:space="preserve"> </w:t>
      </w:r>
      <w:r w:rsidR="00EB21CF">
        <w:t>diminuição</w:t>
      </w:r>
      <w:r>
        <w:t xml:space="preserve">, </w:t>
      </w:r>
      <w:r w:rsidR="000C7EF7">
        <w:t>afirma</w:t>
      </w:r>
      <w:r>
        <w:t xml:space="preserve"> o </w:t>
      </w:r>
      <w:r w:rsidRPr="007A6DB7">
        <w:rPr>
          <w:b/>
        </w:rPr>
        <w:t>EMCDDA</w:t>
      </w:r>
      <w:r w:rsidRPr="007A6DB7">
        <w:t xml:space="preserve">. Em 2013, </w:t>
      </w:r>
      <w:r w:rsidR="00FC44B8">
        <w:t>81 novas drogas</w:t>
      </w:r>
      <w:r w:rsidR="000219AF">
        <w:t xml:space="preserve"> </w:t>
      </w:r>
      <w:r w:rsidR="00DD6E77" w:rsidRPr="007A6DB7">
        <w:t>foram</w:t>
      </w:r>
      <w:r w:rsidR="00DD6E77">
        <w:t xml:space="preserve"> notificadas</w:t>
      </w:r>
      <w:r w:rsidR="00DD6E77" w:rsidRPr="007A6DB7">
        <w:t xml:space="preserve"> pela primeira vez</w:t>
      </w:r>
      <w:r w:rsidR="00DD6E77">
        <w:t xml:space="preserve"> junto do</w:t>
      </w:r>
      <w:r w:rsidRPr="007A6DB7">
        <w:t xml:space="preserve"> </w:t>
      </w:r>
      <w:r w:rsidR="008837C8">
        <w:rPr>
          <w:b/>
        </w:rPr>
        <w:t>S</w:t>
      </w:r>
      <w:r>
        <w:rPr>
          <w:b/>
        </w:rPr>
        <w:t xml:space="preserve">istema de </w:t>
      </w:r>
      <w:r w:rsidR="002C2237">
        <w:rPr>
          <w:b/>
        </w:rPr>
        <w:t>A</w:t>
      </w:r>
      <w:r>
        <w:rPr>
          <w:b/>
        </w:rPr>
        <w:t xml:space="preserve">lerta </w:t>
      </w:r>
      <w:r w:rsidR="008837C8">
        <w:rPr>
          <w:b/>
        </w:rPr>
        <w:t>R</w:t>
      </w:r>
      <w:r>
        <w:rPr>
          <w:b/>
        </w:rPr>
        <w:t xml:space="preserve">ápido da </w:t>
      </w:r>
      <w:r w:rsidR="00755CA6">
        <w:rPr>
          <w:b/>
        </w:rPr>
        <w:t>UE</w:t>
      </w:r>
      <w:r w:rsidR="008837C8">
        <w:rPr>
          <w:b/>
        </w:rPr>
        <w:t xml:space="preserve"> (EU</w:t>
      </w:r>
      <w:r w:rsidR="001924B7">
        <w:rPr>
          <w:b/>
        </w:rPr>
        <w:t>–</w:t>
      </w:r>
      <w:r w:rsidR="008837C8">
        <w:rPr>
          <w:b/>
        </w:rPr>
        <w:t>EWS)</w:t>
      </w:r>
      <w:r w:rsidRPr="007A6DB7">
        <w:t>(</w:t>
      </w:r>
      <w:r w:rsidRPr="007A6DB7">
        <w:rPr>
          <w:vertAlign w:val="superscript"/>
        </w:rPr>
        <w:t>6</w:t>
      </w:r>
      <w:r>
        <w:t>)</w:t>
      </w:r>
      <w:r w:rsidR="000219AF">
        <w:t>.</w:t>
      </w:r>
      <w:r>
        <w:t xml:space="preserve"> </w:t>
      </w:r>
      <w:r w:rsidR="000219AF">
        <w:t xml:space="preserve">Este resultado </w:t>
      </w:r>
      <w:r w:rsidR="00DD6E77">
        <w:t>eleva</w:t>
      </w:r>
      <w:r>
        <w:t xml:space="preserve"> para mais de 350 o número de </w:t>
      </w:r>
      <w:r w:rsidRPr="000A588B">
        <w:t>novas substâncias</w:t>
      </w:r>
      <w:r>
        <w:t xml:space="preserve"> s</w:t>
      </w:r>
      <w:r w:rsidR="000A224A">
        <w:t xml:space="preserve">ujeitas à </w:t>
      </w:r>
      <w:r>
        <w:t>vigilância da</w:t>
      </w:r>
      <w:r w:rsidRPr="000A588B">
        <w:t xml:space="preserve"> agência. Segundo o relatório hoje divulgado, o sistema está «</w:t>
      </w:r>
      <w:r>
        <w:rPr>
          <w:rFonts w:eastAsia="Times New Roman"/>
        </w:rPr>
        <w:t xml:space="preserve">sob pressão crescente devido ao volume e à variedade de substâncias que </w:t>
      </w:r>
      <w:r w:rsidR="000219AF">
        <w:rPr>
          <w:rFonts w:eastAsia="Times New Roman"/>
        </w:rPr>
        <w:t xml:space="preserve">estão a </w:t>
      </w:r>
      <w:r w:rsidR="001924B7">
        <w:rPr>
          <w:rFonts w:eastAsia="Times New Roman"/>
        </w:rPr>
        <w:t>aparecer no</w:t>
      </w:r>
      <w:r>
        <w:rPr>
          <w:rFonts w:eastAsia="Times New Roman"/>
        </w:rPr>
        <w:t xml:space="preserve"> mercado</w:t>
      </w:r>
      <w:r w:rsidRPr="000A588B">
        <w:t>». Nos últimos quatro anos</w:t>
      </w:r>
      <w:r w:rsidR="000A224A">
        <w:t>,</w:t>
      </w:r>
      <w:r w:rsidRPr="000A588B">
        <w:t xml:space="preserve"> foram </w:t>
      </w:r>
      <w:r w:rsidR="001924B7" w:rsidRPr="000A588B">
        <w:t xml:space="preserve">detetadas </w:t>
      </w:r>
      <w:r w:rsidR="001924B7">
        <w:t>cerca</w:t>
      </w:r>
      <w:r w:rsidR="00A75A6D">
        <w:t xml:space="preserve"> de</w:t>
      </w:r>
      <w:r w:rsidRPr="000A588B">
        <w:t xml:space="preserve"> 250</w:t>
      </w:r>
      <w:r w:rsidR="000219AF">
        <w:t xml:space="preserve"> substâncias</w:t>
      </w:r>
      <w:r w:rsidRPr="000A588B">
        <w:t xml:space="preserve">. </w:t>
      </w:r>
    </w:p>
    <w:p w:rsidR="008552F1" w:rsidRPr="007B6611" w:rsidRDefault="008552F1" w:rsidP="008552F1">
      <w:pPr>
        <w:pStyle w:val="newsContent"/>
      </w:pPr>
      <w:r w:rsidRPr="005E2E8E">
        <w:t xml:space="preserve">As novas substâncias psicoativas, não controladas ao abrigo do direito internacional, são frequentemente vendidas no mercado como </w:t>
      </w:r>
      <w:r w:rsidR="000219AF">
        <w:rPr>
          <w:i/>
        </w:rPr>
        <w:t xml:space="preserve">euforizantes </w:t>
      </w:r>
      <w:r w:rsidR="001924B7">
        <w:rPr>
          <w:i/>
        </w:rPr>
        <w:t>legais</w:t>
      </w:r>
      <w:r w:rsidR="001924B7" w:rsidRPr="005E2E8E">
        <w:t xml:space="preserve"> </w:t>
      </w:r>
      <w:r w:rsidR="00C2551F">
        <w:t>(</w:t>
      </w:r>
      <w:r w:rsidR="001924B7">
        <w:rPr>
          <w:rFonts w:eastAsia="Times New Roman"/>
        </w:rPr>
        <w:t>«</w:t>
      </w:r>
      <w:r w:rsidR="001924B7" w:rsidRPr="007F7698">
        <w:rPr>
          <w:rFonts w:eastAsia="Times New Roman"/>
          <w:i/>
        </w:rPr>
        <w:t>legal</w:t>
      </w:r>
      <w:r w:rsidR="004F3523" w:rsidRPr="007F7698">
        <w:rPr>
          <w:rFonts w:eastAsia="Times New Roman"/>
          <w:i/>
        </w:rPr>
        <w:t xml:space="preserve"> high</w:t>
      </w:r>
      <w:r w:rsidR="00C2551F" w:rsidRPr="007F7698">
        <w:rPr>
          <w:rFonts w:eastAsia="Times New Roman"/>
          <w:i/>
        </w:rPr>
        <w:t>s</w:t>
      </w:r>
      <w:r w:rsidR="002B47B0">
        <w:rPr>
          <w:rFonts w:eastAsia="Times New Roman"/>
        </w:rPr>
        <w:t>»</w:t>
      </w:r>
      <w:r w:rsidR="00C2551F">
        <w:rPr>
          <w:rFonts w:eastAsia="Times New Roman"/>
        </w:rPr>
        <w:t>)</w:t>
      </w:r>
      <w:r w:rsidR="002B47B0">
        <w:rPr>
          <w:rFonts w:eastAsia="Times New Roman"/>
        </w:rPr>
        <w:t xml:space="preserve"> </w:t>
      </w:r>
      <w:r>
        <w:rPr>
          <w:rFonts w:eastAsia="Times New Roman"/>
        </w:rPr>
        <w:t xml:space="preserve">e produzidas com a intenção </w:t>
      </w:r>
      <w:r w:rsidR="001924B7">
        <w:rPr>
          <w:rFonts w:eastAsia="Times New Roman"/>
        </w:rPr>
        <w:t>de imitar</w:t>
      </w:r>
      <w:r>
        <w:rPr>
          <w:rFonts w:eastAsia="Times New Roman"/>
        </w:rPr>
        <w:t xml:space="preserve"> os efeitos das drogas controladas</w:t>
      </w:r>
      <w:r w:rsidRPr="005E2E8E">
        <w:t xml:space="preserve">. </w:t>
      </w:r>
      <w:r w:rsidRPr="007B6611">
        <w:t xml:space="preserve">Vinte e nove das drogas detetadas no último ano eram </w:t>
      </w:r>
      <w:r w:rsidR="004317D9" w:rsidRPr="007B6611">
        <w:t>canabin</w:t>
      </w:r>
      <w:r w:rsidR="00EC1247">
        <w:t>ó</w:t>
      </w:r>
      <w:r w:rsidR="004317D9" w:rsidRPr="007B6611">
        <w:t>ides</w:t>
      </w:r>
      <w:r w:rsidRPr="007B6611">
        <w:t xml:space="preserve"> sintéticos, o maior grupo </w:t>
      </w:r>
      <w:r w:rsidR="00B70BB7">
        <w:t xml:space="preserve">que está a ser </w:t>
      </w:r>
      <w:r w:rsidRPr="007B6611">
        <w:t xml:space="preserve">monitorizado pelo </w:t>
      </w:r>
      <w:r w:rsidR="00694716">
        <w:rPr>
          <w:b/>
        </w:rPr>
        <w:t>S</w:t>
      </w:r>
      <w:r w:rsidR="000A224A" w:rsidRPr="001924B7">
        <w:rPr>
          <w:b/>
        </w:rPr>
        <w:t xml:space="preserve">istema de </w:t>
      </w:r>
      <w:r w:rsidR="00694716">
        <w:rPr>
          <w:b/>
        </w:rPr>
        <w:t>A</w:t>
      </w:r>
      <w:r w:rsidR="000A224A" w:rsidRPr="001924B7">
        <w:rPr>
          <w:b/>
        </w:rPr>
        <w:t xml:space="preserve">lerta </w:t>
      </w:r>
      <w:r w:rsidR="00694716">
        <w:rPr>
          <w:b/>
        </w:rPr>
        <w:t>R</w:t>
      </w:r>
      <w:r w:rsidR="000A224A" w:rsidRPr="001924B7">
        <w:rPr>
          <w:b/>
        </w:rPr>
        <w:t>ápido</w:t>
      </w:r>
      <w:r w:rsidR="006274B0" w:rsidRPr="001924B7">
        <w:rPr>
          <w:b/>
        </w:rPr>
        <w:t xml:space="preserve"> da </w:t>
      </w:r>
      <w:r w:rsidR="007867CE">
        <w:rPr>
          <w:b/>
        </w:rPr>
        <w:t>UE</w:t>
      </w:r>
      <w:r w:rsidR="00694716">
        <w:rPr>
          <w:b/>
        </w:rPr>
        <w:t xml:space="preserve"> (EU</w:t>
      </w:r>
      <w:r w:rsidR="001924B7">
        <w:rPr>
          <w:b/>
        </w:rPr>
        <w:t>–</w:t>
      </w:r>
      <w:r w:rsidR="00694716">
        <w:rPr>
          <w:b/>
        </w:rPr>
        <w:t>EWS)</w:t>
      </w:r>
      <w:r w:rsidRPr="007B6611">
        <w:t xml:space="preserve">. A </w:t>
      </w:r>
      <w:r>
        <w:t xml:space="preserve">rapidez com que as </w:t>
      </w:r>
      <w:r w:rsidR="006274B0">
        <w:t>drog</w:t>
      </w:r>
      <w:r>
        <w:t>as recentemente control</w:t>
      </w:r>
      <w:r w:rsidR="006274B0">
        <w:t>adas</w:t>
      </w:r>
      <w:r>
        <w:t xml:space="preserve"> têm sido substituídas </w:t>
      </w:r>
      <w:r w:rsidR="001924B7">
        <w:t>por novas</w:t>
      </w:r>
      <w:r>
        <w:t xml:space="preserve"> </w:t>
      </w:r>
      <w:r w:rsidR="006274B0">
        <w:t xml:space="preserve">substâncias </w:t>
      </w:r>
      <w:r>
        <w:t>suscitou</w:t>
      </w:r>
      <w:r w:rsidR="006274B0">
        <w:t xml:space="preserve"> uma variedade de</w:t>
      </w:r>
      <w:r>
        <w:t xml:space="preserve"> respostas jurídicas inovadoras em toda a Europa </w:t>
      </w:r>
      <w:r w:rsidRPr="007B6611">
        <w:t>(C</w:t>
      </w:r>
      <w:r>
        <w:t>apítulo </w:t>
      </w:r>
      <w:r w:rsidRPr="007B6611">
        <w:t>4).</w:t>
      </w:r>
    </w:p>
    <w:p w:rsidR="00C2551F" w:rsidRDefault="00E335B9" w:rsidP="00B775EA">
      <w:pPr>
        <w:pStyle w:val="newsContent"/>
      </w:pPr>
      <w:r w:rsidRPr="006F5282">
        <w:t xml:space="preserve">As novas drogas podem ser produzidas em laboratórios </w:t>
      </w:r>
      <w:r w:rsidR="001924B7" w:rsidRPr="006F5282">
        <w:t xml:space="preserve">clandestinos </w:t>
      </w:r>
      <w:r w:rsidR="001924B7">
        <w:t>dentro</w:t>
      </w:r>
      <w:r w:rsidR="00251CB8">
        <w:t xml:space="preserve"> da Europa</w:t>
      </w:r>
      <w:r w:rsidR="000A224A">
        <w:t xml:space="preserve"> mas o </w:t>
      </w:r>
      <w:r w:rsidRPr="00672535">
        <w:t xml:space="preserve">mais frequente é serem legalmente importadas em pó, principalmente da </w:t>
      </w:r>
      <w:r w:rsidRPr="00672535">
        <w:rPr>
          <w:b/>
        </w:rPr>
        <w:t xml:space="preserve">China </w:t>
      </w:r>
      <w:r w:rsidRPr="00672535">
        <w:t xml:space="preserve">e da </w:t>
      </w:r>
      <w:r w:rsidRPr="00672535">
        <w:rPr>
          <w:b/>
        </w:rPr>
        <w:t>Índia</w:t>
      </w:r>
      <w:r w:rsidRPr="00672535">
        <w:t xml:space="preserve">, e depois transformadas, embaladas e </w:t>
      </w:r>
      <w:r>
        <w:t>comercializadas</w:t>
      </w:r>
      <w:r w:rsidRPr="00672535">
        <w:t xml:space="preserve"> </w:t>
      </w:r>
      <w:r>
        <w:t xml:space="preserve">na Europa </w:t>
      </w:r>
      <w:r w:rsidRPr="00672535">
        <w:t xml:space="preserve">como </w:t>
      </w:r>
      <w:r w:rsidR="000B3B6E">
        <w:rPr>
          <w:i/>
        </w:rPr>
        <w:t>euforizantes legais</w:t>
      </w:r>
      <w:r w:rsidR="004F3523">
        <w:t xml:space="preserve"> </w:t>
      </w:r>
      <w:r>
        <w:t xml:space="preserve">ou </w:t>
      </w:r>
      <w:r w:rsidRPr="00672535">
        <w:t>químic</w:t>
      </w:r>
      <w:r w:rsidR="004F3523">
        <w:t>o</w:t>
      </w:r>
      <w:r w:rsidRPr="00672535">
        <w:t xml:space="preserve">s </w:t>
      </w:r>
      <w:r w:rsidR="006462DE" w:rsidRPr="00672535">
        <w:t>usad</w:t>
      </w:r>
      <w:r w:rsidR="006462DE">
        <w:t>o</w:t>
      </w:r>
      <w:r w:rsidR="006462DE" w:rsidRPr="00672535">
        <w:t xml:space="preserve">s </w:t>
      </w:r>
      <w:r w:rsidR="0060768B">
        <w:t>para</w:t>
      </w:r>
      <w:r w:rsidRPr="00672535">
        <w:t xml:space="preserve"> investigação</w:t>
      </w:r>
      <w:r w:rsidR="004F3523">
        <w:t xml:space="preserve"> </w:t>
      </w:r>
      <w:r w:rsidR="00C2551F">
        <w:t>(</w:t>
      </w:r>
      <w:r w:rsidR="00F13493">
        <w:t>«</w:t>
      </w:r>
      <w:r w:rsidR="004F3523" w:rsidRPr="007F7698">
        <w:rPr>
          <w:i/>
        </w:rPr>
        <w:t>research chemicals</w:t>
      </w:r>
      <w:r w:rsidR="00F13493">
        <w:t>»</w:t>
      </w:r>
      <w:r w:rsidR="00C2551F">
        <w:t>)</w:t>
      </w:r>
      <w:r>
        <w:t>, bem como vendidas</w:t>
      </w:r>
      <w:r w:rsidR="008816FA">
        <w:t xml:space="preserve"> diretamente</w:t>
      </w:r>
      <w:r>
        <w:t xml:space="preserve"> no mercado de drogas ilícitas</w:t>
      </w:r>
      <w:r w:rsidRPr="00672535">
        <w:t xml:space="preserve">. </w:t>
      </w:r>
      <w:r>
        <w:t xml:space="preserve">A </w:t>
      </w:r>
      <w:r w:rsidRPr="00034090">
        <w:t xml:space="preserve">Internet continua </w:t>
      </w:r>
      <w:r w:rsidR="000A224A">
        <w:t xml:space="preserve">a </w:t>
      </w:r>
      <w:r w:rsidR="00C2551F">
        <w:t xml:space="preserve">moldar de forma decisiva </w:t>
      </w:r>
      <w:r w:rsidR="00526AE0">
        <w:t>o</w:t>
      </w:r>
      <w:r w:rsidR="005A470B">
        <w:t xml:space="preserve"> mercado </w:t>
      </w:r>
      <w:r>
        <w:t>des</w:t>
      </w:r>
      <w:r w:rsidR="00C2551F">
        <w:t>t</w:t>
      </w:r>
      <w:r>
        <w:t>as substâncias</w:t>
      </w:r>
      <w:r w:rsidRPr="00034090">
        <w:t xml:space="preserve">. </w:t>
      </w:r>
      <w:r>
        <w:t xml:space="preserve">Em </w:t>
      </w:r>
      <w:r w:rsidRPr="00034090">
        <w:t xml:space="preserve">2013, o </w:t>
      </w:r>
      <w:r w:rsidRPr="00034090">
        <w:rPr>
          <w:b/>
        </w:rPr>
        <w:t xml:space="preserve">EMCDDA </w:t>
      </w:r>
      <w:r w:rsidRPr="00034090">
        <w:t>identificou cerca de 650 s</w:t>
      </w:r>
      <w:r>
        <w:t xml:space="preserve">ítios Web que vendem </w:t>
      </w:r>
      <w:r w:rsidR="00F11F41">
        <w:t>es</w:t>
      </w:r>
      <w:r w:rsidR="005A470B">
        <w:t>t</w:t>
      </w:r>
      <w:r w:rsidR="00F11F41">
        <w:t xml:space="preserve">as substâncias </w:t>
      </w:r>
      <w:r>
        <w:t xml:space="preserve">aos europeus. </w:t>
      </w:r>
      <w:r w:rsidRPr="000E0638">
        <w:t xml:space="preserve">Além disso, a compra de drogas novas e «antigas» através das «darknets» — redes </w:t>
      </w:r>
      <w:r w:rsidR="001C729F">
        <w:t xml:space="preserve">secretas </w:t>
      </w:r>
      <w:r>
        <w:t xml:space="preserve">em linha que permitem </w:t>
      </w:r>
      <w:r w:rsidR="00477CD2">
        <w:t xml:space="preserve">manter o anonimato das </w:t>
      </w:r>
      <w:r>
        <w:t>comunica</w:t>
      </w:r>
      <w:r w:rsidR="00477CD2">
        <w:t>ções –</w:t>
      </w:r>
      <w:r w:rsidR="001C729F">
        <w:t xml:space="preserve"> constitui</w:t>
      </w:r>
      <w:r w:rsidR="00477CD2">
        <w:t xml:space="preserve"> </w:t>
      </w:r>
      <w:r>
        <w:t xml:space="preserve">um novo desafio </w:t>
      </w:r>
      <w:r w:rsidR="00477CD2">
        <w:t>para a</w:t>
      </w:r>
      <w:r w:rsidR="001C729F">
        <w:t xml:space="preserve"> </w:t>
      </w:r>
      <w:r>
        <w:t>aplicação da lei</w:t>
      </w:r>
      <w:r w:rsidRPr="000E0638">
        <w:t>.</w:t>
      </w:r>
    </w:p>
    <w:p w:rsidR="00B775EA" w:rsidRPr="00725CC7" w:rsidRDefault="00C2551F" w:rsidP="00B775EA">
      <w:pPr>
        <w:pStyle w:val="newsContent"/>
      </w:pPr>
      <w:r>
        <w:t>Este relatório destaca</w:t>
      </w:r>
      <w:r w:rsidR="00F943F7">
        <w:t xml:space="preserve"> </w:t>
      </w:r>
      <w:r w:rsidR="00B775EA" w:rsidRPr="000E0638">
        <w:t xml:space="preserve">indícios de que, em alguns países, </w:t>
      </w:r>
      <w:r w:rsidR="005A470B">
        <w:t>es</w:t>
      </w:r>
      <w:r w:rsidR="001C729F">
        <w:t xml:space="preserve">tas </w:t>
      </w:r>
      <w:r w:rsidR="00B775EA" w:rsidRPr="000E0638">
        <w:t xml:space="preserve">substâncias já estão a </w:t>
      </w:r>
      <w:r w:rsidR="00B775EA">
        <w:t xml:space="preserve">ser direcionadas para os segmentos </w:t>
      </w:r>
      <w:r w:rsidR="001C729F">
        <w:t xml:space="preserve">mais importantes </w:t>
      </w:r>
      <w:r w:rsidR="00B775EA">
        <w:t>do</w:t>
      </w:r>
      <w:r>
        <w:t>s</w:t>
      </w:r>
      <w:r w:rsidR="00B775EA">
        <w:t xml:space="preserve"> mercado</w:t>
      </w:r>
      <w:r>
        <w:t>s</w:t>
      </w:r>
      <w:r w:rsidR="00B775EA">
        <w:t xml:space="preserve"> da droga</w:t>
      </w:r>
      <w:r w:rsidR="00B775EA" w:rsidRPr="000E0638">
        <w:t xml:space="preserve">. </w:t>
      </w:r>
      <w:r w:rsidR="00B775EA" w:rsidRPr="002E4A2B">
        <w:t xml:space="preserve">Em abril de 2014, o </w:t>
      </w:r>
      <w:r w:rsidR="00B775EA" w:rsidRPr="002E4A2B">
        <w:rPr>
          <w:b/>
        </w:rPr>
        <w:t>Comité Científico do EMCDDA</w:t>
      </w:r>
      <w:r w:rsidR="00B775EA" w:rsidRPr="002E4A2B">
        <w:t xml:space="preserve"> </w:t>
      </w:r>
      <w:r w:rsidR="00B775EA">
        <w:t xml:space="preserve">avaliou os riscos de quatro novas substâncias de elevada potência e </w:t>
      </w:r>
      <w:r w:rsidR="00477CD2">
        <w:t>toxicidade</w:t>
      </w:r>
      <w:r w:rsidR="00B775EA" w:rsidRPr="002E4A2B">
        <w:t>: 25I</w:t>
      </w:r>
      <w:r w:rsidR="00B775EA">
        <w:t>-</w:t>
      </w:r>
      <w:r w:rsidR="00B775EA" w:rsidRPr="002E4A2B">
        <w:t xml:space="preserve">NBOMe, AH-7921, MDPV </w:t>
      </w:r>
      <w:r w:rsidR="00B775EA">
        <w:t xml:space="preserve">e </w:t>
      </w:r>
      <w:r w:rsidR="00B775EA" w:rsidRPr="002E4A2B">
        <w:t>metoxetamin</w:t>
      </w:r>
      <w:r w:rsidR="00B775EA">
        <w:t>a</w:t>
      </w:r>
      <w:r w:rsidR="00B775EA" w:rsidRPr="002E4A2B">
        <w:t xml:space="preserve">. Estas substâncias estão a ser vendidas em substituição das drogas </w:t>
      </w:r>
      <w:r w:rsidR="001C729F">
        <w:t xml:space="preserve">cujos efeitos </w:t>
      </w:r>
      <w:r w:rsidR="00B775EA" w:rsidRPr="002E4A2B">
        <w:t xml:space="preserve">visam </w:t>
      </w:r>
      <w:r w:rsidR="00230663">
        <w:t xml:space="preserve">imitar </w:t>
      </w:r>
      <w:r w:rsidR="00A27898">
        <w:t xml:space="preserve">– </w:t>
      </w:r>
      <w:r w:rsidR="009C700A">
        <w:t>respetivamente</w:t>
      </w:r>
      <w:r w:rsidR="005A470B">
        <w:t>:</w:t>
      </w:r>
      <w:r w:rsidR="00B775EA" w:rsidRPr="002E4A2B">
        <w:t xml:space="preserve"> </w:t>
      </w:r>
      <w:r w:rsidR="00801E94">
        <w:t xml:space="preserve">o </w:t>
      </w:r>
      <w:r w:rsidR="00B775EA" w:rsidRPr="002E4A2B">
        <w:t>LSD (</w:t>
      </w:r>
      <w:r w:rsidR="00B775EA">
        <w:t>alucinogénio</w:t>
      </w:r>
      <w:r w:rsidR="00B775EA" w:rsidRPr="002E4A2B">
        <w:t>),</w:t>
      </w:r>
      <w:r w:rsidR="00801E94">
        <w:t xml:space="preserve"> a</w:t>
      </w:r>
      <w:r w:rsidR="00B775EA" w:rsidRPr="002E4A2B">
        <w:t xml:space="preserve"> mor</w:t>
      </w:r>
      <w:r w:rsidR="00B775EA">
        <w:t>fina</w:t>
      </w:r>
      <w:r w:rsidR="00B775EA" w:rsidRPr="002E4A2B">
        <w:t xml:space="preserve"> (opi</w:t>
      </w:r>
      <w:r w:rsidR="00B775EA">
        <w:t>áceo</w:t>
      </w:r>
      <w:r w:rsidR="00B775EA" w:rsidRPr="002E4A2B">
        <w:t xml:space="preserve">), </w:t>
      </w:r>
      <w:r w:rsidR="00801E94">
        <w:t xml:space="preserve">a </w:t>
      </w:r>
      <w:r w:rsidR="00B775EA" w:rsidRPr="002E4A2B">
        <w:t>coca</w:t>
      </w:r>
      <w:r w:rsidR="00B775EA">
        <w:t>ína</w:t>
      </w:r>
      <w:r w:rsidR="00B775EA" w:rsidRPr="002E4A2B">
        <w:t xml:space="preserve"> (</w:t>
      </w:r>
      <w:r w:rsidR="00B775EA">
        <w:t>e</w:t>
      </w:r>
      <w:r w:rsidR="00B775EA" w:rsidRPr="002E4A2B">
        <w:t>stimulant</w:t>
      </w:r>
      <w:r w:rsidR="00B775EA">
        <w:t>e</w:t>
      </w:r>
      <w:r w:rsidR="00B775EA" w:rsidRPr="002E4A2B">
        <w:t xml:space="preserve">) </w:t>
      </w:r>
      <w:r w:rsidR="00B775EA">
        <w:t xml:space="preserve">e </w:t>
      </w:r>
      <w:r w:rsidR="00801E94">
        <w:t xml:space="preserve">a </w:t>
      </w:r>
      <w:r w:rsidR="00B775EA">
        <w:t>cetamina</w:t>
      </w:r>
      <w:r w:rsidR="00B775EA" w:rsidRPr="002E4A2B">
        <w:t xml:space="preserve"> (</w:t>
      </w:r>
      <w:r w:rsidR="00B775EA">
        <w:t xml:space="preserve">um medicamento com propriedades </w:t>
      </w:r>
      <w:r w:rsidR="00B775EA" w:rsidRPr="002E4A2B">
        <w:t>a</w:t>
      </w:r>
      <w:r w:rsidR="00B775EA">
        <w:t>nalgésicas e anestésicas</w:t>
      </w:r>
      <w:r w:rsidR="00B775EA" w:rsidRPr="002E4A2B">
        <w:t>)</w:t>
      </w:r>
      <w:r w:rsidR="00A27898">
        <w:t xml:space="preserve"> – </w:t>
      </w:r>
      <w:r>
        <w:t>podendo</w:t>
      </w:r>
      <w:r w:rsidR="00A27898">
        <w:t xml:space="preserve"> </w:t>
      </w:r>
      <w:r w:rsidR="00A27898" w:rsidRPr="002E4A2B">
        <w:t>ser ainda mais perigosas do que e</w:t>
      </w:r>
      <w:r w:rsidR="00A27898">
        <w:t>stas</w:t>
      </w:r>
      <w:r w:rsidR="00B775EA" w:rsidRPr="002E4A2B">
        <w:t xml:space="preserve">. </w:t>
      </w:r>
      <w:r w:rsidR="00B775EA" w:rsidRPr="00725CC7">
        <w:t xml:space="preserve">Os relatórios das avaliações de risco das quatro substâncias foram apresentados à </w:t>
      </w:r>
      <w:r w:rsidR="00B775EA" w:rsidRPr="00725CC7">
        <w:rPr>
          <w:b/>
        </w:rPr>
        <w:t>Com</w:t>
      </w:r>
      <w:r w:rsidR="00B775EA" w:rsidRPr="00E5577E">
        <w:rPr>
          <w:b/>
        </w:rPr>
        <w:t>iss</w:t>
      </w:r>
      <w:r w:rsidR="00B775EA">
        <w:rPr>
          <w:b/>
        </w:rPr>
        <w:t>ão Europeia</w:t>
      </w:r>
      <w:r w:rsidR="00B775EA">
        <w:t xml:space="preserve"> e ao </w:t>
      </w:r>
      <w:r w:rsidR="00B775EA" w:rsidRPr="00725CC7">
        <w:rPr>
          <w:b/>
        </w:rPr>
        <w:t>Co</w:t>
      </w:r>
      <w:r w:rsidR="00B775EA">
        <w:rPr>
          <w:b/>
        </w:rPr>
        <w:t>nselho da União Europeia</w:t>
      </w:r>
      <w:r w:rsidR="00B775EA" w:rsidRPr="00725CC7">
        <w:t xml:space="preserve"> </w:t>
      </w:r>
      <w:r w:rsidR="00B775EA">
        <w:t xml:space="preserve">para servirem de base à </w:t>
      </w:r>
      <w:r w:rsidR="00A27898">
        <w:t xml:space="preserve">possível </w:t>
      </w:r>
      <w:r w:rsidR="00B775EA">
        <w:t>adoção de medidas de controlo a nível da UE</w:t>
      </w:r>
      <w:r w:rsidR="00B775EA" w:rsidRPr="00725CC7">
        <w:t xml:space="preserve">. </w:t>
      </w:r>
    </w:p>
    <w:p w:rsidR="00B775EA" w:rsidRPr="002B629C" w:rsidRDefault="00F37DF4" w:rsidP="00B775EA">
      <w:pPr>
        <w:pStyle w:val="newsContent"/>
      </w:pPr>
      <w:r>
        <w:t xml:space="preserve">O </w:t>
      </w:r>
      <w:r w:rsidR="00E37C09">
        <w:t>aparecimento</w:t>
      </w:r>
      <w:r w:rsidR="00B775EA" w:rsidRPr="002B629C">
        <w:t xml:space="preserve"> de substâncias sintéticas </w:t>
      </w:r>
      <w:r>
        <w:t>muito potentes</w:t>
      </w:r>
      <w:r w:rsidR="00B775EA" w:rsidRPr="002B629C">
        <w:t xml:space="preserve"> </w:t>
      </w:r>
      <w:r>
        <w:t xml:space="preserve">é uma preocupação claramente evidenciada </w:t>
      </w:r>
      <w:r w:rsidR="00A27898">
        <w:t>pelas</w:t>
      </w:r>
      <w:r w:rsidR="00B775EA">
        <w:t xml:space="preserve"> notificações </w:t>
      </w:r>
      <w:r w:rsidR="00E17C9C">
        <w:t xml:space="preserve">feitas </w:t>
      </w:r>
      <w:r w:rsidR="00B775EA">
        <w:t xml:space="preserve">ao </w:t>
      </w:r>
      <w:r w:rsidR="00E17C9C">
        <w:rPr>
          <w:b/>
        </w:rPr>
        <w:t>S</w:t>
      </w:r>
      <w:r w:rsidR="00B775EA" w:rsidRPr="00F37DF4">
        <w:rPr>
          <w:b/>
        </w:rPr>
        <w:t xml:space="preserve">istema de </w:t>
      </w:r>
      <w:r w:rsidR="00E17C9C">
        <w:rPr>
          <w:b/>
        </w:rPr>
        <w:t>A</w:t>
      </w:r>
      <w:r w:rsidR="00B775EA" w:rsidRPr="00F37DF4">
        <w:rPr>
          <w:b/>
        </w:rPr>
        <w:t xml:space="preserve">lerta </w:t>
      </w:r>
      <w:r w:rsidR="00E17C9C">
        <w:rPr>
          <w:b/>
        </w:rPr>
        <w:t>R</w:t>
      </w:r>
      <w:r w:rsidR="00B775EA" w:rsidRPr="00F37DF4">
        <w:rPr>
          <w:b/>
        </w:rPr>
        <w:t>ápid</w:t>
      </w:r>
      <w:r w:rsidR="00A27898" w:rsidRPr="00F37DF4">
        <w:rPr>
          <w:b/>
        </w:rPr>
        <w:t>o</w:t>
      </w:r>
      <w:r w:rsidR="00E37C09">
        <w:rPr>
          <w:b/>
        </w:rPr>
        <w:t xml:space="preserve"> da </w:t>
      </w:r>
      <w:r w:rsidR="007867CE">
        <w:rPr>
          <w:b/>
        </w:rPr>
        <w:t>UE</w:t>
      </w:r>
      <w:r w:rsidR="00E17C9C" w:rsidRPr="00CE420E">
        <w:t>,</w:t>
      </w:r>
      <w:r>
        <w:rPr>
          <w:b/>
        </w:rPr>
        <w:t xml:space="preserve"> </w:t>
      </w:r>
      <w:r w:rsidRPr="00F37DF4">
        <w:t>e</w:t>
      </w:r>
      <w:r>
        <w:rPr>
          <w:b/>
        </w:rPr>
        <w:t xml:space="preserve"> </w:t>
      </w:r>
      <w:r w:rsidR="001C729F">
        <w:t>tem</w:t>
      </w:r>
      <w:r w:rsidR="00B775EA">
        <w:t xml:space="preserve"> implicações </w:t>
      </w:r>
      <w:r w:rsidR="00A27898">
        <w:t xml:space="preserve">tanto para </w:t>
      </w:r>
      <w:r w:rsidR="00B775EA">
        <w:t xml:space="preserve">os consumidores </w:t>
      </w:r>
      <w:r>
        <w:t xml:space="preserve">como </w:t>
      </w:r>
      <w:r w:rsidR="00B775EA">
        <w:t>a</w:t>
      </w:r>
      <w:r w:rsidR="00E17C9C">
        <w:t>o</w:t>
      </w:r>
      <w:r w:rsidR="00B775EA">
        <w:t xml:space="preserve"> nível da aplicação da lei: </w:t>
      </w:r>
      <w:r w:rsidR="00E37C09">
        <w:t xml:space="preserve">tais </w:t>
      </w:r>
      <w:r w:rsidR="00B775EA">
        <w:t xml:space="preserve">substâncias </w:t>
      </w:r>
      <w:r w:rsidR="00B92E10">
        <w:t xml:space="preserve">podem ser tóxicas </w:t>
      </w:r>
      <w:r w:rsidR="00B775EA">
        <w:t>em doses muito baixas e pequenas quantidades</w:t>
      </w:r>
      <w:r w:rsidR="00561F4F">
        <w:t xml:space="preserve"> </w:t>
      </w:r>
      <w:r w:rsidR="00B775EA">
        <w:t xml:space="preserve">podem </w:t>
      </w:r>
      <w:r>
        <w:t xml:space="preserve">dar origem a </w:t>
      </w:r>
      <w:r w:rsidR="00B775EA">
        <w:t>muitas doses individuais</w:t>
      </w:r>
      <w:r w:rsidR="00B775EA" w:rsidRPr="002B629C">
        <w:t>.</w:t>
      </w:r>
    </w:p>
    <w:p w:rsidR="00B775EA" w:rsidRPr="00582EE2" w:rsidRDefault="00B775EA" w:rsidP="00B775EA">
      <w:pPr>
        <w:pStyle w:val="newsContent"/>
        <w:rPr>
          <w:b/>
        </w:rPr>
      </w:pPr>
      <w:r w:rsidRPr="00DC667A">
        <w:rPr>
          <w:b/>
          <w:i/>
        </w:rPr>
        <w:t>Cannabis</w:t>
      </w:r>
      <w:r w:rsidRPr="00582EE2">
        <w:rPr>
          <w:b/>
        </w:rPr>
        <w:t>: controv</w:t>
      </w:r>
      <w:r>
        <w:rPr>
          <w:b/>
        </w:rPr>
        <w:t>érsias</w:t>
      </w:r>
      <w:r w:rsidRPr="00582EE2">
        <w:rPr>
          <w:b/>
        </w:rPr>
        <w:t>, contrast</w:t>
      </w:r>
      <w:r>
        <w:rPr>
          <w:b/>
        </w:rPr>
        <w:t>e</w:t>
      </w:r>
      <w:r w:rsidRPr="00582EE2">
        <w:rPr>
          <w:b/>
        </w:rPr>
        <w:t>s</w:t>
      </w:r>
      <w:r>
        <w:rPr>
          <w:b/>
        </w:rPr>
        <w:t xml:space="preserve"> e</w:t>
      </w:r>
      <w:r w:rsidRPr="00582EE2">
        <w:rPr>
          <w:b/>
        </w:rPr>
        <w:t xml:space="preserve"> contradi</w:t>
      </w:r>
      <w:r>
        <w:rPr>
          <w:b/>
        </w:rPr>
        <w:t>ções</w:t>
      </w:r>
      <w:r w:rsidRPr="00582EE2">
        <w:rPr>
          <w:b/>
        </w:rPr>
        <w:t xml:space="preserve"> </w:t>
      </w:r>
    </w:p>
    <w:p w:rsidR="00B775EA" w:rsidRPr="008C3E8C" w:rsidRDefault="00B775EA" w:rsidP="00B775EA">
      <w:pPr>
        <w:pStyle w:val="newsContent"/>
      </w:pPr>
      <w:r w:rsidRPr="00E206FA">
        <w:t xml:space="preserve">Os inquéritos da </w:t>
      </w:r>
      <w:r w:rsidRPr="00E206FA">
        <w:rPr>
          <w:b/>
        </w:rPr>
        <w:t>UE</w:t>
      </w:r>
      <w:r w:rsidRPr="00E206FA">
        <w:t xml:space="preserve"> </w:t>
      </w:r>
      <w:r w:rsidR="00C2551F">
        <w:t>sobre as</w:t>
      </w:r>
      <w:r w:rsidRPr="00E206FA">
        <w:t xml:space="preserve"> atitudes dos cidadãos</w:t>
      </w:r>
      <w:r w:rsidR="001C729F">
        <w:t> </w:t>
      </w:r>
      <w:r w:rsidRPr="00E206FA">
        <w:t>(</w:t>
      </w:r>
      <w:r w:rsidRPr="00E206FA">
        <w:rPr>
          <w:vertAlign w:val="superscript"/>
        </w:rPr>
        <w:t>7</w:t>
      </w:r>
      <w:r w:rsidRPr="00E206FA">
        <w:t xml:space="preserve">) sugerem que a </w:t>
      </w:r>
      <w:r w:rsidRPr="00DC667A">
        <w:rPr>
          <w:i/>
        </w:rPr>
        <w:t>cannabis</w:t>
      </w:r>
      <w:r w:rsidRPr="00E206FA">
        <w:t xml:space="preserve"> </w:t>
      </w:r>
      <w:r>
        <w:t xml:space="preserve">continua a ser a droga </w:t>
      </w:r>
      <w:r>
        <w:rPr>
          <w:rFonts w:eastAsia="Times New Roman"/>
        </w:rPr>
        <w:t>em relação à qual a opinião pública se encontra mais dividida</w:t>
      </w:r>
      <w:r w:rsidRPr="00E206FA">
        <w:t xml:space="preserve">. </w:t>
      </w:r>
      <w:r>
        <w:rPr>
          <w:rFonts w:eastAsia="Times New Roman"/>
        </w:rPr>
        <w:t>Es</w:t>
      </w:r>
      <w:r w:rsidR="00FE474E">
        <w:rPr>
          <w:rFonts w:eastAsia="Times New Roman"/>
        </w:rPr>
        <w:t>s</w:t>
      </w:r>
      <w:r>
        <w:rPr>
          <w:rFonts w:eastAsia="Times New Roman"/>
        </w:rPr>
        <w:t xml:space="preserve">as divergências têm </w:t>
      </w:r>
      <w:r w:rsidR="00F575B5">
        <w:rPr>
          <w:rFonts w:eastAsia="Times New Roman"/>
        </w:rPr>
        <w:t>contribuído para</w:t>
      </w:r>
      <w:r>
        <w:rPr>
          <w:rFonts w:eastAsia="Times New Roman"/>
        </w:rPr>
        <w:t xml:space="preserve"> um animado debate público, que recentemente </w:t>
      </w:r>
      <w:r w:rsidRPr="00B775EA">
        <w:t>foi</w:t>
      </w:r>
      <w:r w:rsidR="00FE474E">
        <w:rPr>
          <w:rFonts w:eastAsia="Times New Roman"/>
        </w:rPr>
        <w:t xml:space="preserve"> avivado por evoluções </w:t>
      </w:r>
      <w:r>
        <w:rPr>
          <w:rFonts w:eastAsia="Times New Roman"/>
        </w:rPr>
        <w:t xml:space="preserve">internacionais </w:t>
      </w:r>
      <w:r w:rsidR="00FE474E">
        <w:rPr>
          <w:rFonts w:eastAsia="Times New Roman"/>
        </w:rPr>
        <w:t xml:space="preserve">no </w:t>
      </w:r>
      <w:r>
        <w:rPr>
          <w:rFonts w:eastAsia="Times New Roman"/>
        </w:rPr>
        <w:t xml:space="preserve">controlo da oferta e do consumo de </w:t>
      </w:r>
      <w:r w:rsidRPr="00DC667A">
        <w:rPr>
          <w:rFonts w:eastAsia="Times New Roman"/>
          <w:i/>
        </w:rPr>
        <w:t xml:space="preserve">cannabis </w:t>
      </w:r>
      <w:r>
        <w:rPr>
          <w:rFonts w:eastAsia="Times New Roman"/>
        </w:rPr>
        <w:t>(por ex</w:t>
      </w:r>
      <w:r w:rsidR="00251AD7">
        <w:rPr>
          <w:rFonts w:eastAsia="Times New Roman"/>
        </w:rPr>
        <w:t>.:</w:t>
      </w:r>
      <w:r>
        <w:rPr>
          <w:rFonts w:eastAsia="Times New Roman"/>
        </w:rPr>
        <w:t xml:space="preserve">, alterações legislativas em alguns estados dos </w:t>
      </w:r>
      <w:r w:rsidRPr="00091C2A">
        <w:rPr>
          <w:rFonts w:eastAsia="Times New Roman"/>
          <w:b/>
        </w:rPr>
        <w:t xml:space="preserve">Estados </w:t>
      </w:r>
      <w:r w:rsidRPr="00091C2A">
        <w:rPr>
          <w:rFonts w:eastAsia="Times New Roman"/>
          <w:b/>
        </w:rPr>
        <w:lastRenderedPageBreak/>
        <w:t>Unidos</w:t>
      </w:r>
      <w:r>
        <w:rPr>
          <w:rFonts w:eastAsia="Times New Roman"/>
        </w:rPr>
        <w:t xml:space="preserve"> e cert</w:t>
      </w:r>
      <w:r w:rsidR="00167EC5">
        <w:rPr>
          <w:rFonts w:eastAsia="Times New Roman"/>
        </w:rPr>
        <w:t>a</w:t>
      </w:r>
      <w:r>
        <w:rPr>
          <w:rFonts w:eastAsia="Times New Roman"/>
        </w:rPr>
        <w:t xml:space="preserve">s </w:t>
      </w:r>
      <w:r w:rsidR="00FE474E">
        <w:rPr>
          <w:rFonts w:eastAsia="Times New Roman"/>
        </w:rPr>
        <w:t xml:space="preserve">regiões </w:t>
      </w:r>
      <w:r>
        <w:rPr>
          <w:rFonts w:eastAsia="Times New Roman"/>
        </w:rPr>
        <w:t xml:space="preserve">da </w:t>
      </w:r>
      <w:r w:rsidRPr="00091C2A">
        <w:rPr>
          <w:rFonts w:eastAsia="Times New Roman"/>
          <w:b/>
        </w:rPr>
        <w:t>América Latina</w:t>
      </w:r>
      <w:r w:rsidRPr="00091C2A">
        <w:t xml:space="preserve">). </w:t>
      </w:r>
      <w:r w:rsidRPr="008C3E8C">
        <w:t>O</w:t>
      </w:r>
      <w:r w:rsidR="00F575B5">
        <w:t>s</w:t>
      </w:r>
      <w:r w:rsidRPr="008C3E8C">
        <w:t xml:space="preserve"> debate</w:t>
      </w:r>
      <w:r w:rsidR="00F575B5">
        <w:t>s</w:t>
      </w:r>
      <w:r w:rsidRPr="008C3E8C">
        <w:t xml:space="preserve"> </w:t>
      </w:r>
      <w:r>
        <w:t>europeu</w:t>
      </w:r>
      <w:r w:rsidR="00F575B5">
        <w:t>s</w:t>
      </w:r>
      <w:r>
        <w:t xml:space="preserve"> </w:t>
      </w:r>
      <w:r w:rsidRPr="008C3E8C">
        <w:t xml:space="preserve">sobre o controlo da </w:t>
      </w:r>
      <w:r w:rsidRPr="00DC667A">
        <w:rPr>
          <w:i/>
        </w:rPr>
        <w:t>cannabis</w:t>
      </w:r>
      <w:r w:rsidRPr="008C3E8C">
        <w:t xml:space="preserve"> t</w:t>
      </w:r>
      <w:r w:rsidR="00F575B5">
        <w:t>ê</w:t>
      </w:r>
      <w:r>
        <w:t xml:space="preserve">m-se focado mais </w:t>
      </w:r>
      <w:r w:rsidRPr="008C3E8C">
        <w:t>na oferta e no tr</w:t>
      </w:r>
      <w:r>
        <w:t xml:space="preserve">áfico do que propriamente no consumo pessoal. </w:t>
      </w:r>
      <w:r w:rsidRPr="008C3E8C">
        <w:t>N</w:t>
      </w:r>
      <w:r>
        <w:t>ã</w:t>
      </w:r>
      <w:r w:rsidRPr="008C3E8C">
        <w:t xml:space="preserve">o </w:t>
      </w:r>
      <w:r>
        <w:t>obstante</w:t>
      </w:r>
      <w:r w:rsidRPr="008C3E8C">
        <w:t xml:space="preserve">, o número </w:t>
      </w:r>
      <w:r>
        <w:t xml:space="preserve">total </w:t>
      </w:r>
      <w:r w:rsidRPr="008C3E8C">
        <w:t xml:space="preserve">de infrações por </w:t>
      </w:r>
      <w:r>
        <w:t xml:space="preserve">posse e </w:t>
      </w:r>
      <w:r w:rsidRPr="008C3E8C">
        <w:t xml:space="preserve">consumo </w:t>
      </w:r>
      <w:r>
        <w:t>d</w:t>
      </w:r>
      <w:r w:rsidRPr="008C3E8C">
        <w:t xml:space="preserve">e </w:t>
      </w:r>
      <w:r w:rsidRPr="00DC667A">
        <w:rPr>
          <w:i/>
        </w:rPr>
        <w:t>cannabis</w:t>
      </w:r>
      <w:r w:rsidRPr="008C3E8C">
        <w:t xml:space="preserve"> </w:t>
      </w:r>
      <w:r>
        <w:t>tem vindo</w:t>
      </w:r>
      <w:r w:rsidR="008F2E8A">
        <w:t xml:space="preserve"> </w:t>
      </w:r>
      <w:r>
        <w:t>a</w:t>
      </w:r>
      <w:r w:rsidR="009D59C0">
        <w:t xml:space="preserve"> </w:t>
      </w:r>
      <w:r w:rsidR="00DC667A">
        <w:t>crescer</w:t>
      </w:r>
      <w:r>
        <w:t xml:space="preserve"> </w:t>
      </w:r>
      <w:r w:rsidR="009D59C0">
        <w:t>a um ritmo constante</w:t>
      </w:r>
      <w:r>
        <w:t xml:space="preserve"> há quase uma década</w:t>
      </w:r>
      <w:r w:rsidRPr="008C3E8C">
        <w:t xml:space="preserve"> (Figur</w:t>
      </w:r>
      <w:r>
        <w:t>a</w:t>
      </w:r>
      <w:r w:rsidRPr="008C3E8C">
        <w:t xml:space="preserve"> 4.1).</w:t>
      </w:r>
    </w:p>
    <w:p w:rsidR="00B775EA" w:rsidRPr="00514848" w:rsidRDefault="00B775EA" w:rsidP="00FE474E">
      <w:pPr>
        <w:pStyle w:val="newsContent"/>
        <w:tabs>
          <w:tab w:val="left" w:pos="2552"/>
        </w:tabs>
      </w:pPr>
      <w:r w:rsidRPr="0090310A">
        <w:t xml:space="preserve">Cerca de 73,6 milhões de europeus </w:t>
      </w:r>
      <w:r w:rsidR="00FE474E">
        <w:t>consumiram</w:t>
      </w:r>
      <w:r w:rsidRPr="0090310A">
        <w:t xml:space="preserve"> </w:t>
      </w:r>
      <w:r w:rsidRPr="006462DE">
        <w:rPr>
          <w:i/>
        </w:rPr>
        <w:t>cannabis</w:t>
      </w:r>
      <w:r w:rsidRPr="0090310A">
        <w:t xml:space="preserve"> </w:t>
      </w:r>
      <w:r w:rsidR="00321F96">
        <w:t>em algum momento da sua</w:t>
      </w:r>
      <w:r w:rsidR="00FE474E">
        <w:t xml:space="preserve"> </w:t>
      </w:r>
      <w:r w:rsidRPr="0090310A">
        <w:t>vida, 18,1 milh</w:t>
      </w:r>
      <w:r>
        <w:t>ões dos quais no último ano</w:t>
      </w:r>
      <w:r w:rsidRPr="0090310A">
        <w:t xml:space="preserve">. </w:t>
      </w:r>
      <w:r w:rsidR="0022014C">
        <w:t xml:space="preserve">Aproximadamente </w:t>
      </w:r>
      <w:r w:rsidRPr="00B775EA">
        <w:rPr>
          <w:rFonts w:eastAsia="Times New Roman"/>
        </w:rPr>
        <w:t>14</w:t>
      </w:r>
      <w:r w:rsidRPr="0090310A">
        <w:t>,6 milhões de jovens europeus (</w:t>
      </w:r>
      <w:r w:rsidR="00E75C20">
        <w:t xml:space="preserve">entre os </w:t>
      </w:r>
      <w:r w:rsidRPr="0090310A">
        <w:t>15</w:t>
      </w:r>
      <w:r w:rsidR="00E75C20">
        <w:t xml:space="preserve"> e os</w:t>
      </w:r>
      <w:r w:rsidR="007867CE">
        <w:t xml:space="preserve"> </w:t>
      </w:r>
      <w:r w:rsidRPr="0090310A">
        <w:t>34</w:t>
      </w:r>
      <w:r>
        <w:t> anos</w:t>
      </w:r>
      <w:r w:rsidRPr="0090310A">
        <w:t>)</w:t>
      </w:r>
      <w:r w:rsidR="00FE474E">
        <w:t xml:space="preserve"> </w:t>
      </w:r>
      <w:r w:rsidR="0022014C">
        <w:t xml:space="preserve">referem tê-la consumido </w:t>
      </w:r>
      <w:r w:rsidR="00FE474E">
        <w:t xml:space="preserve">no último </w:t>
      </w:r>
      <w:r w:rsidR="0022014C">
        <w:t>ano</w:t>
      </w:r>
      <w:r w:rsidR="00E75C20">
        <w:t xml:space="preserve">. </w:t>
      </w:r>
      <w:r w:rsidR="00C2551F">
        <w:t>Globalmente, o</w:t>
      </w:r>
      <w:r>
        <w:t xml:space="preserve"> </w:t>
      </w:r>
      <w:r w:rsidRPr="003A2628">
        <w:t xml:space="preserve">consumo de </w:t>
      </w:r>
      <w:r w:rsidRPr="006462DE">
        <w:rPr>
          <w:i/>
        </w:rPr>
        <w:t>cannabis</w:t>
      </w:r>
      <w:r w:rsidRPr="003A2628">
        <w:t xml:space="preserve"> na Europa parece ter estabilizado </w:t>
      </w:r>
      <w:r>
        <w:t xml:space="preserve">ou mesmo </w:t>
      </w:r>
      <w:r w:rsidR="00F11F41">
        <w:t>diminuído</w:t>
      </w:r>
      <w:r>
        <w:t>, especialmente nas faixas etárias mais jovens</w:t>
      </w:r>
      <w:r w:rsidRPr="003A2628">
        <w:t xml:space="preserve">. </w:t>
      </w:r>
      <w:r w:rsidR="00FE474E">
        <w:t xml:space="preserve">No entanto, </w:t>
      </w:r>
      <w:r w:rsidRPr="00514848">
        <w:t xml:space="preserve">as tendências nacionais </w:t>
      </w:r>
      <w:r w:rsidR="0022014C">
        <w:t>são</w:t>
      </w:r>
      <w:r w:rsidR="00FE474E">
        <w:t xml:space="preserve"> </w:t>
      </w:r>
      <w:r w:rsidRPr="00514848">
        <w:t xml:space="preserve">mais divergentes, </w:t>
      </w:r>
      <w:r w:rsidR="0022014C">
        <w:t xml:space="preserve">como mostra o </w:t>
      </w:r>
      <w:r w:rsidRPr="00514848">
        <w:t xml:space="preserve">facto de </w:t>
      </w:r>
      <w:r w:rsidR="0022014C">
        <w:t xml:space="preserve">oito dos </w:t>
      </w:r>
      <w:r w:rsidRPr="00514848">
        <w:t xml:space="preserve">países que </w:t>
      </w:r>
      <w:r w:rsidR="001C729F">
        <w:t xml:space="preserve">efetuaram </w:t>
      </w:r>
      <w:r>
        <w:t xml:space="preserve">novos inquéritos desde </w:t>
      </w:r>
      <w:r w:rsidRPr="00514848">
        <w:t>2011</w:t>
      </w:r>
      <w:r w:rsidR="001C729F">
        <w:t xml:space="preserve"> terem registado </w:t>
      </w:r>
      <w:r>
        <w:t xml:space="preserve">diminuições </w:t>
      </w:r>
      <w:r w:rsidR="0022014C">
        <w:t>e os outros cinco</w:t>
      </w:r>
      <w:r>
        <w:t xml:space="preserve"> </w:t>
      </w:r>
      <w:r w:rsidR="0022014C">
        <w:t xml:space="preserve">referirem </w:t>
      </w:r>
      <w:r>
        <w:t xml:space="preserve">aumentos </w:t>
      </w:r>
      <w:r w:rsidR="0022014C">
        <w:t>d</w:t>
      </w:r>
      <w:r>
        <w:t xml:space="preserve">a prevalência </w:t>
      </w:r>
      <w:r w:rsidR="001C729F">
        <w:t xml:space="preserve">do consumo </w:t>
      </w:r>
      <w:r w:rsidR="0022014C">
        <w:t>no</w:t>
      </w:r>
      <w:r>
        <w:t xml:space="preserve"> último ano </w:t>
      </w:r>
      <w:r w:rsidRPr="00514848">
        <w:t>(</w:t>
      </w:r>
      <w:r w:rsidR="00E75C20">
        <w:t xml:space="preserve">entre os </w:t>
      </w:r>
      <w:r w:rsidRPr="00514848">
        <w:t>15</w:t>
      </w:r>
      <w:r w:rsidR="00E75C20">
        <w:t xml:space="preserve"> e os</w:t>
      </w:r>
      <w:r w:rsidR="007867CE">
        <w:t xml:space="preserve"> </w:t>
      </w:r>
      <w:r w:rsidRPr="00514848">
        <w:t xml:space="preserve">34 </w:t>
      </w:r>
      <w:r>
        <w:t>anos</w:t>
      </w:r>
      <w:r w:rsidRPr="00514848">
        <w:t>) (Figur</w:t>
      </w:r>
      <w:r>
        <w:t>a</w:t>
      </w:r>
      <w:r w:rsidRPr="00514848">
        <w:t xml:space="preserve"> 2.1). </w:t>
      </w:r>
    </w:p>
    <w:p w:rsidR="00E54105" w:rsidRDefault="0052393E" w:rsidP="00E54105">
      <w:pPr>
        <w:pStyle w:val="newsContent"/>
      </w:pPr>
      <w:r w:rsidRPr="009E47F1">
        <w:t xml:space="preserve">As preocupações de saúde pública são maiores </w:t>
      </w:r>
      <w:r w:rsidR="004635A4">
        <w:t xml:space="preserve">para </w:t>
      </w:r>
      <w:r w:rsidRPr="009E47F1">
        <w:t xml:space="preserve">os europeus que </w:t>
      </w:r>
      <w:r w:rsidR="008C643C">
        <w:t xml:space="preserve">mantêm um consumo diário ou quase diário desta </w:t>
      </w:r>
      <w:r w:rsidRPr="009E47F1">
        <w:t>droga (</w:t>
      </w:r>
      <w:r>
        <w:t xml:space="preserve">cerca de </w:t>
      </w:r>
      <w:r w:rsidRPr="009E47F1">
        <w:t>1</w:t>
      </w:r>
      <w:r>
        <w:t> </w:t>
      </w:r>
      <w:r w:rsidRPr="009E47F1">
        <w:t xml:space="preserve">% </w:t>
      </w:r>
      <w:r>
        <w:t>dos adultos europeus</w:t>
      </w:r>
      <w:r w:rsidRPr="009E47F1">
        <w:t xml:space="preserve">, </w:t>
      </w:r>
      <w:r>
        <w:t xml:space="preserve">entre os </w:t>
      </w:r>
      <w:r w:rsidRPr="009E47F1">
        <w:t>15</w:t>
      </w:r>
      <w:r>
        <w:t xml:space="preserve"> e os </w:t>
      </w:r>
      <w:r w:rsidRPr="009E47F1">
        <w:t xml:space="preserve">64 </w:t>
      </w:r>
      <w:r>
        <w:t>anos</w:t>
      </w:r>
      <w:r w:rsidRPr="009E47F1">
        <w:t xml:space="preserve">). </w:t>
      </w:r>
      <w:r w:rsidRPr="00650E8A">
        <w:t xml:space="preserve">Em 2012, a </w:t>
      </w:r>
      <w:r w:rsidRPr="00B72F07">
        <w:rPr>
          <w:i/>
        </w:rPr>
        <w:t>cannabis</w:t>
      </w:r>
      <w:r w:rsidRPr="00650E8A">
        <w:t xml:space="preserve"> foi a droga </w:t>
      </w:r>
      <w:r w:rsidR="008C643C">
        <w:t xml:space="preserve">principal </w:t>
      </w:r>
      <w:r w:rsidRPr="00650E8A">
        <w:t xml:space="preserve">mais frequentemente referida </w:t>
      </w:r>
      <w:r w:rsidR="00CE420E" w:rsidRPr="00650E8A">
        <w:t xml:space="preserve">pelos </w:t>
      </w:r>
      <w:r w:rsidR="00CE420E">
        <w:t>utentes</w:t>
      </w:r>
      <w:r w:rsidR="0091658B">
        <w:t xml:space="preserve"> </w:t>
      </w:r>
      <w:r>
        <w:t>que inicia</w:t>
      </w:r>
      <w:r w:rsidR="0022014C">
        <w:t>ra</w:t>
      </w:r>
      <w:r>
        <w:t xml:space="preserve">m </w:t>
      </w:r>
      <w:r w:rsidR="0091658B">
        <w:t xml:space="preserve">pela primeira vez </w:t>
      </w:r>
      <w:r>
        <w:t xml:space="preserve">o </w:t>
      </w:r>
      <w:r w:rsidRPr="00650E8A">
        <w:t xml:space="preserve">tratamento </w:t>
      </w:r>
      <w:r>
        <w:t xml:space="preserve">da </w:t>
      </w:r>
      <w:r w:rsidR="00CE420E">
        <w:t>toxicodependência.</w:t>
      </w:r>
      <w:r w:rsidRPr="00650E8A">
        <w:t xml:space="preserve"> </w:t>
      </w:r>
      <w:r w:rsidR="004635A4">
        <w:t>«</w:t>
      </w:r>
      <w:r w:rsidRPr="00BB5564">
        <w:t>A ausência de um acompanhamento sistemático no domínio das emergências médicas relacionadas com o consumo d</w:t>
      </w:r>
      <w:r w:rsidR="009650AB">
        <w:t>a</w:t>
      </w:r>
      <w:r w:rsidRPr="00BB5564">
        <w:t xml:space="preserve"> droga</w:t>
      </w:r>
      <w:r>
        <w:t xml:space="preserve"> </w:t>
      </w:r>
      <w:r w:rsidR="009650AB">
        <w:t xml:space="preserve">representa </w:t>
      </w:r>
      <w:r>
        <w:t>um “ângulo morto”</w:t>
      </w:r>
      <w:r w:rsidR="00B912E6">
        <w:t xml:space="preserve"> </w:t>
      </w:r>
      <w:r>
        <w:t xml:space="preserve">na vigilância europeia </w:t>
      </w:r>
      <w:r w:rsidR="009650AB">
        <w:t>às</w:t>
      </w:r>
      <w:r>
        <w:t xml:space="preserve"> ameaças emergentes para a saúde»</w:t>
      </w:r>
      <w:r w:rsidR="008C643C">
        <w:t>,</w:t>
      </w:r>
      <w:r w:rsidRPr="00BB5564">
        <w:t xml:space="preserve"> </w:t>
      </w:r>
      <w:r>
        <w:t xml:space="preserve">salienta o </w:t>
      </w:r>
      <w:r w:rsidRPr="00BB5564">
        <w:rPr>
          <w:b/>
        </w:rPr>
        <w:t>EMCDDA</w:t>
      </w:r>
      <w:r w:rsidRPr="00BB5564">
        <w:t xml:space="preserve">. </w:t>
      </w:r>
      <w:r w:rsidR="008C643C">
        <w:t xml:space="preserve">Os poucos dados disponíveis permitem concluir que as </w:t>
      </w:r>
      <w:r>
        <w:t xml:space="preserve">emergências médicas relacionadas com a </w:t>
      </w:r>
      <w:r w:rsidRPr="00B72F07">
        <w:rPr>
          <w:i/>
        </w:rPr>
        <w:t>cannabis</w:t>
      </w:r>
      <w:r w:rsidRPr="009650AB">
        <w:t xml:space="preserve"> </w:t>
      </w:r>
      <w:r>
        <w:t xml:space="preserve">parecem ser um problema cada vez maior em alguns países </w:t>
      </w:r>
      <w:r w:rsidR="009650AB">
        <w:t>com</w:t>
      </w:r>
      <w:r>
        <w:t xml:space="preserve"> prevalência elevada</w:t>
      </w:r>
      <w:r w:rsidRPr="00BB5564">
        <w:t>.</w:t>
      </w:r>
    </w:p>
    <w:p w:rsidR="0052393E" w:rsidRPr="00E54105" w:rsidRDefault="0052393E" w:rsidP="00E54105">
      <w:pPr>
        <w:pStyle w:val="newsContent"/>
        <w:rPr>
          <w:rFonts w:cs="Arial"/>
        </w:rPr>
      </w:pPr>
      <w:r w:rsidRPr="00E54105">
        <w:rPr>
          <w:rFonts w:cs="Arial"/>
          <w:b/>
        </w:rPr>
        <w:t xml:space="preserve">Wolfgang </w:t>
      </w:r>
      <w:proofErr w:type="spellStart"/>
      <w:r w:rsidRPr="00E54105">
        <w:rPr>
          <w:rFonts w:cs="Arial"/>
          <w:b/>
        </w:rPr>
        <w:t>Götz</w:t>
      </w:r>
      <w:proofErr w:type="spellEnd"/>
      <w:r w:rsidRPr="00E54105">
        <w:rPr>
          <w:rFonts w:cs="Arial"/>
          <w:b/>
        </w:rPr>
        <w:t xml:space="preserve">, </w:t>
      </w:r>
      <w:proofErr w:type="spellStart"/>
      <w:r w:rsidRPr="00E54105">
        <w:rPr>
          <w:rFonts w:cs="Arial"/>
          <w:b/>
        </w:rPr>
        <w:t>Diretor</w:t>
      </w:r>
      <w:proofErr w:type="spellEnd"/>
      <w:r w:rsidRPr="00E54105">
        <w:rPr>
          <w:rFonts w:cs="Arial"/>
          <w:b/>
        </w:rPr>
        <w:t xml:space="preserve"> do EMCDDA,</w:t>
      </w:r>
      <w:r w:rsidRPr="00E54105">
        <w:rPr>
          <w:rFonts w:cs="Arial"/>
        </w:rPr>
        <w:t xml:space="preserve"> conclui: «</w:t>
      </w:r>
      <w:r w:rsidR="00E54105" w:rsidRPr="00E54105">
        <w:rPr>
          <w:rFonts w:cs="Arial"/>
        </w:rPr>
        <w:t xml:space="preserve">Estou </w:t>
      </w:r>
      <w:r w:rsidR="00E54105" w:rsidRPr="00E54105">
        <w:rPr>
          <w:rFonts w:cs="Arial"/>
        </w:rPr>
        <w:t xml:space="preserve">particularmente satisfeito </w:t>
      </w:r>
      <w:r w:rsidR="00E54105" w:rsidRPr="00E54105">
        <w:rPr>
          <w:rFonts w:cs="Arial"/>
        </w:rPr>
        <w:t xml:space="preserve">com </w:t>
      </w:r>
      <w:r w:rsidR="00F167D6" w:rsidRPr="00E54105">
        <w:rPr>
          <w:rFonts w:cs="Arial"/>
        </w:rPr>
        <w:t>a</w:t>
      </w:r>
      <w:r w:rsidR="00EE630A" w:rsidRPr="00E54105">
        <w:rPr>
          <w:rFonts w:cs="Arial"/>
        </w:rPr>
        <w:t>s</w:t>
      </w:r>
      <w:r w:rsidR="00F167D6" w:rsidRPr="00E54105">
        <w:rPr>
          <w:rFonts w:cs="Arial"/>
        </w:rPr>
        <w:t xml:space="preserve"> análise</w:t>
      </w:r>
      <w:r w:rsidR="00EE630A" w:rsidRPr="00E54105">
        <w:rPr>
          <w:rFonts w:cs="Arial"/>
        </w:rPr>
        <w:t>s</w:t>
      </w:r>
      <w:r w:rsidR="00F167D6" w:rsidRPr="00E54105">
        <w:rPr>
          <w:rFonts w:cs="Arial"/>
        </w:rPr>
        <w:t xml:space="preserve"> </w:t>
      </w:r>
      <w:r w:rsidR="00EA1A07" w:rsidRPr="00E54105">
        <w:rPr>
          <w:rFonts w:cs="Arial"/>
        </w:rPr>
        <w:t xml:space="preserve">facultadas por </w:t>
      </w:r>
      <w:r w:rsidR="00F167D6" w:rsidRPr="00E54105">
        <w:rPr>
          <w:rFonts w:cs="Arial"/>
        </w:rPr>
        <w:t xml:space="preserve">este </w:t>
      </w:r>
      <w:r w:rsidR="00B34D34" w:rsidRPr="00E54105">
        <w:rPr>
          <w:rFonts w:cs="Arial"/>
        </w:rPr>
        <w:t>relatório</w:t>
      </w:r>
      <w:r w:rsidR="00B72F07" w:rsidRPr="00E54105">
        <w:rPr>
          <w:rFonts w:cs="Arial"/>
        </w:rPr>
        <w:t>,</w:t>
      </w:r>
      <w:r w:rsidR="008C643C" w:rsidRPr="00E54105">
        <w:rPr>
          <w:rFonts w:cs="Arial"/>
        </w:rPr>
        <w:t xml:space="preserve"> </w:t>
      </w:r>
      <w:r w:rsidR="00B34D34" w:rsidRPr="00E54105">
        <w:rPr>
          <w:rFonts w:cs="Arial"/>
        </w:rPr>
        <w:t>quer</w:t>
      </w:r>
      <w:r w:rsidRPr="00E54105">
        <w:rPr>
          <w:rFonts w:cs="Arial"/>
        </w:rPr>
        <w:t xml:space="preserve"> sobre os problemas já conhecidos </w:t>
      </w:r>
      <w:r w:rsidR="00B34D34" w:rsidRPr="00E54105">
        <w:rPr>
          <w:rFonts w:cs="Arial"/>
        </w:rPr>
        <w:t xml:space="preserve">quer </w:t>
      </w:r>
      <w:r w:rsidRPr="00E54105">
        <w:rPr>
          <w:rFonts w:cs="Arial"/>
        </w:rPr>
        <w:t xml:space="preserve">sobre as ameaças emergentes. </w:t>
      </w:r>
      <w:r w:rsidR="008C643C" w:rsidRPr="00E54105">
        <w:rPr>
          <w:rFonts w:cs="Arial"/>
        </w:rPr>
        <w:t xml:space="preserve">A existência de </w:t>
      </w:r>
      <w:r w:rsidRPr="00E54105">
        <w:rPr>
          <w:rFonts w:cs="Arial"/>
        </w:rPr>
        <w:t>informaç</w:t>
      </w:r>
      <w:r w:rsidR="00052D5A" w:rsidRPr="00E54105">
        <w:rPr>
          <w:rFonts w:cs="Arial"/>
        </w:rPr>
        <w:t>ão</w:t>
      </w:r>
      <w:r w:rsidR="008C643C" w:rsidRPr="00E54105">
        <w:rPr>
          <w:rFonts w:cs="Arial"/>
        </w:rPr>
        <w:t xml:space="preserve"> </w:t>
      </w:r>
      <w:r w:rsidR="00F167D6" w:rsidRPr="00E54105">
        <w:rPr>
          <w:rFonts w:cs="Arial"/>
        </w:rPr>
        <w:t>de qualidade</w:t>
      </w:r>
      <w:r w:rsidRPr="00E54105">
        <w:rPr>
          <w:rFonts w:cs="Arial"/>
        </w:rPr>
        <w:t xml:space="preserve"> é </w:t>
      </w:r>
      <w:r w:rsidR="00F167D6" w:rsidRPr="00E54105">
        <w:rPr>
          <w:rFonts w:cs="Arial"/>
        </w:rPr>
        <w:t xml:space="preserve">essencial para </w:t>
      </w:r>
      <w:r w:rsidR="00EA1A07" w:rsidRPr="00E54105">
        <w:rPr>
          <w:rFonts w:cs="Arial"/>
        </w:rPr>
        <w:t xml:space="preserve">que a Europa possa </w:t>
      </w:r>
      <w:r w:rsidR="00CE420E" w:rsidRPr="00E54105">
        <w:rPr>
          <w:rFonts w:cs="Arial"/>
        </w:rPr>
        <w:t>responder aos</w:t>
      </w:r>
      <w:r w:rsidRPr="00E54105">
        <w:rPr>
          <w:rFonts w:cs="Arial"/>
        </w:rPr>
        <w:t xml:space="preserve"> problemas </w:t>
      </w:r>
      <w:r w:rsidR="00B34D34" w:rsidRPr="00E54105">
        <w:rPr>
          <w:rFonts w:cs="Arial"/>
        </w:rPr>
        <w:t xml:space="preserve">relacionados com a </w:t>
      </w:r>
      <w:r w:rsidRPr="00E54105">
        <w:rPr>
          <w:rFonts w:cs="Arial"/>
        </w:rPr>
        <w:t xml:space="preserve">droga e </w:t>
      </w:r>
      <w:r w:rsidR="00B34D34" w:rsidRPr="00E54105">
        <w:rPr>
          <w:rFonts w:cs="Arial"/>
        </w:rPr>
        <w:t xml:space="preserve">confere maior eficácia às </w:t>
      </w:r>
      <w:r w:rsidRPr="00E54105">
        <w:rPr>
          <w:rFonts w:cs="Arial"/>
        </w:rPr>
        <w:t>nossas intervenções. Há mais de 15 anos, as instituições da U</w:t>
      </w:r>
      <w:r w:rsidR="00B34D34" w:rsidRPr="00E54105">
        <w:rPr>
          <w:rFonts w:cs="Arial"/>
        </w:rPr>
        <w:t>nião</w:t>
      </w:r>
      <w:r w:rsidR="00676431" w:rsidRPr="00E54105">
        <w:rPr>
          <w:rFonts w:cs="Arial"/>
        </w:rPr>
        <w:t xml:space="preserve"> Europeia</w:t>
      </w:r>
      <w:r w:rsidRPr="00E54105">
        <w:rPr>
          <w:rFonts w:cs="Arial"/>
        </w:rPr>
        <w:t xml:space="preserve"> e os Estados</w:t>
      </w:r>
      <w:r w:rsidRPr="00E54105">
        <w:rPr>
          <w:rFonts w:cs="Arial"/>
        </w:rPr>
        <w:noBreakHyphen/>
        <w:t xml:space="preserve">Membros </w:t>
      </w:r>
      <w:r w:rsidR="008C643C" w:rsidRPr="00E54105">
        <w:rPr>
          <w:rFonts w:cs="Arial"/>
        </w:rPr>
        <w:t xml:space="preserve">demonstraram </w:t>
      </w:r>
      <w:r w:rsidR="00B34D34" w:rsidRPr="00E54105">
        <w:rPr>
          <w:rFonts w:cs="Arial"/>
        </w:rPr>
        <w:t xml:space="preserve">ter grande visão </w:t>
      </w:r>
      <w:r w:rsidRPr="00E54105">
        <w:rPr>
          <w:rFonts w:cs="Arial"/>
        </w:rPr>
        <w:t>ao investir</w:t>
      </w:r>
      <w:r w:rsidR="008C643C" w:rsidRPr="00E54105">
        <w:rPr>
          <w:rFonts w:cs="Arial"/>
        </w:rPr>
        <w:t>em</w:t>
      </w:r>
      <w:r w:rsidRPr="00E54105">
        <w:rPr>
          <w:rFonts w:cs="Arial"/>
        </w:rPr>
        <w:t xml:space="preserve"> num </w:t>
      </w:r>
      <w:r w:rsidR="0091658B" w:rsidRPr="00E54105">
        <w:rPr>
          <w:rFonts w:cs="Arial"/>
        </w:rPr>
        <w:t>S</w:t>
      </w:r>
      <w:r w:rsidR="008C643C" w:rsidRPr="00E54105">
        <w:rPr>
          <w:rFonts w:cs="Arial"/>
        </w:rPr>
        <w:t xml:space="preserve">istema de </w:t>
      </w:r>
      <w:r w:rsidR="0091658B" w:rsidRPr="00E54105">
        <w:rPr>
          <w:rFonts w:cs="Arial"/>
        </w:rPr>
        <w:t>A</w:t>
      </w:r>
      <w:r w:rsidR="008C643C" w:rsidRPr="00E54105">
        <w:rPr>
          <w:rFonts w:cs="Arial"/>
        </w:rPr>
        <w:t xml:space="preserve">lerta </w:t>
      </w:r>
      <w:r w:rsidR="0091658B" w:rsidRPr="00E54105">
        <w:rPr>
          <w:rFonts w:cs="Arial"/>
        </w:rPr>
        <w:t>R</w:t>
      </w:r>
      <w:r w:rsidRPr="00E54105">
        <w:rPr>
          <w:rFonts w:cs="Arial"/>
        </w:rPr>
        <w:t>ápido</w:t>
      </w:r>
      <w:r w:rsidR="00676431" w:rsidRPr="00E54105">
        <w:rPr>
          <w:rFonts w:cs="Arial"/>
        </w:rPr>
        <w:t xml:space="preserve"> da </w:t>
      </w:r>
      <w:r w:rsidR="001924B7" w:rsidRPr="00E54105">
        <w:rPr>
          <w:rFonts w:cs="Arial"/>
        </w:rPr>
        <w:t>UE para</w:t>
      </w:r>
      <w:r w:rsidR="00B34D34" w:rsidRPr="00E54105">
        <w:rPr>
          <w:rFonts w:cs="Arial"/>
        </w:rPr>
        <w:t xml:space="preserve"> </w:t>
      </w:r>
      <w:r w:rsidR="00676431" w:rsidRPr="00E54105">
        <w:rPr>
          <w:rFonts w:cs="Arial"/>
        </w:rPr>
        <w:t>a</w:t>
      </w:r>
      <w:r w:rsidR="00B34D34" w:rsidRPr="00E54105">
        <w:rPr>
          <w:rFonts w:cs="Arial"/>
        </w:rPr>
        <w:t>s</w:t>
      </w:r>
      <w:r w:rsidR="008C643C" w:rsidRPr="00E54105">
        <w:rPr>
          <w:rFonts w:cs="Arial"/>
        </w:rPr>
        <w:t xml:space="preserve"> </w:t>
      </w:r>
      <w:r w:rsidRPr="00E54105">
        <w:rPr>
          <w:rFonts w:cs="Arial"/>
        </w:rPr>
        <w:t xml:space="preserve">novas substâncias </w:t>
      </w:r>
      <w:r w:rsidR="00B34D34" w:rsidRPr="00E54105">
        <w:rPr>
          <w:rFonts w:cs="Arial"/>
        </w:rPr>
        <w:t xml:space="preserve">psicoativas, </w:t>
      </w:r>
      <w:r w:rsidRPr="00E54105">
        <w:rPr>
          <w:rFonts w:cs="Arial"/>
        </w:rPr>
        <w:t xml:space="preserve">que </w:t>
      </w:r>
      <w:r w:rsidR="00B34D34" w:rsidRPr="00E54105">
        <w:rPr>
          <w:rFonts w:cs="Arial"/>
        </w:rPr>
        <w:t>é</w:t>
      </w:r>
      <w:r w:rsidR="00F167D6" w:rsidRPr="00E54105">
        <w:rPr>
          <w:rFonts w:cs="Arial"/>
        </w:rPr>
        <w:t>, hoje em dia,</w:t>
      </w:r>
      <w:r w:rsidR="001924B7" w:rsidRPr="00E54105">
        <w:rPr>
          <w:rFonts w:cs="Arial"/>
        </w:rPr>
        <w:t xml:space="preserve"> </w:t>
      </w:r>
      <w:r w:rsidR="00B34D34" w:rsidRPr="00E54105">
        <w:rPr>
          <w:rFonts w:cs="Arial"/>
        </w:rPr>
        <w:t>universalmente respeitado</w:t>
      </w:r>
      <w:r w:rsidRPr="00E54105">
        <w:rPr>
          <w:rFonts w:cs="Arial"/>
        </w:rPr>
        <w:t xml:space="preserve">. Acredito que </w:t>
      </w:r>
      <w:r w:rsidR="008C643C" w:rsidRPr="00E54105">
        <w:rPr>
          <w:rFonts w:cs="Arial"/>
        </w:rPr>
        <w:t>es</w:t>
      </w:r>
      <w:r w:rsidR="00676431" w:rsidRPr="00E54105">
        <w:rPr>
          <w:rFonts w:cs="Arial"/>
        </w:rPr>
        <w:t>t</w:t>
      </w:r>
      <w:r w:rsidR="008C643C" w:rsidRPr="00E54105">
        <w:rPr>
          <w:rFonts w:cs="Arial"/>
        </w:rPr>
        <w:t xml:space="preserve">e </w:t>
      </w:r>
      <w:r w:rsidRPr="00E54105">
        <w:rPr>
          <w:rFonts w:cs="Arial"/>
        </w:rPr>
        <w:t xml:space="preserve">sistema — que já </w:t>
      </w:r>
      <w:r w:rsidR="008C643C" w:rsidRPr="00E54105">
        <w:rPr>
          <w:rFonts w:cs="Arial"/>
        </w:rPr>
        <w:t>provou</w:t>
      </w:r>
      <w:r w:rsidRPr="00E54105">
        <w:rPr>
          <w:rFonts w:cs="Arial"/>
        </w:rPr>
        <w:t xml:space="preserve"> repetidamente a sua </w:t>
      </w:r>
      <w:r w:rsidR="0091658B" w:rsidRPr="00E54105">
        <w:rPr>
          <w:rFonts w:cs="Arial"/>
        </w:rPr>
        <w:t>eficácia</w:t>
      </w:r>
      <w:r w:rsidRPr="00E54105">
        <w:rPr>
          <w:rFonts w:cs="Arial"/>
        </w:rPr>
        <w:t xml:space="preserve"> </w:t>
      </w:r>
      <w:r w:rsidR="00512C99" w:rsidRPr="00E54105">
        <w:rPr>
          <w:rFonts w:cs="Arial"/>
        </w:rPr>
        <w:t>na</w:t>
      </w:r>
      <w:r w:rsidRPr="00E54105">
        <w:rPr>
          <w:rFonts w:cs="Arial"/>
        </w:rPr>
        <w:t xml:space="preserve"> partilha </w:t>
      </w:r>
      <w:r w:rsidR="00B34D34" w:rsidRPr="00E54105">
        <w:rPr>
          <w:rFonts w:cs="Arial"/>
        </w:rPr>
        <w:t xml:space="preserve">de </w:t>
      </w:r>
      <w:r w:rsidRPr="00E54105">
        <w:rPr>
          <w:rFonts w:cs="Arial"/>
        </w:rPr>
        <w:t>informaç</w:t>
      </w:r>
      <w:r w:rsidR="00676431" w:rsidRPr="00E54105">
        <w:rPr>
          <w:rFonts w:cs="Arial"/>
        </w:rPr>
        <w:t>ão</w:t>
      </w:r>
      <w:r w:rsidRPr="00E54105">
        <w:rPr>
          <w:rFonts w:cs="Arial"/>
        </w:rPr>
        <w:t xml:space="preserve"> e </w:t>
      </w:r>
      <w:r w:rsidR="00512C99" w:rsidRPr="00E54105">
        <w:rPr>
          <w:rFonts w:cs="Arial"/>
        </w:rPr>
        <w:t>na</w:t>
      </w:r>
      <w:r w:rsidR="00B34D34" w:rsidRPr="00E54105">
        <w:rPr>
          <w:rFonts w:cs="Arial"/>
        </w:rPr>
        <w:t xml:space="preserve"> </w:t>
      </w:r>
      <w:r w:rsidR="00676431" w:rsidRPr="00E54105">
        <w:rPr>
          <w:rFonts w:cs="Arial"/>
        </w:rPr>
        <w:t xml:space="preserve">rápida </w:t>
      </w:r>
      <w:r w:rsidR="001924B7" w:rsidRPr="00E54105">
        <w:rPr>
          <w:rFonts w:cs="Arial"/>
        </w:rPr>
        <w:t>resposta a</w:t>
      </w:r>
      <w:r w:rsidRPr="00E54105">
        <w:rPr>
          <w:rFonts w:cs="Arial"/>
        </w:rPr>
        <w:t xml:space="preserve"> ameaças —</w:t>
      </w:r>
      <w:r w:rsidR="001924B7" w:rsidRPr="00E54105">
        <w:rPr>
          <w:rFonts w:cs="Arial"/>
        </w:rPr>
        <w:t xml:space="preserve"> pode</w:t>
      </w:r>
      <w:r w:rsidR="00676431" w:rsidRPr="00E54105">
        <w:rPr>
          <w:rFonts w:cs="Arial"/>
        </w:rPr>
        <w:t xml:space="preserve"> ainda</w:t>
      </w:r>
      <w:r w:rsidRPr="00E54105">
        <w:rPr>
          <w:rFonts w:cs="Arial"/>
        </w:rPr>
        <w:t xml:space="preserve"> ser reforçado. </w:t>
      </w:r>
      <w:r w:rsidR="00512C99" w:rsidRPr="00E54105">
        <w:rPr>
          <w:rFonts w:cs="Arial"/>
        </w:rPr>
        <w:t>Causa-me, todavia,</w:t>
      </w:r>
      <w:r w:rsidR="008C643C" w:rsidRPr="00E54105">
        <w:rPr>
          <w:rFonts w:cs="Arial"/>
        </w:rPr>
        <w:t xml:space="preserve"> grande </w:t>
      </w:r>
      <w:r w:rsidRPr="00E54105">
        <w:rPr>
          <w:rFonts w:cs="Arial"/>
        </w:rPr>
        <w:t xml:space="preserve">preocupação que este mecanismo esteja </w:t>
      </w:r>
      <w:r w:rsidR="00512C99" w:rsidRPr="00E54105">
        <w:rPr>
          <w:rFonts w:cs="Arial"/>
        </w:rPr>
        <w:t xml:space="preserve">sujeito a </w:t>
      </w:r>
      <w:r w:rsidRPr="00E54105">
        <w:rPr>
          <w:rFonts w:cs="Arial"/>
        </w:rPr>
        <w:t>uma</w:t>
      </w:r>
      <w:r w:rsidR="001924B7" w:rsidRPr="00E54105">
        <w:rPr>
          <w:rFonts w:cs="Arial"/>
        </w:rPr>
        <w:t xml:space="preserve"> </w:t>
      </w:r>
      <w:r w:rsidRPr="00E54105">
        <w:rPr>
          <w:rFonts w:cs="Arial"/>
        </w:rPr>
        <w:t xml:space="preserve">pressão crescente e possa </w:t>
      </w:r>
      <w:r w:rsidR="00512C99" w:rsidRPr="00E54105">
        <w:rPr>
          <w:rFonts w:cs="Arial"/>
        </w:rPr>
        <w:t xml:space="preserve">ficar </w:t>
      </w:r>
      <w:r w:rsidRPr="00E54105">
        <w:rPr>
          <w:rFonts w:cs="Arial"/>
        </w:rPr>
        <w:t xml:space="preserve">em risco se não </w:t>
      </w:r>
      <w:r w:rsidR="00512C99" w:rsidRPr="00E54105">
        <w:rPr>
          <w:rFonts w:cs="Arial"/>
        </w:rPr>
        <w:t>for dotado</w:t>
      </w:r>
      <w:r w:rsidR="008C643C" w:rsidRPr="00E54105">
        <w:rPr>
          <w:rFonts w:cs="Arial"/>
        </w:rPr>
        <w:t xml:space="preserve"> de meios </w:t>
      </w:r>
      <w:r w:rsidR="00676431" w:rsidRPr="00E54105">
        <w:rPr>
          <w:rFonts w:cs="Arial"/>
        </w:rPr>
        <w:t>adequados</w:t>
      </w:r>
      <w:r w:rsidRPr="00E54105">
        <w:rPr>
          <w:rFonts w:cs="Arial"/>
        </w:rPr>
        <w:t xml:space="preserve">». </w:t>
      </w:r>
    </w:p>
    <w:p w:rsidR="00CB49DA" w:rsidRPr="0052393E" w:rsidRDefault="00CB49DA" w:rsidP="00CB49DA">
      <w:pPr>
        <w:pStyle w:val="newsNotes"/>
        <w:rPr>
          <w:b/>
        </w:rPr>
      </w:pPr>
      <w:r w:rsidRPr="0052393E">
        <w:rPr>
          <w:b/>
        </w:rPr>
        <w:t>Not</w:t>
      </w:r>
      <w:r w:rsidR="0052393E" w:rsidRPr="0052393E">
        <w:rPr>
          <w:b/>
        </w:rPr>
        <w:t>a</w:t>
      </w:r>
      <w:r w:rsidRPr="0052393E">
        <w:rPr>
          <w:b/>
        </w:rPr>
        <w:t>s:</w:t>
      </w:r>
    </w:p>
    <w:p w:rsidR="0052393E" w:rsidRPr="00ED555A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000FE8">
        <w:rPr>
          <w:rFonts w:ascii="Arial" w:hAnsi="Arial" w:cs="Arial"/>
          <w:sz w:val="16"/>
          <w:szCs w:val="16"/>
        </w:rPr>
        <w:t>(</w:t>
      </w:r>
      <w:r w:rsidRPr="00000FE8">
        <w:rPr>
          <w:rStyle w:val="newsNotesNumberChar"/>
          <w:rFonts w:cs="Arial"/>
          <w:sz w:val="16"/>
          <w:szCs w:val="16"/>
        </w:rPr>
        <w:t>1</w:t>
      </w:r>
      <w:r w:rsidRPr="00000FE8">
        <w:rPr>
          <w:rFonts w:ascii="Arial" w:hAnsi="Arial" w:cs="Arial"/>
          <w:sz w:val="16"/>
          <w:szCs w:val="16"/>
        </w:rPr>
        <w:t>)</w:t>
      </w:r>
      <w:r w:rsidRPr="00ED555A">
        <w:t xml:space="preserve"> </w:t>
      </w:r>
      <w:r w:rsidRPr="00ED555A">
        <w:rPr>
          <w:rFonts w:ascii="Arial" w:hAnsi="Arial" w:cs="Arial"/>
          <w:sz w:val="16"/>
          <w:szCs w:val="16"/>
        </w:rPr>
        <w:t xml:space="preserve">O </w:t>
      </w:r>
      <w:r w:rsidRPr="00ED555A">
        <w:rPr>
          <w:rFonts w:ascii="Arial" w:hAnsi="Arial" w:cs="Arial"/>
          <w:b/>
          <w:i/>
          <w:sz w:val="16"/>
          <w:szCs w:val="16"/>
        </w:rPr>
        <w:t>Relatório Europeu sobre Drogas 2014</w:t>
      </w:r>
      <w:r w:rsidRPr="00ED555A">
        <w:rPr>
          <w:rFonts w:ascii="Arial" w:hAnsi="Arial" w:cs="Arial"/>
          <w:sz w:val="16"/>
          <w:szCs w:val="16"/>
        </w:rPr>
        <w:t xml:space="preserve">: </w:t>
      </w:r>
      <w:r w:rsidRPr="00ED555A">
        <w:rPr>
          <w:rFonts w:ascii="Arial" w:hAnsi="Arial" w:cs="Arial"/>
          <w:b/>
          <w:i/>
          <w:sz w:val="16"/>
          <w:szCs w:val="16"/>
        </w:rPr>
        <w:t>Tendências e evoluç</w:t>
      </w:r>
      <w:r>
        <w:rPr>
          <w:rFonts w:ascii="Arial" w:hAnsi="Arial" w:cs="Arial"/>
          <w:b/>
          <w:i/>
          <w:sz w:val="16"/>
          <w:szCs w:val="16"/>
        </w:rPr>
        <w:t>ões</w:t>
      </w:r>
      <w:r w:rsidRPr="00ED555A">
        <w:rPr>
          <w:rFonts w:ascii="Arial" w:hAnsi="Arial" w:cs="Arial"/>
          <w:b/>
          <w:sz w:val="16"/>
          <w:szCs w:val="16"/>
        </w:rPr>
        <w:t xml:space="preserve"> </w:t>
      </w:r>
      <w:r w:rsidRPr="00ED555A">
        <w:rPr>
          <w:rFonts w:ascii="Arial" w:hAnsi="Arial" w:cs="Arial"/>
          <w:sz w:val="16"/>
          <w:szCs w:val="16"/>
        </w:rPr>
        <w:t xml:space="preserve">(disponível em 23 línguas) e </w:t>
      </w:r>
      <w:r w:rsidRPr="00ED555A">
        <w:rPr>
          <w:rFonts w:ascii="Arial" w:hAnsi="Arial" w:cs="Arial"/>
          <w:b/>
          <w:sz w:val="16"/>
          <w:szCs w:val="16"/>
        </w:rPr>
        <w:t>Perspetiv</w:t>
      </w:r>
      <w:r>
        <w:rPr>
          <w:rFonts w:ascii="Arial" w:hAnsi="Arial" w:cs="Arial"/>
          <w:b/>
          <w:sz w:val="16"/>
          <w:szCs w:val="16"/>
        </w:rPr>
        <w:t>as sobre drogas</w:t>
      </w:r>
      <w:r w:rsidRPr="00ED555A">
        <w:rPr>
          <w:rFonts w:ascii="Arial" w:hAnsi="Arial" w:cs="Arial"/>
          <w:sz w:val="16"/>
          <w:szCs w:val="16"/>
        </w:rPr>
        <w:t xml:space="preserve"> (</w:t>
      </w:r>
      <w:r w:rsidRPr="001924B7">
        <w:rPr>
          <w:rFonts w:ascii="Arial" w:hAnsi="Arial" w:cs="Arial"/>
          <w:i/>
          <w:sz w:val="16"/>
          <w:szCs w:val="16"/>
        </w:rPr>
        <w:t>Perspectives on drugs</w:t>
      </w:r>
      <w:r w:rsidR="008C643C" w:rsidRPr="001924B7">
        <w:rPr>
          <w:rFonts w:ascii="Arial" w:hAnsi="Arial" w:cs="Arial"/>
          <w:i/>
          <w:sz w:val="16"/>
          <w:szCs w:val="16"/>
        </w:rPr>
        <w:t>/PODs</w:t>
      </w:r>
      <w:r w:rsidRPr="00ED555A">
        <w:rPr>
          <w:rFonts w:ascii="Arial" w:hAnsi="Arial" w:cs="Arial"/>
          <w:sz w:val="16"/>
          <w:szCs w:val="16"/>
        </w:rPr>
        <w:t>) (</w:t>
      </w:r>
      <w:r>
        <w:rPr>
          <w:rFonts w:ascii="Arial" w:hAnsi="Arial" w:cs="Arial"/>
          <w:sz w:val="16"/>
          <w:szCs w:val="16"/>
        </w:rPr>
        <w:t>em inglês</w:t>
      </w:r>
      <w:r w:rsidRPr="00ED555A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podem ser encontrados em</w:t>
      </w:r>
      <w:r w:rsidRPr="00ED555A">
        <w:rPr>
          <w:rFonts w:ascii="Arial" w:hAnsi="Arial" w:cs="Arial"/>
          <w:sz w:val="16"/>
          <w:szCs w:val="16"/>
        </w:rPr>
        <w:t xml:space="preserve"> </w:t>
      </w:r>
      <w:hyperlink r:id="rId10" w:history="1">
        <w:r w:rsidRPr="00ED555A">
          <w:rPr>
            <w:rStyle w:val="Hyperlink"/>
            <w:rFonts w:cs="Arial"/>
            <w:sz w:val="16"/>
            <w:szCs w:val="16"/>
          </w:rPr>
          <w:t>www.emcdda.europa.eu/edr2014</w:t>
        </w:r>
      </w:hyperlink>
      <w:r w:rsidRPr="00ED555A">
        <w:rPr>
          <w:rFonts w:ascii="Arial" w:hAnsi="Arial" w:cs="Arial"/>
          <w:sz w:val="16"/>
          <w:szCs w:val="16"/>
        </w:rPr>
        <w:t>. Os dados apresentados no relatório referem-se a 2012 o</w:t>
      </w:r>
      <w:r>
        <w:rPr>
          <w:rFonts w:ascii="Arial" w:hAnsi="Arial" w:cs="Arial"/>
          <w:sz w:val="16"/>
          <w:szCs w:val="16"/>
        </w:rPr>
        <w:t>u ao último ano disponível</w:t>
      </w:r>
      <w:r w:rsidRPr="00ED555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Os dados quantitativos citados no presente comunicado de imprensa constam do próprio relatório. </w:t>
      </w:r>
      <w:r w:rsidRPr="00ED555A">
        <w:rPr>
          <w:rFonts w:ascii="Arial" w:hAnsi="Arial" w:cs="Arial"/>
          <w:sz w:val="16"/>
          <w:szCs w:val="16"/>
        </w:rPr>
        <w:t xml:space="preserve">Podem encontrar-se dados e quadros adicionais em </w:t>
      </w:r>
      <w:r>
        <w:rPr>
          <w:rFonts w:ascii="Arial" w:hAnsi="Arial" w:cs="Arial"/>
          <w:b/>
          <w:sz w:val="16"/>
          <w:szCs w:val="16"/>
        </w:rPr>
        <w:t>European Drug Report: Data and statistics</w:t>
      </w:r>
      <w:r w:rsidR="0079412C">
        <w:rPr>
          <w:rFonts w:ascii="Arial" w:hAnsi="Arial" w:cs="Arial"/>
          <w:b/>
          <w:sz w:val="16"/>
          <w:szCs w:val="16"/>
        </w:rPr>
        <w:t xml:space="preserve"> </w:t>
      </w:r>
      <w:r w:rsidR="0079412C" w:rsidRPr="0079412C">
        <w:rPr>
          <w:rFonts w:ascii="Arial" w:hAnsi="Arial" w:cs="Arial"/>
          <w:sz w:val="16"/>
          <w:szCs w:val="16"/>
        </w:rPr>
        <w:t>(Relatório Europeu sobre Drogas: Dados e estatísticas)</w:t>
      </w:r>
      <w:r w:rsidR="0079412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hyperlink r:id="rId11" w:history="1">
        <w:r>
          <w:rPr>
            <w:rStyle w:val="Hyperlink"/>
            <w:sz w:val="16"/>
            <w:szCs w:val="16"/>
          </w:rPr>
          <w:t>www.emcdda.europa.eu/data</w:t>
        </w:r>
      </w:hyperlink>
    </w:p>
    <w:p w:rsidR="0052393E" w:rsidRPr="00581001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000FE8">
        <w:rPr>
          <w:rFonts w:ascii="Arial" w:hAnsi="Arial" w:cs="Arial"/>
          <w:sz w:val="16"/>
          <w:szCs w:val="16"/>
        </w:rPr>
        <w:t>(</w:t>
      </w:r>
      <w:r w:rsidRPr="00000FE8">
        <w:rPr>
          <w:rStyle w:val="newsNotesNumberChar"/>
          <w:rFonts w:cs="Arial"/>
          <w:sz w:val="16"/>
          <w:szCs w:val="16"/>
        </w:rPr>
        <w:t>2</w:t>
      </w:r>
      <w:r w:rsidRPr="00000FE8">
        <w:rPr>
          <w:rFonts w:ascii="Arial" w:hAnsi="Arial" w:cs="Arial"/>
          <w:sz w:val="16"/>
          <w:szCs w:val="16"/>
        </w:rPr>
        <w:t>)</w:t>
      </w:r>
      <w:r w:rsidRPr="00581001">
        <w:t xml:space="preserve"> </w:t>
      </w:r>
      <w:r w:rsidRPr="00581001">
        <w:rPr>
          <w:rFonts w:ascii="Arial" w:hAnsi="Arial" w:cs="Arial"/>
          <w:sz w:val="16"/>
          <w:szCs w:val="16"/>
        </w:rPr>
        <w:t xml:space="preserve">Devido às diferentes práticas e metodologias de comunicação de </w:t>
      </w:r>
      <w:r w:rsidR="0079412C">
        <w:rPr>
          <w:rFonts w:ascii="Arial" w:hAnsi="Arial" w:cs="Arial"/>
          <w:sz w:val="16"/>
          <w:szCs w:val="16"/>
        </w:rPr>
        <w:t>dados</w:t>
      </w:r>
      <w:r>
        <w:rPr>
          <w:rFonts w:ascii="Arial" w:hAnsi="Arial" w:cs="Arial"/>
          <w:sz w:val="16"/>
          <w:szCs w:val="16"/>
        </w:rPr>
        <w:t xml:space="preserve">, as comparações entre países </w:t>
      </w:r>
      <w:r w:rsidR="00512C99">
        <w:rPr>
          <w:rFonts w:ascii="Arial" w:hAnsi="Arial" w:cs="Arial"/>
          <w:sz w:val="16"/>
          <w:szCs w:val="16"/>
        </w:rPr>
        <w:t>devem</w:t>
      </w:r>
      <w:r>
        <w:rPr>
          <w:rFonts w:ascii="Arial" w:hAnsi="Arial" w:cs="Arial"/>
          <w:sz w:val="16"/>
          <w:szCs w:val="16"/>
        </w:rPr>
        <w:t xml:space="preserve"> ser feitas com </w:t>
      </w:r>
      <w:r w:rsidR="00676431">
        <w:rPr>
          <w:rFonts w:ascii="Arial" w:hAnsi="Arial" w:cs="Arial"/>
          <w:sz w:val="16"/>
          <w:szCs w:val="16"/>
        </w:rPr>
        <w:t>precaução</w:t>
      </w:r>
      <w:r w:rsidRPr="00581001">
        <w:rPr>
          <w:rFonts w:ascii="Arial" w:hAnsi="Arial" w:cs="Arial"/>
          <w:sz w:val="16"/>
          <w:szCs w:val="16"/>
        </w:rPr>
        <w:t>.</w:t>
      </w:r>
    </w:p>
    <w:p w:rsidR="0052393E" w:rsidRPr="0052393E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52393E">
        <w:rPr>
          <w:rFonts w:ascii="Arial" w:hAnsi="Arial" w:cs="Arial"/>
          <w:sz w:val="16"/>
          <w:szCs w:val="16"/>
        </w:rPr>
        <w:t>(</w:t>
      </w:r>
      <w:r w:rsidRPr="0052393E">
        <w:rPr>
          <w:rFonts w:ascii="Arial" w:hAnsi="Arial" w:cs="Arial"/>
          <w:sz w:val="16"/>
          <w:szCs w:val="16"/>
          <w:vertAlign w:val="superscript"/>
        </w:rPr>
        <w:t>3</w:t>
      </w:r>
      <w:r w:rsidRPr="0052393E">
        <w:rPr>
          <w:rFonts w:ascii="Arial" w:hAnsi="Arial" w:cs="Arial"/>
          <w:sz w:val="16"/>
          <w:szCs w:val="16"/>
        </w:rPr>
        <w:t xml:space="preserve">) </w:t>
      </w:r>
      <w:hyperlink r:id="rId12" w:history="1">
        <w:r w:rsidRPr="0052393E">
          <w:rPr>
            <w:rStyle w:val="Hyperlink"/>
            <w:rFonts w:cs="Arial"/>
            <w:sz w:val="16"/>
            <w:szCs w:val="16"/>
          </w:rPr>
          <w:t>www.eurosurveillance.org/ViewArticle.aspx?ArticleId=20648</w:t>
        </w:r>
      </w:hyperlink>
    </w:p>
    <w:p w:rsidR="0052393E" w:rsidRPr="0052393E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52393E">
        <w:rPr>
          <w:rFonts w:ascii="Arial" w:hAnsi="Arial" w:cs="Arial"/>
          <w:sz w:val="16"/>
          <w:szCs w:val="16"/>
        </w:rPr>
        <w:t>(</w:t>
      </w:r>
      <w:r w:rsidRPr="0052393E">
        <w:rPr>
          <w:rFonts w:ascii="Arial" w:hAnsi="Arial" w:cs="Arial"/>
          <w:sz w:val="16"/>
          <w:szCs w:val="16"/>
          <w:vertAlign w:val="superscript"/>
        </w:rPr>
        <w:t>4</w:t>
      </w:r>
      <w:r w:rsidRPr="0052393E">
        <w:rPr>
          <w:rFonts w:ascii="Arial" w:hAnsi="Arial" w:cs="Arial"/>
          <w:sz w:val="16"/>
          <w:szCs w:val="16"/>
        </w:rPr>
        <w:t xml:space="preserve">) </w:t>
      </w:r>
      <w:hyperlink r:id="rId13" w:history="1">
        <w:r w:rsidRPr="0052393E">
          <w:rPr>
            <w:rStyle w:val="Hyperlink"/>
            <w:rFonts w:cs="Arial"/>
            <w:sz w:val="16"/>
            <w:szCs w:val="16"/>
          </w:rPr>
          <w:t>www.emcdda.europa.eu/publications/emcdda-papers/exploring-methamphetamine-trends-in-Europe</w:t>
        </w:r>
      </w:hyperlink>
    </w:p>
    <w:p w:rsidR="0052393E" w:rsidRPr="0052393E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52393E">
        <w:rPr>
          <w:rFonts w:ascii="Arial" w:hAnsi="Arial" w:cs="Arial"/>
          <w:sz w:val="16"/>
          <w:szCs w:val="16"/>
        </w:rPr>
        <w:t>(</w:t>
      </w:r>
      <w:r w:rsidRPr="0052393E">
        <w:rPr>
          <w:rFonts w:ascii="Arial" w:hAnsi="Arial" w:cs="Arial"/>
          <w:sz w:val="16"/>
          <w:szCs w:val="16"/>
          <w:vertAlign w:val="superscript"/>
        </w:rPr>
        <w:t>5</w:t>
      </w:r>
      <w:r w:rsidRPr="0052393E">
        <w:rPr>
          <w:rFonts w:ascii="Arial" w:hAnsi="Arial" w:cs="Arial"/>
          <w:sz w:val="16"/>
          <w:szCs w:val="16"/>
        </w:rPr>
        <w:t xml:space="preserve">) </w:t>
      </w:r>
      <w:hyperlink r:id="rId14" w:history="1">
        <w:r w:rsidRPr="0052393E">
          <w:rPr>
            <w:rStyle w:val="Hyperlink"/>
            <w:rFonts w:cs="Arial"/>
            <w:sz w:val="16"/>
            <w:szCs w:val="16"/>
          </w:rPr>
          <w:t>www.emcdda.europa.eu/news/2014/europol-emcdda1</w:t>
        </w:r>
      </w:hyperlink>
    </w:p>
    <w:p w:rsidR="0052393E" w:rsidRPr="0052393E" w:rsidRDefault="0052393E" w:rsidP="0052393E">
      <w:pPr>
        <w:spacing w:after="0"/>
        <w:rPr>
          <w:rFonts w:ascii="Arial" w:hAnsi="Arial" w:cs="Arial"/>
          <w:sz w:val="16"/>
          <w:szCs w:val="16"/>
        </w:rPr>
      </w:pPr>
      <w:r w:rsidRPr="0052393E">
        <w:rPr>
          <w:rFonts w:ascii="Arial" w:hAnsi="Arial" w:cs="Arial"/>
          <w:sz w:val="16"/>
          <w:szCs w:val="16"/>
        </w:rPr>
        <w:t>(</w:t>
      </w:r>
      <w:r w:rsidRPr="0052393E">
        <w:rPr>
          <w:rFonts w:ascii="Arial" w:hAnsi="Arial" w:cs="Arial"/>
          <w:sz w:val="16"/>
          <w:szCs w:val="16"/>
          <w:vertAlign w:val="superscript"/>
        </w:rPr>
        <w:t>6</w:t>
      </w:r>
      <w:r w:rsidRPr="0052393E">
        <w:rPr>
          <w:rFonts w:ascii="Arial" w:hAnsi="Arial" w:cs="Arial"/>
          <w:sz w:val="16"/>
          <w:szCs w:val="16"/>
        </w:rPr>
        <w:t xml:space="preserve">) </w:t>
      </w:r>
      <w:hyperlink r:id="rId15" w:history="1">
        <w:r w:rsidRPr="0052393E">
          <w:rPr>
            <w:rStyle w:val="Hyperlink"/>
            <w:rFonts w:cs="Arial"/>
            <w:sz w:val="16"/>
            <w:szCs w:val="16"/>
          </w:rPr>
          <w:t>www.emcdda.europa.eu/publications/implementation-reports/2013</w:t>
        </w:r>
      </w:hyperlink>
    </w:p>
    <w:p w:rsidR="00CB49DA" w:rsidRPr="00FC527A" w:rsidRDefault="0052393E" w:rsidP="00000FE8">
      <w:pPr>
        <w:spacing w:after="0"/>
      </w:pPr>
      <w:r w:rsidRPr="0052393E">
        <w:rPr>
          <w:rFonts w:ascii="Arial" w:hAnsi="Arial" w:cs="Arial"/>
          <w:sz w:val="16"/>
          <w:szCs w:val="16"/>
        </w:rPr>
        <w:t>(</w:t>
      </w:r>
      <w:r w:rsidRPr="0052393E">
        <w:rPr>
          <w:rFonts w:ascii="Arial" w:hAnsi="Arial" w:cs="Arial"/>
          <w:sz w:val="16"/>
          <w:szCs w:val="16"/>
          <w:vertAlign w:val="superscript"/>
        </w:rPr>
        <w:t>7</w:t>
      </w:r>
      <w:r w:rsidRPr="0052393E">
        <w:rPr>
          <w:rFonts w:ascii="Arial" w:hAnsi="Arial" w:cs="Arial"/>
          <w:sz w:val="16"/>
          <w:szCs w:val="16"/>
        </w:rPr>
        <w:t xml:space="preserve">) </w:t>
      </w:r>
      <w:hyperlink r:id="rId16" w:history="1">
        <w:r w:rsidRPr="0052393E">
          <w:rPr>
            <w:rStyle w:val="Hyperlink"/>
            <w:rFonts w:cs="Arial"/>
            <w:sz w:val="16"/>
            <w:szCs w:val="16"/>
          </w:rPr>
          <w:t>http://ec.europa.eu/public_opinion/flash/fl_330_en.pdf</w:t>
        </w:r>
      </w:hyperlink>
    </w:p>
    <w:sectPr w:rsidR="00CB49DA" w:rsidRPr="00FC527A" w:rsidSect="001924B7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418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AF" w:rsidRDefault="002431AF" w:rsidP="009A28FB">
      <w:pPr>
        <w:spacing w:after="0" w:line="240" w:lineRule="auto"/>
      </w:pPr>
      <w:r>
        <w:separator/>
      </w:r>
    </w:p>
  </w:endnote>
  <w:endnote w:type="continuationSeparator" w:id="0">
    <w:p w:rsidR="002431AF" w:rsidRDefault="002431A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182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1"/>
      <w:gridCol w:w="1204"/>
      <w:gridCol w:w="2717"/>
    </w:tblGrid>
    <w:tr w:rsidR="007D2159" w:rsidTr="0052393E">
      <w:tc>
        <w:tcPr>
          <w:tcW w:w="1444" w:type="dxa"/>
        </w:tcPr>
        <w:p w:rsidR="007D2159" w:rsidRDefault="00D17289" w:rsidP="007D2159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75648" behindDoc="1" locked="0" layoutInCell="1" allowOverlap="1" wp14:anchorId="2E3D840B" wp14:editId="08FF5964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3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GC/0xfEBAAA0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7D2159" w:rsidRPr="006C0688">
            <w:rPr>
              <w:noProof/>
              <w:lang w:eastAsia="en-GB"/>
            </w:rPr>
            <w:t>www.emcdda.europa.eu/edr2014</w:t>
          </w:r>
        </w:p>
      </w:tc>
      <w:tc>
        <w:tcPr>
          <w:tcW w:w="1444" w:type="dxa"/>
        </w:tcPr>
        <w:p w:rsidR="007D2159" w:rsidRDefault="007D2159" w:rsidP="00D37865">
          <w:pPr>
            <w:pStyle w:val="newsCoordinates"/>
          </w:pPr>
        </w:p>
      </w:tc>
      <w:tc>
        <w:tcPr>
          <w:tcW w:w="3294" w:type="dxa"/>
          <w:vAlign w:val="bottom"/>
        </w:tcPr>
        <w:p w:rsidR="007D2159" w:rsidRDefault="007D2159" w:rsidP="00BF1E3B">
          <w:pPr>
            <w:pStyle w:val="newsReference"/>
            <w:jc w:val="right"/>
          </w:pPr>
        </w:p>
      </w:tc>
    </w:tr>
  </w:tbl>
  <w:p w:rsidR="007D2159" w:rsidRDefault="007D2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7D2159" w:rsidTr="007D2159">
      <w:tc>
        <w:tcPr>
          <w:tcW w:w="7196" w:type="dxa"/>
        </w:tcPr>
        <w:p w:rsidR="00192E2E" w:rsidRDefault="007D2159" w:rsidP="007D2159">
          <w:pPr>
            <w:pStyle w:val="newsCoordinates"/>
          </w:pPr>
          <w:r w:rsidRPr="007F0EAD">
            <w:t xml:space="preserve">Contacto: </w:t>
          </w:r>
          <w:proofErr w:type="spellStart"/>
          <w:r w:rsidRPr="007F0EAD">
            <w:t>Kathy</w:t>
          </w:r>
          <w:proofErr w:type="spellEnd"/>
          <w:r w:rsidRPr="007F0EAD">
            <w:t xml:space="preserve"> </w:t>
          </w:r>
          <w:proofErr w:type="spellStart"/>
          <w:r w:rsidRPr="007F0EAD">
            <w:t>Robertson</w:t>
          </w:r>
          <w:proofErr w:type="spellEnd"/>
          <w:r w:rsidRPr="007F0EAD">
            <w:t xml:space="preserve">, Relações </w:t>
          </w:r>
          <w:r w:rsidRPr="007F0EAD">
            <w:rPr>
              <w:i/>
            </w:rPr>
            <w:t>media</w:t>
          </w:r>
          <w:r w:rsidR="00D17289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 wp14:anchorId="4714F811" wp14:editId="0A7D7A7F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>
            <w:t xml:space="preserve"> </w:t>
          </w:r>
        </w:p>
        <w:p w:rsidR="007D2159" w:rsidRDefault="007D2159" w:rsidP="007D2159">
          <w:pPr>
            <w:pStyle w:val="newsCoordinates"/>
          </w:pPr>
          <w:r w:rsidRPr="007F0EAD">
            <w:t>Praça Europa 1, Cais do Sodré, 1249-289 Lisboa, Portugal</w:t>
          </w:r>
        </w:p>
        <w:p w:rsidR="007D2159" w:rsidRDefault="007D2159" w:rsidP="007F0EAD">
          <w:pPr>
            <w:pStyle w:val="newsCoordinates"/>
          </w:pPr>
          <w:r w:rsidRPr="007F0EAD">
            <w:t>Tel. (351) 211 21 02</w:t>
          </w:r>
          <w:r w:rsidRPr="00944227">
            <w:t xml:space="preserve"> 00</w:t>
          </w:r>
          <w:r>
            <w:t xml:space="preserve">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7D2159" w:rsidRDefault="007D2159" w:rsidP="00000FE8">
          <w:pPr>
            <w:pStyle w:val="newsReference"/>
            <w:jc w:val="right"/>
          </w:pPr>
          <w:r w:rsidRPr="007F0EAD">
            <w:t xml:space="preserve">PT — N.º </w:t>
          </w:r>
          <w:r w:rsidR="00000FE8">
            <w:t>3</w:t>
          </w:r>
          <w:r w:rsidRPr="007F0EAD">
            <w:t>/</w:t>
          </w:r>
          <w:r w:rsidR="00000FE8">
            <w:t>2014</w:t>
          </w:r>
        </w:p>
      </w:tc>
    </w:tr>
  </w:tbl>
  <w:p w:rsidR="007D2159" w:rsidRDefault="007D2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AF" w:rsidRDefault="002431AF" w:rsidP="009A28FB">
      <w:pPr>
        <w:spacing w:after="0" w:line="240" w:lineRule="auto"/>
      </w:pPr>
      <w:r>
        <w:separator/>
      </w:r>
    </w:p>
  </w:footnote>
  <w:footnote w:type="continuationSeparator" w:id="0">
    <w:p w:rsidR="002431AF" w:rsidRDefault="002431AF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000FE8" w:rsidTr="00000FE8">
      <w:tc>
        <w:tcPr>
          <w:tcW w:w="7196" w:type="dxa"/>
        </w:tcPr>
        <w:p w:rsidR="00000FE8" w:rsidRPr="0052393E" w:rsidRDefault="00D17289" w:rsidP="00000FE8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77696" behindDoc="1" locked="0" layoutInCell="1" allowOverlap="1" wp14:anchorId="37D70DE0" wp14:editId="503C23FD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J8t+uroAQAAKg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000FE8" w:rsidRPr="0052393E">
            <w:rPr>
              <w:noProof/>
              <w:lang w:eastAsia="en-GB"/>
            </w:rPr>
            <w:t xml:space="preserve">Relatório Europeu sobre Drogas 2014 </w:t>
          </w:r>
          <w:r w:rsidR="00000FE8" w:rsidRPr="0052393E">
            <w:rPr>
              <w:noProof/>
              <w:sz w:val="18"/>
              <w:lang w:eastAsia="en-GB"/>
            </w:rPr>
            <w:t>I</w:t>
          </w:r>
          <w:r w:rsidR="00000FE8" w:rsidRPr="0052393E">
            <w:rPr>
              <w:noProof/>
              <w:lang w:eastAsia="en-GB"/>
            </w:rPr>
            <w:t xml:space="preserve"> </w:t>
          </w:r>
          <w:r w:rsidR="00C27E4E" w:rsidRPr="00FD030B">
            <w:rPr>
              <w:b/>
              <w:noProof/>
              <w:color w:val="FF0000"/>
              <w:lang w:eastAsia="en-GB"/>
            </w:rPr>
            <w:t>SOB</w:t>
          </w:r>
          <w:r w:rsidR="00022E4A" w:rsidRPr="00FD030B">
            <w:rPr>
              <w:b/>
              <w:noProof/>
              <w:color w:val="auto"/>
              <w:lang w:eastAsia="en-GB"/>
            </w:rPr>
            <w:t xml:space="preserve"> </w:t>
          </w:r>
          <w:r w:rsidR="00000FE8" w:rsidRPr="00AE1151">
            <w:rPr>
              <w:b/>
              <w:noProof/>
              <w:color w:val="FF0000"/>
              <w:lang w:eastAsia="en-GB"/>
            </w:rPr>
            <w:t xml:space="preserve">EMBARGO </w:t>
          </w:r>
          <w:r w:rsidR="00022E4A" w:rsidRPr="00AE1151">
            <w:rPr>
              <w:b/>
              <w:noProof/>
              <w:color w:val="FF0000"/>
              <w:lang w:eastAsia="en-GB"/>
            </w:rPr>
            <w:t xml:space="preserve">até às </w:t>
          </w:r>
          <w:r w:rsidR="00000FE8" w:rsidRPr="00AE1151">
            <w:rPr>
              <w:b/>
              <w:noProof/>
              <w:color w:val="FF0000"/>
              <w:lang w:eastAsia="en-GB"/>
            </w:rPr>
            <w:t xml:space="preserve">10:00 </w:t>
          </w:r>
          <w:r w:rsidR="00022E4A" w:rsidRPr="00AE1151">
            <w:rPr>
              <w:b/>
              <w:noProof/>
              <w:color w:val="FF0000"/>
              <w:lang w:eastAsia="en-GB"/>
            </w:rPr>
            <w:t>UTC</w:t>
          </w:r>
          <w:r w:rsidR="00000FE8" w:rsidRPr="00AE1151">
            <w:rPr>
              <w:b/>
              <w:noProof/>
              <w:color w:val="FF0000"/>
              <w:lang w:eastAsia="en-GB"/>
            </w:rPr>
            <w:t>/</w:t>
          </w:r>
          <w:r w:rsidR="00022E4A" w:rsidRPr="00AE1151">
            <w:rPr>
              <w:b/>
              <w:noProof/>
              <w:color w:val="FF0000"/>
              <w:lang w:eastAsia="en-GB"/>
            </w:rPr>
            <w:t>hora de Lisboa</w:t>
          </w:r>
          <w:r w:rsidR="00000FE8" w:rsidRPr="00AE1151">
            <w:rPr>
              <w:b/>
              <w:noProof/>
              <w:color w:val="FF0000"/>
              <w:lang w:eastAsia="en-GB"/>
            </w:rPr>
            <w:t xml:space="preserve"> </w:t>
          </w:r>
        </w:p>
      </w:tc>
      <w:tc>
        <w:tcPr>
          <w:tcW w:w="3294" w:type="dxa"/>
        </w:tcPr>
        <w:p w:rsidR="00000FE8" w:rsidRPr="00000FE8" w:rsidRDefault="00000FE8" w:rsidP="00000FE8">
          <w:pPr>
            <w:pStyle w:val="newsEmbargo"/>
            <w:jc w:val="right"/>
          </w:pPr>
          <w:r w:rsidRPr="00CC4FDA">
            <w:t>2</w:t>
          </w:r>
          <w:r>
            <w:t>7.5</w:t>
          </w:r>
          <w:r w:rsidRPr="00CC4FDA">
            <w:t>.201</w:t>
          </w:r>
          <w:r>
            <w:t>4</w:t>
          </w:r>
        </w:p>
      </w:tc>
    </w:tr>
  </w:tbl>
  <w:p w:rsidR="007D2159" w:rsidRDefault="007D2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03"/>
    <w:rsid w:val="00000FE8"/>
    <w:rsid w:val="00003024"/>
    <w:rsid w:val="00011F6B"/>
    <w:rsid w:val="00012FDD"/>
    <w:rsid w:val="00013BE2"/>
    <w:rsid w:val="00014E8E"/>
    <w:rsid w:val="000219AF"/>
    <w:rsid w:val="00022E4A"/>
    <w:rsid w:val="00025C96"/>
    <w:rsid w:val="00036DAA"/>
    <w:rsid w:val="00040370"/>
    <w:rsid w:val="00042EDA"/>
    <w:rsid w:val="00050B18"/>
    <w:rsid w:val="00052D5A"/>
    <w:rsid w:val="000535B7"/>
    <w:rsid w:val="00061CBB"/>
    <w:rsid w:val="00065333"/>
    <w:rsid w:val="00067DD3"/>
    <w:rsid w:val="000730F7"/>
    <w:rsid w:val="00075735"/>
    <w:rsid w:val="00092B6E"/>
    <w:rsid w:val="000A224A"/>
    <w:rsid w:val="000B3B6E"/>
    <w:rsid w:val="000C1003"/>
    <w:rsid w:val="000C1120"/>
    <w:rsid w:val="000C2FA1"/>
    <w:rsid w:val="000C4E25"/>
    <w:rsid w:val="000C6200"/>
    <w:rsid w:val="000C7EF7"/>
    <w:rsid w:val="000D25B6"/>
    <w:rsid w:val="000E443E"/>
    <w:rsid w:val="001056D0"/>
    <w:rsid w:val="00105BFC"/>
    <w:rsid w:val="00107C96"/>
    <w:rsid w:val="001170D0"/>
    <w:rsid w:val="00122CAA"/>
    <w:rsid w:val="00141DF2"/>
    <w:rsid w:val="001440AA"/>
    <w:rsid w:val="001448FD"/>
    <w:rsid w:val="0016217F"/>
    <w:rsid w:val="00164EE6"/>
    <w:rsid w:val="00166723"/>
    <w:rsid w:val="00167C55"/>
    <w:rsid w:val="00167EC5"/>
    <w:rsid w:val="0017713E"/>
    <w:rsid w:val="001775C1"/>
    <w:rsid w:val="001800D0"/>
    <w:rsid w:val="001924B7"/>
    <w:rsid w:val="00192E2E"/>
    <w:rsid w:val="001968B1"/>
    <w:rsid w:val="001A3338"/>
    <w:rsid w:val="001A48CB"/>
    <w:rsid w:val="001A5A1F"/>
    <w:rsid w:val="001B467C"/>
    <w:rsid w:val="001C4FEF"/>
    <w:rsid w:val="001C729F"/>
    <w:rsid w:val="001C795A"/>
    <w:rsid w:val="001D5C26"/>
    <w:rsid w:val="001E39A7"/>
    <w:rsid w:val="001F70B4"/>
    <w:rsid w:val="0020614C"/>
    <w:rsid w:val="0022014C"/>
    <w:rsid w:val="00223753"/>
    <w:rsid w:val="00230663"/>
    <w:rsid w:val="00231CF7"/>
    <w:rsid w:val="002431AF"/>
    <w:rsid w:val="00251AD7"/>
    <w:rsid w:val="00251B38"/>
    <w:rsid w:val="00251CB8"/>
    <w:rsid w:val="002551C3"/>
    <w:rsid w:val="002557B0"/>
    <w:rsid w:val="002646E4"/>
    <w:rsid w:val="0026528A"/>
    <w:rsid w:val="0027252D"/>
    <w:rsid w:val="0027396D"/>
    <w:rsid w:val="002802F6"/>
    <w:rsid w:val="0028141E"/>
    <w:rsid w:val="00292A32"/>
    <w:rsid w:val="002948E2"/>
    <w:rsid w:val="00296BE9"/>
    <w:rsid w:val="002A0974"/>
    <w:rsid w:val="002A52CE"/>
    <w:rsid w:val="002A61F7"/>
    <w:rsid w:val="002B05CE"/>
    <w:rsid w:val="002B45AC"/>
    <w:rsid w:val="002B47B0"/>
    <w:rsid w:val="002C0DF8"/>
    <w:rsid w:val="002C2237"/>
    <w:rsid w:val="002C79BB"/>
    <w:rsid w:val="002D69F0"/>
    <w:rsid w:val="002E0664"/>
    <w:rsid w:val="002E4A96"/>
    <w:rsid w:val="002E4AD8"/>
    <w:rsid w:val="00302013"/>
    <w:rsid w:val="0030486D"/>
    <w:rsid w:val="00317B5A"/>
    <w:rsid w:val="00321F96"/>
    <w:rsid w:val="0033158E"/>
    <w:rsid w:val="00333903"/>
    <w:rsid w:val="00350038"/>
    <w:rsid w:val="00351881"/>
    <w:rsid w:val="00351A44"/>
    <w:rsid w:val="003570C8"/>
    <w:rsid w:val="0036121D"/>
    <w:rsid w:val="00365E1C"/>
    <w:rsid w:val="00372F5F"/>
    <w:rsid w:val="00377606"/>
    <w:rsid w:val="00387D02"/>
    <w:rsid w:val="003A2707"/>
    <w:rsid w:val="003B41B1"/>
    <w:rsid w:val="003C0395"/>
    <w:rsid w:val="003D0487"/>
    <w:rsid w:val="003E38EA"/>
    <w:rsid w:val="003F14B3"/>
    <w:rsid w:val="004137B0"/>
    <w:rsid w:val="004221D3"/>
    <w:rsid w:val="004317D9"/>
    <w:rsid w:val="0043320E"/>
    <w:rsid w:val="0044111C"/>
    <w:rsid w:val="0044394B"/>
    <w:rsid w:val="00445080"/>
    <w:rsid w:val="004458B1"/>
    <w:rsid w:val="0045468D"/>
    <w:rsid w:val="0046179A"/>
    <w:rsid w:val="004635A4"/>
    <w:rsid w:val="004646B0"/>
    <w:rsid w:val="00466181"/>
    <w:rsid w:val="00473057"/>
    <w:rsid w:val="00474AC8"/>
    <w:rsid w:val="0047698A"/>
    <w:rsid w:val="00477CD2"/>
    <w:rsid w:val="004847FB"/>
    <w:rsid w:val="00490572"/>
    <w:rsid w:val="004C3028"/>
    <w:rsid w:val="004D583C"/>
    <w:rsid w:val="004D6E0C"/>
    <w:rsid w:val="004F3523"/>
    <w:rsid w:val="005064F4"/>
    <w:rsid w:val="00512C99"/>
    <w:rsid w:val="00515CA2"/>
    <w:rsid w:val="00520EF1"/>
    <w:rsid w:val="00522222"/>
    <w:rsid w:val="0052393E"/>
    <w:rsid w:val="00526AE0"/>
    <w:rsid w:val="00526DFD"/>
    <w:rsid w:val="00537578"/>
    <w:rsid w:val="00541A97"/>
    <w:rsid w:val="00542CEE"/>
    <w:rsid w:val="005433B7"/>
    <w:rsid w:val="00543AB0"/>
    <w:rsid w:val="00543F25"/>
    <w:rsid w:val="00547CA6"/>
    <w:rsid w:val="00561F4F"/>
    <w:rsid w:val="00570A8C"/>
    <w:rsid w:val="005832EB"/>
    <w:rsid w:val="005833CC"/>
    <w:rsid w:val="005A0DC8"/>
    <w:rsid w:val="005A470B"/>
    <w:rsid w:val="005B05A0"/>
    <w:rsid w:val="005B0882"/>
    <w:rsid w:val="005B1B63"/>
    <w:rsid w:val="005C1FEA"/>
    <w:rsid w:val="005C4033"/>
    <w:rsid w:val="005D0F69"/>
    <w:rsid w:val="005E734D"/>
    <w:rsid w:val="005E7E9A"/>
    <w:rsid w:val="005F0673"/>
    <w:rsid w:val="00601EAE"/>
    <w:rsid w:val="0060768B"/>
    <w:rsid w:val="006116D9"/>
    <w:rsid w:val="00620AE5"/>
    <w:rsid w:val="00623A55"/>
    <w:rsid w:val="006240A6"/>
    <w:rsid w:val="006274B0"/>
    <w:rsid w:val="00627A15"/>
    <w:rsid w:val="0063677C"/>
    <w:rsid w:val="0064195C"/>
    <w:rsid w:val="006462DE"/>
    <w:rsid w:val="006568FE"/>
    <w:rsid w:val="00666A63"/>
    <w:rsid w:val="00670BC4"/>
    <w:rsid w:val="00676431"/>
    <w:rsid w:val="0069096E"/>
    <w:rsid w:val="00694716"/>
    <w:rsid w:val="006A2013"/>
    <w:rsid w:val="006A764E"/>
    <w:rsid w:val="006B3882"/>
    <w:rsid w:val="006B5A4D"/>
    <w:rsid w:val="006B7FD3"/>
    <w:rsid w:val="006C70A0"/>
    <w:rsid w:val="007003A8"/>
    <w:rsid w:val="00706D08"/>
    <w:rsid w:val="007260D0"/>
    <w:rsid w:val="00730132"/>
    <w:rsid w:val="00735001"/>
    <w:rsid w:val="00755CA6"/>
    <w:rsid w:val="00766ED4"/>
    <w:rsid w:val="00773814"/>
    <w:rsid w:val="007867CE"/>
    <w:rsid w:val="00791F09"/>
    <w:rsid w:val="007920E3"/>
    <w:rsid w:val="007927D2"/>
    <w:rsid w:val="0079412C"/>
    <w:rsid w:val="007965EB"/>
    <w:rsid w:val="007A3FA6"/>
    <w:rsid w:val="007B0E03"/>
    <w:rsid w:val="007B1CCD"/>
    <w:rsid w:val="007D0ACB"/>
    <w:rsid w:val="007D2159"/>
    <w:rsid w:val="007E17CD"/>
    <w:rsid w:val="007F0EAD"/>
    <w:rsid w:val="007F4408"/>
    <w:rsid w:val="007F7698"/>
    <w:rsid w:val="00800231"/>
    <w:rsid w:val="00801E94"/>
    <w:rsid w:val="00801ED5"/>
    <w:rsid w:val="00805906"/>
    <w:rsid w:val="00813FB5"/>
    <w:rsid w:val="00815562"/>
    <w:rsid w:val="0081623D"/>
    <w:rsid w:val="00820C6A"/>
    <w:rsid w:val="00821BA5"/>
    <w:rsid w:val="00822F1D"/>
    <w:rsid w:val="00824DAE"/>
    <w:rsid w:val="00826CFF"/>
    <w:rsid w:val="00830AC0"/>
    <w:rsid w:val="00837F8F"/>
    <w:rsid w:val="00841E86"/>
    <w:rsid w:val="00842F9A"/>
    <w:rsid w:val="008552F1"/>
    <w:rsid w:val="00860C28"/>
    <w:rsid w:val="00861756"/>
    <w:rsid w:val="00875018"/>
    <w:rsid w:val="00877650"/>
    <w:rsid w:val="008816FA"/>
    <w:rsid w:val="00881730"/>
    <w:rsid w:val="008836A5"/>
    <w:rsid w:val="008837C8"/>
    <w:rsid w:val="00893DF0"/>
    <w:rsid w:val="008A04DE"/>
    <w:rsid w:val="008A539A"/>
    <w:rsid w:val="008A5C96"/>
    <w:rsid w:val="008B6CDF"/>
    <w:rsid w:val="008C1172"/>
    <w:rsid w:val="008C643C"/>
    <w:rsid w:val="008D3C26"/>
    <w:rsid w:val="008D54B3"/>
    <w:rsid w:val="008E06C3"/>
    <w:rsid w:val="008E6D9A"/>
    <w:rsid w:val="008F177B"/>
    <w:rsid w:val="008F2E8A"/>
    <w:rsid w:val="008F399E"/>
    <w:rsid w:val="008F52B6"/>
    <w:rsid w:val="00902300"/>
    <w:rsid w:val="00914BB3"/>
    <w:rsid w:val="0091658B"/>
    <w:rsid w:val="00921747"/>
    <w:rsid w:val="00930F8E"/>
    <w:rsid w:val="00944227"/>
    <w:rsid w:val="00955F0C"/>
    <w:rsid w:val="009650AB"/>
    <w:rsid w:val="00974A27"/>
    <w:rsid w:val="009A28FB"/>
    <w:rsid w:val="009A6C37"/>
    <w:rsid w:val="009C14EB"/>
    <w:rsid w:val="009C700A"/>
    <w:rsid w:val="009D4F26"/>
    <w:rsid w:val="009D59C0"/>
    <w:rsid w:val="009D5C1B"/>
    <w:rsid w:val="009D6255"/>
    <w:rsid w:val="009E25FB"/>
    <w:rsid w:val="009E5B8E"/>
    <w:rsid w:val="009F406A"/>
    <w:rsid w:val="00A03329"/>
    <w:rsid w:val="00A04455"/>
    <w:rsid w:val="00A0788A"/>
    <w:rsid w:val="00A238F2"/>
    <w:rsid w:val="00A27289"/>
    <w:rsid w:val="00A27898"/>
    <w:rsid w:val="00A311EF"/>
    <w:rsid w:val="00A3254D"/>
    <w:rsid w:val="00A332FC"/>
    <w:rsid w:val="00A661E2"/>
    <w:rsid w:val="00A67882"/>
    <w:rsid w:val="00A75A6D"/>
    <w:rsid w:val="00A75AB7"/>
    <w:rsid w:val="00A843D2"/>
    <w:rsid w:val="00A856B7"/>
    <w:rsid w:val="00AD7BFC"/>
    <w:rsid w:val="00AE093C"/>
    <w:rsid w:val="00AE1151"/>
    <w:rsid w:val="00AE1738"/>
    <w:rsid w:val="00AE4581"/>
    <w:rsid w:val="00AF13B3"/>
    <w:rsid w:val="00AF259D"/>
    <w:rsid w:val="00AF6A64"/>
    <w:rsid w:val="00AF703E"/>
    <w:rsid w:val="00B11B73"/>
    <w:rsid w:val="00B12FB7"/>
    <w:rsid w:val="00B25AE0"/>
    <w:rsid w:val="00B272F1"/>
    <w:rsid w:val="00B34D34"/>
    <w:rsid w:val="00B441D9"/>
    <w:rsid w:val="00B51DCE"/>
    <w:rsid w:val="00B51E08"/>
    <w:rsid w:val="00B54953"/>
    <w:rsid w:val="00B56840"/>
    <w:rsid w:val="00B57464"/>
    <w:rsid w:val="00B61036"/>
    <w:rsid w:val="00B70BB7"/>
    <w:rsid w:val="00B72DD3"/>
    <w:rsid w:val="00B72F07"/>
    <w:rsid w:val="00B7335C"/>
    <w:rsid w:val="00B768F5"/>
    <w:rsid w:val="00B775EA"/>
    <w:rsid w:val="00B912E6"/>
    <w:rsid w:val="00B91677"/>
    <w:rsid w:val="00B92E10"/>
    <w:rsid w:val="00B95569"/>
    <w:rsid w:val="00B97BC5"/>
    <w:rsid w:val="00B97EC6"/>
    <w:rsid w:val="00BB029E"/>
    <w:rsid w:val="00BB60CF"/>
    <w:rsid w:val="00BF1E3B"/>
    <w:rsid w:val="00BF283D"/>
    <w:rsid w:val="00C2551F"/>
    <w:rsid w:val="00C27E4E"/>
    <w:rsid w:val="00C36BC1"/>
    <w:rsid w:val="00C4220B"/>
    <w:rsid w:val="00C426F8"/>
    <w:rsid w:val="00C50475"/>
    <w:rsid w:val="00C562DE"/>
    <w:rsid w:val="00C628C4"/>
    <w:rsid w:val="00C63254"/>
    <w:rsid w:val="00C874C0"/>
    <w:rsid w:val="00C95271"/>
    <w:rsid w:val="00CA2FF5"/>
    <w:rsid w:val="00CB49DA"/>
    <w:rsid w:val="00CC4FDA"/>
    <w:rsid w:val="00CC6A8B"/>
    <w:rsid w:val="00CE420E"/>
    <w:rsid w:val="00CF1D2A"/>
    <w:rsid w:val="00D01335"/>
    <w:rsid w:val="00D03EC6"/>
    <w:rsid w:val="00D054B3"/>
    <w:rsid w:val="00D059A9"/>
    <w:rsid w:val="00D17289"/>
    <w:rsid w:val="00D23E01"/>
    <w:rsid w:val="00D30212"/>
    <w:rsid w:val="00D3312B"/>
    <w:rsid w:val="00D37865"/>
    <w:rsid w:val="00D52AC2"/>
    <w:rsid w:val="00D57367"/>
    <w:rsid w:val="00D73EB3"/>
    <w:rsid w:val="00D84AE3"/>
    <w:rsid w:val="00D92A34"/>
    <w:rsid w:val="00DA4E43"/>
    <w:rsid w:val="00DA6421"/>
    <w:rsid w:val="00DB64D4"/>
    <w:rsid w:val="00DB73C0"/>
    <w:rsid w:val="00DC485E"/>
    <w:rsid w:val="00DC598C"/>
    <w:rsid w:val="00DC667A"/>
    <w:rsid w:val="00DD6E77"/>
    <w:rsid w:val="00DF39B6"/>
    <w:rsid w:val="00E05318"/>
    <w:rsid w:val="00E15E3B"/>
    <w:rsid w:val="00E17C9C"/>
    <w:rsid w:val="00E21156"/>
    <w:rsid w:val="00E233F5"/>
    <w:rsid w:val="00E335B9"/>
    <w:rsid w:val="00E37C09"/>
    <w:rsid w:val="00E413ED"/>
    <w:rsid w:val="00E54105"/>
    <w:rsid w:val="00E572D2"/>
    <w:rsid w:val="00E57C9D"/>
    <w:rsid w:val="00E66CCD"/>
    <w:rsid w:val="00E72A84"/>
    <w:rsid w:val="00E75B1A"/>
    <w:rsid w:val="00E75C20"/>
    <w:rsid w:val="00E76AD8"/>
    <w:rsid w:val="00E81F3D"/>
    <w:rsid w:val="00E83FC3"/>
    <w:rsid w:val="00E84EB5"/>
    <w:rsid w:val="00EA1A07"/>
    <w:rsid w:val="00EB21CF"/>
    <w:rsid w:val="00EB291D"/>
    <w:rsid w:val="00EB2C19"/>
    <w:rsid w:val="00EC1247"/>
    <w:rsid w:val="00EC1A1C"/>
    <w:rsid w:val="00ED6A34"/>
    <w:rsid w:val="00EE23CC"/>
    <w:rsid w:val="00EE630A"/>
    <w:rsid w:val="00EF317A"/>
    <w:rsid w:val="00F06CDE"/>
    <w:rsid w:val="00F11F41"/>
    <w:rsid w:val="00F13493"/>
    <w:rsid w:val="00F167D6"/>
    <w:rsid w:val="00F171D4"/>
    <w:rsid w:val="00F21CA9"/>
    <w:rsid w:val="00F24096"/>
    <w:rsid w:val="00F249CD"/>
    <w:rsid w:val="00F37DF4"/>
    <w:rsid w:val="00F414EF"/>
    <w:rsid w:val="00F45C47"/>
    <w:rsid w:val="00F47542"/>
    <w:rsid w:val="00F575B5"/>
    <w:rsid w:val="00F634FB"/>
    <w:rsid w:val="00F66B87"/>
    <w:rsid w:val="00F74067"/>
    <w:rsid w:val="00F777DA"/>
    <w:rsid w:val="00F943F7"/>
    <w:rsid w:val="00FA3E5B"/>
    <w:rsid w:val="00FA5298"/>
    <w:rsid w:val="00FA6A0A"/>
    <w:rsid w:val="00FB351B"/>
    <w:rsid w:val="00FC0187"/>
    <w:rsid w:val="00FC44B8"/>
    <w:rsid w:val="00FC527A"/>
    <w:rsid w:val="00FD030B"/>
    <w:rsid w:val="00FD1DB2"/>
    <w:rsid w:val="00FE1154"/>
    <w:rsid w:val="00FE3721"/>
    <w:rsid w:val="00FE474E"/>
    <w:rsid w:val="00FE4789"/>
    <w:rsid w:val="00FF1720"/>
    <w:rsid w:val="00FF1CA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B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92E2E"/>
    <w:pPr>
      <w:tabs>
        <w:tab w:val="left" w:pos="5205"/>
      </w:tabs>
      <w:spacing w:before="480" w:after="112" w:line="22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styleId="Revision">
    <w:name w:val="Revision"/>
    <w:hidden/>
    <w:uiPriority w:val="99"/>
    <w:semiHidden/>
    <w:rsid w:val="00D17289"/>
    <w:pPr>
      <w:spacing w:after="0" w:line="240" w:lineRule="auto"/>
    </w:pPr>
    <w:rPr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953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53"/>
    <w:rPr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B9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192E2E"/>
    <w:pPr>
      <w:tabs>
        <w:tab w:val="left" w:pos="5205"/>
      </w:tabs>
      <w:spacing w:before="480" w:after="112" w:line="22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7F0EAD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7F0EAD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7F0EA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7F0EA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7F0EA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7F0EAD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7F0EAD"/>
    <w:rPr>
      <w:rFonts w:ascii="Arial" w:hAnsi="Arial"/>
      <w:color w:val="000000" w:themeColor="text1"/>
      <w:sz w:val="20"/>
      <w:lang w:val="pt-PT"/>
    </w:rPr>
  </w:style>
  <w:style w:type="character" w:customStyle="1" w:styleId="newsNotesChar">
    <w:name w:val="newsNotes Char"/>
    <w:basedOn w:val="newsContentChar"/>
    <w:link w:val="newsNotes"/>
    <w:rsid w:val="007F0EAD"/>
    <w:rPr>
      <w:rFonts w:ascii="Arial" w:hAnsi="Arial"/>
      <w:color w:val="000000" w:themeColor="text1"/>
      <w:sz w:val="17"/>
      <w:lang w:val="pt-PT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t-PT"/>
    </w:rPr>
  </w:style>
  <w:style w:type="paragraph" w:styleId="Revision">
    <w:name w:val="Revision"/>
    <w:hidden/>
    <w:uiPriority w:val="99"/>
    <w:semiHidden/>
    <w:rsid w:val="00D17289"/>
    <w:pPr>
      <w:spacing w:after="0" w:line="240" w:lineRule="auto"/>
    </w:pPr>
    <w:rPr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953"/>
    <w:rPr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53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cdda.europa.eu/publications/emcdda-papers/exploring-methamphetamine-trends-in-Europ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osurveillance.org/ViewArticle.aspx?ArticleId=2064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c.europa.eu/public_opinion/flash/fl_330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cdda.europa.eu/publications/implementation-reports/2013" TargetMode="External"/><Relationship Id="rId10" Type="http://schemas.openxmlformats.org/officeDocument/2006/relationships/hyperlink" Target="http://www.emcdda.europa.eu/edr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cdda.europa.eu/news/2014/europol-emcdda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27;o\Desktop\Abril2014\EMCDDA201400050000%20(EN-PT)%209p%20PRAZO%20%2027%20ABRIL%2018H00\news-release-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D0A9-8E0A-4590-9777-BEA81D2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news-release-PT</Template>
  <TotalTime>111</TotalTime>
  <Pages>5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News release PT</vt:lpstr>
      <vt:lpstr>News release PT</vt:lpstr>
    </vt:vector>
  </TitlesOfParts>
  <Manager>EMCDDA</Manager>
  <Company>Translation Centre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PT</dc:title>
  <dc:subject>News release PT</dc:subject>
  <dc:creator>Translation Centre</dc:creator>
  <cp:lastModifiedBy>Kathryn Robertson</cp:lastModifiedBy>
  <cp:revision>10</cp:revision>
  <cp:lastPrinted>2014-05-19T11:55:00Z</cp:lastPrinted>
  <dcterms:created xsi:type="dcterms:W3CDTF">2014-05-19T08:58:00Z</dcterms:created>
  <dcterms:modified xsi:type="dcterms:W3CDTF">2014-05-19T12:48:00Z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PT</vt:lpwstr>
  </property>
</Properties>
</file>