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2F57E1" w:rsidTr="001F70B4">
        <w:trPr>
          <w:trHeight w:val="1695"/>
        </w:trPr>
        <w:tc>
          <w:tcPr>
            <w:tcW w:w="2331" w:type="pct"/>
          </w:tcPr>
          <w:p w:rsidR="00EE23CC" w:rsidRPr="002F57E1" w:rsidRDefault="007A3F2A" w:rsidP="00EE23CC">
            <w:pPr>
              <w:rPr>
                <w:lang w:val="fr-FR"/>
              </w:rPr>
            </w:pPr>
            <w:r w:rsidRPr="002F57E1">
              <w:rPr>
                <w:noProof/>
                <w:lang w:eastAsia="en-GB"/>
              </w:rPr>
              <w:drawing>
                <wp:inline distT="0" distB="0" distL="0" distR="0">
                  <wp:extent cx="2559009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0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2F57E1" w:rsidRDefault="00EE23CC" w:rsidP="00EE23CC">
            <w:pPr>
              <w:rPr>
                <w:lang w:val="fr-FR"/>
              </w:rPr>
            </w:pP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2F57E1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2F57E1" w:rsidRDefault="007A3F2A" w:rsidP="001F70B4">
            <w:pPr>
              <w:rPr>
                <w:lang w:val="fr-FR"/>
              </w:rPr>
            </w:pPr>
            <w:r w:rsidRPr="002F57E1">
              <w:rPr>
                <w:noProof/>
                <w:lang w:eastAsia="en-GB"/>
              </w:rPr>
              <w:drawing>
                <wp:inline distT="0" distB="0" distL="0" distR="0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034840" w:rsidRDefault="00640354" w:rsidP="00034840">
      <w:pPr>
        <w:pStyle w:val="newsTitle"/>
        <w:rPr>
          <w:b/>
        </w:rPr>
      </w:pPr>
      <w:r w:rsidRPr="00034840">
        <w:t>Les dro</w:t>
      </w:r>
      <w:r w:rsidR="00AD10C0" w:rsidRPr="00034840">
        <w:t xml:space="preserve">gues </w:t>
      </w:r>
      <w:r w:rsidR="00157767" w:rsidRPr="00034840">
        <w:t>DANS</w:t>
      </w:r>
      <w:r w:rsidR="00874A35" w:rsidRPr="00034840">
        <w:t xml:space="preserve"> </w:t>
      </w:r>
      <w:r w:rsidR="007A3F2A" w:rsidRPr="00034840">
        <w:t>UN</w:t>
      </w:r>
      <w:r w:rsidR="00AD10C0" w:rsidRPr="00034840">
        <w:t xml:space="preserve"> </w:t>
      </w:r>
      <w:r w:rsidR="00830E09" w:rsidRPr="00034840">
        <w:t xml:space="preserve">marchÉ europÉen </w:t>
      </w:r>
      <w:r w:rsidR="00AD10C0" w:rsidRPr="00034840">
        <w:t xml:space="preserve">en </w:t>
      </w:r>
      <w:r w:rsidR="005E0D41" w:rsidRPr="00034840">
        <w:t xml:space="preserve">MUTATION </w:t>
      </w:r>
      <w:r w:rsidR="00307E11" w:rsidRPr="00034840">
        <w:t xml:space="preserve">— </w:t>
      </w:r>
      <w:r w:rsidRPr="00034840">
        <w:t>Analys</w:t>
      </w:r>
      <w:r w:rsidR="00307E11" w:rsidRPr="00034840">
        <w:t>e</w:t>
      </w:r>
      <w:r w:rsidR="00874A35" w:rsidRPr="00034840">
        <w:t xml:space="preserve"> </w:t>
      </w:r>
      <w:r w:rsidR="007A3F2A" w:rsidRPr="00034840">
        <w:t>EMCDDA</w:t>
      </w:r>
      <w:r w:rsidR="005E0D41" w:rsidRPr="00034840">
        <w:t> </w:t>
      </w:r>
      <w:r w:rsidR="00307E11" w:rsidRPr="00034840">
        <w:t>2014</w:t>
      </w:r>
    </w:p>
    <w:p w:rsidR="00A16B77" w:rsidRPr="002F57E1" w:rsidRDefault="00957153" w:rsidP="00307E11">
      <w:pPr>
        <w:pStyle w:val="newsSubTitle"/>
        <w:rPr>
          <w:lang w:val="fr-FR"/>
        </w:rPr>
      </w:pPr>
      <w:r w:rsidRPr="002F57E1">
        <w:rPr>
          <w:lang w:val="fr-FR"/>
        </w:rPr>
        <w:t>Le R</w:t>
      </w:r>
      <w:r w:rsidR="009B395C" w:rsidRPr="002F57E1">
        <w:rPr>
          <w:lang w:val="fr-FR"/>
        </w:rPr>
        <w:t xml:space="preserve">apport européen sur les drogues </w:t>
      </w:r>
      <w:r w:rsidR="005E0D41" w:rsidRPr="002F57E1">
        <w:rPr>
          <w:lang w:val="fr-FR"/>
        </w:rPr>
        <w:t>est publié aujourd’hui</w:t>
      </w:r>
      <w:r w:rsidR="00307E11" w:rsidRPr="002F57E1">
        <w:rPr>
          <w:lang w:val="fr-FR"/>
        </w:rPr>
        <w:t xml:space="preserve"> —</w:t>
      </w:r>
      <w:r w:rsidR="00830E09">
        <w:rPr>
          <w:lang w:val="fr-FR"/>
        </w:rPr>
        <w:t xml:space="preserve"> </w:t>
      </w:r>
      <w:r w:rsidR="00666892" w:rsidRPr="002F57E1">
        <w:rPr>
          <w:lang w:val="fr-FR"/>
        </w:rPr>
        <w:t>le</w:t>
      </w:r>
      <w:r w:rsidR="00874A35">
        <w:rPr>
          <w:lang w:val="fr-FR"/>
        </w:rPr>
        <w:t xml:space="preserve"> </w:t>
      </w:r>
      <w:r w:rsidR="00666892" w:rsidRPr="002F57E1">
        <w:rPr>
          <w:lang w:val="fr-FR"/>
        </w:rPr>
        <w:t>problème</w:t>
      </w:r>
      <w:r w:rsidR="00874A35">
        <w:rPr>
          <w:lang w:val="fr-FR"/>
        </w:rPr>
        <w:t xml:space="preserve"> </w:t>
      </w:r>
      <w:r w:rsidR="00666892" w:rsidRPr="002F57E1">
        <w:rPr>
          <w:lang w:val="fr-FR"/>
        </w:rPr>
        <w:t xml:space="preserve">de la drogue </w:t>
      </w:r>
      <w:r w:rsidR="005E0D41" w:rsidRPr="002F57E1">
        <w:rPr>
          <w:lang w:val="fr-FR"/>
        </w:rPr>
        <w:t xml:space="preserve">en Europe </w:t>
      </w:r>
      <w:r w:rsidR="000154A6" w:rsidRPr="002F57E1">
        <w:rPr>
          <w:lang w:val="fr-FR"/>
        </w:rPr>
        <w:t>devient</w:t>
      </w:r>
      <w:r w:rsidR="00666892" w:rsidRPr="002F57E1">
        <w:rPr>
          <w:lang w:val="fr-FR"/>
        </w:rPr>
        <w:t xml:space="preserve"> «</w:t>
      </w:r>
      <w:r w:rsidR="00D04044">
        <w:rPr>
          <w:lang w:val="fr-FR"/>
        </w:rPr>
        <w:t xml:space="preserve"> </w:t>
      </w:r>
      <w:r w:rsidR="00157767" w:rsidRPr="002F57E1">
        <w:rPr>
          <w:lang w:val="fr-FR"/>
        </w:rPr>
        <w:t>de plus en plus complexe</w:t>
      </w:r>
      <w:r w:rsidR="00D04044">
        <w:rPr>
          <w:lang w:val="fr-FR"/>
        </w:rPr>
        <w:t xml:space="preserve"> </w:t>
      </w:r>
      <w:r w:rsidR="00666892" w:rsidRPr="002F57E1">
        <w:rPr>
          <w:lang w:val="fr-FR"/>
        </w:rPr>
        <w:t>»</w:t>
      </w:r>
    </w:p>
    <w:p w:rsidR="00A16B77" w:rsidRPr="002F57E1" w:rsidRDefault="00ED3294" w:rsidP="003C2E9B">
      <w:pPr>
        <w:pStyle w:val="newsContent"/>
        <w:rPr>
          <w:lang w:val="fr-FR"/>
        </w:rPr>
      </w:pPr>
      <w:r w:rsidRPr="002F57E1">
        <w:rPr>
          <w:lang w:val="fr-FR"/>
        </w:rPr>
        <w:t>(27.5.</w:t>
      </w:r>
      <w:r w:rsidR="00307E11" w:rsidRPr="002F57E1">
        <w:rPr>
          <w:lang w:val="fr-FR"/>
        </w:rPr>
        <w:t>2014, LISBON</w:t>
      </w:r>
      <w:r w:rsidRPr="002F57E1">
        <w:rPr>
          <w:lang w:val="fr-FR"/>
        </w:rPr>
        <w:t>NE</w:t>
      </w:r>
      <w:r w:rsidR="00EF334C">
        <w:rPr>
          <w:lang w:val="fr-FR"/>
        </w:rPr>
        <w:t xml:space="preserve"> </w:t>
      </w:r>
      <w:r w:rsidRPr="00034840">
        <w:rPr>
          <w:b/>
          <w:color w:val="FF0000"/>
          <w:lang w:val="fr-FR"/>
        </w:rPr>
        <w:t>EMBARGO 10h</w:t>
      </w:r>
      <w:r w:rsidR="00AD10C0" w:rsidRPr="00034840">
        <w:rPr>
          <w:b/>
          <w:color w:val="FF0000"/>
          <w:lang w:val="fr-FR"/>
        </w:rPr>
        <w:t>00 U</w:t>
      </w:r>
      <w:r w:rsidR="00307E11" w:rsidRPr="00034840">
        <w:rPr>
          <w:b/>
          <w:color w:val="FF0000"/>
          <w:lang w:val="fr-FR"/>
        </w:rPr>
        <w:t>T</w:t>
      </w:r>
      <w:r w:rsidR="00AD10C0" w:rsidRPr="00034840">
        <w:rPr>
          <w:b/>
          <w:color w:val="FF0000"/>
          <w:lang w:val="fr-FR"/>
        </w:rPr>
        <w:t>C</w:t>
      </w:r>
      <w:r w:rsidR="00307E11" w:rsidRPr="00034840">
        <w:rPr>
          <w:b/>
          <w:color w:val="FF0000"/>
          <w:lang w:val="fr-FR"/>
        </w:rPr>
        <w:t>/</w:t>
      </w:r>
      <w:r w:rsidR="00AD10C0" w:rsidRPr="00034840">
        <w:rPr>
          <w:b/>
          <w:color w:val="FF0000"/>
          <w:lang w:val="fr-FR"/>
        </w:rPr>
        <w:t xml:space="preserve">heure de </w:t>
      </w:r>
      <w:r w:rsidR="00307E11" w:rsidRPr="00034840">
        <w:rPr>
          <w:b/>
          <w:color w:val="FF0000"/>
          <w:lang w:val="fr-FR"/>
        </w:rPr>
        <w:t>Lisbon</w:t>
      </w:r>
      <w:r w:rsidR="00AD10C0" w:rsidRPr="00034840">
        <w:rPr>
          <w:b/>
          <w:color w:val="FF0000"/>
          <w:lang w:val="fr-FR"/>
        </w:rPr>
        <w:t>n</w:t>
      </w:r>
      <w:r w:rsidR="00307E11" w:rsidRPr="00034840">
        <w:rPr>
          <w:b/>
          <w:color w:val="FF0000"/>
          <w:lang w:val="fr-FR"/>
        </w:rPr>
        <w:t>e</w:t>
      </w:r>
      <w:r w:rsidR="00307E11" w:rsidRPr="002F57E1">
        <w:rPr>
          <w:lang w:val="fr-FR"/>
        </w:rPr>
        <w:t xml:space="preserve">) </w:t>
      </w:r>
      <w:r w:rsidR="00EE390A" w:rsidRPr="002F57E1">
        <w:rPr>
          <w:lang w:val="fr-FR"/>
        </w:rPr>
        <w:t>Le problème de l</w:t>
      </w:r>
      <w:r w:rsidR="00B97859" w:rsidRPr="002F57E1">
        <w:rPr>
          <w:lang w:val="fr-FR"/>
        </w:rPr>
        <w:t xml:space="preserve">a drogue </w:t>
      </w:r>
      <w:r w:rsidR="005E0D41" w:rsidRPr="002F57E1">
        <w:rPr>
          <w:lang w:val="fr-FR"/>
        </w:rPr>
        <w:t>en Europe devient de plus en plus complexe</w:t>
      </w:r>
      <w:r w:rsidR="00EF334C">
        <w:rPr>
          <w:lang w:val="fr-FR"/>
        </w:rPr>
        <w:t xml:space="preserve"> </w:t>
      </w:r>
      <w:r w:rsidR="004B2B86" w:rsidRPr="002F57E1">
        <w:rPr>
          <w:lang w:val="fr-FR"/>
        </w:rPr>
        <w:t>en raison</w:t>
      </w:r>
      <w:r w:rsidR="00B97859" w:rsidRPr="002F57E1">
        <w:rPr>
          <w:lang w:val="fr-FR"/>
        </w:rPr>
        <w:t xml:space="preserve"> d</w:t>
      </w:r>
      <w:r w:rsidR="00EE390A" w:rsidRPr="002F57E1">
        <w:rPr>
          <w:lang w:val="fr-FR"/>
        </w:rPr>
        <w:t>e nouveaux défis</w:t>
      </w:r>
      <w:r w:rsidR="005E0D41" w:rsidRPr="002F57E1">
        <w:rPr>
          <w:lang w:val="fr-FR"/>
        </w:rPr>
        <w:t xml:space="preserve"> suscit</w:t>
      </w:r>
      <w:r w:rsidR="009146A3">
        <w:rPr>
          <w:lang w:val="fr-FR"/>
        </w:rPr>
        <w:t>a</w:t>
      </w:r>
      <w:r w:rsidR="005E0D41" w:rsidRPr="002F57E1">
        <w:rPr>
          <w:lang w:val="fr-FR"/>
        </w:rPr>
        <w:t xml:space="preserve">nt </w:t>
      </w:r>
      <w:r w:rsidR="00EE390A" w:rsidRPr="002F57E1">
        <w:rPr>
          <w:lang w:val="fr-FR"/>
        </w:rPr>
        <w:t xml:space="preserve">des inquiétudes en </w:t>
      </w:r>
      <w:r w:rsidR="003623D8" w:rsidRPr="002F57E1">
        <w:rPr>
          <w:lang w:val="fr-FR"/>
        </w:rPr>
        <w:t>matière</w:t>
      </w:r>
      <w:r w:rsidR="00EE390A" w:rsidRPr="002F57E1">
        <w:rPr>
          <w:lang w:val="fr-FR"/>
        </w:rPr>
        <w:t xml:space="preserve"> de santé publique</w:t>
      </w:r>
      <w:r w:rsidR="00F97AC0">
        <w:rPr>
          <w:lang w:val="fr-FR"/>
        </w:rPr>
        <w:t>. T</w:t>
      </w:r>
      <w:r w:rsidR="00DF4736" w:rsidRPr="002F57E1">
        <w:rPr>
          <w:lang w:val="fr-FR"/>
        </w:rPr>
        <w:t xml:space="preserve">elles sont les conclusions du </w:t>
      </w:r>
      <w:r w:rsidR="00957153" w:rsidRPr="002F57E1">
        <w:rPr>
          <w:b/>
          <w:i/>
          <w:lang w:val="fr-FR"/>
        </w:rPr>
        <w:t>R</w:t>
      </w:r>
      <w:r w:rsidR="00B97859" w:rsidRPr="002F57E1">
        <w:rPr>
          <w:b/>
          <w:i/>
          <w:lang w:val="fr-FR"/>
        </w:rPr>
        <w:t>ap</w:t>
      </w:r>
      <w:r w:rsidR="00307E11" w:rsidRPr="002F57E1">
        <w:rPr>
          <w:b/>
          <w:i/>
          <w:lang w:val="fr-FR"/>
        </w:rPr>
        <w:t>port</w:t>
      </w:r>
      <w:r w:rsidR="00B97859" w:rsidRPr="002F57E1">
        <w:rPr>
          <w:b/>
          <w:i/>
          <w:lang w:val="fr-FR"/>
        </w:rPr>
        <w:t xml:space="preserve"> européen sur les drogues</w:t>
      </w:r>
      <w:r w:rsidR="00157767" w:rsidRPr="002F57E1">
        <w:rPr>
          <w:b/>
          <w:i/>
          <w:lang w:val="fr-FR"/>
        </w:rPr>
        <w:t xml:space="preserve"> 2014</w:t>
      </w:r>
      <w:r w:rsidR="00EF334C">
        <w:rPr>
          <w:b/>
          <w:i/>
          <w:lang w:val="fr-FR"/>
        </w:rPr>
        <w:t xml:space="preserve"> </w:t>
      </w:r>
      <w:r w:rsidR="000E5D5A" w:rsidRPr="002F57E1">
        <w:rPr>
          <w:b/>
          <w:i/>
          <w:lang w:val="fr-FR"/>
        </w:rPr>
        <w:t>:</w:t>
      </w:r>
      <w:r w:rsidR="00EF334C">
        <w:rPr>
          <w:b/>
          <w:i/>
          <w:lang w:val="fr-FR"/>
        </w:rPr>
        <w:t xml:space="preserve"> </w:t>
      </w:r>
      <w:r w:rsidR="00B97859" w:rsidRPr="002F57E1">
        <w:rPr>
          <w:b/>
          <w:i/>
          <w:lang w:val="fr-FR"/>
        </w:rPr>
        <w:t>t</w:t>
      </w:r>
      <w:r w:rsidR="00307E11" w:rsidRPr="002F57E1">
        <w:rPr>
          <w:b/>
          <w:i/>
          <w:lang w:val="fr-FR"/>
        </w:rPr>
        <w:t>end</w:t>
      </w:r>
      <w:r w:rsidR="00B97859" w:rsidRPr="002F57E1">
        <w:rPr>
          <w:b/>
          <w:i/>
          <w:lang w:val="fr-FR"/>
        </w:rPr>
        <w:t>ance</w:t>
      </w:r>
      <w:r w:rsidR="00307E11" w:rsidRPr="002F57E1">
        <w:rPr>
          <w:b/>
          <w:i/>
          <w:lang w:val="fr-FR"/>
        </w:rPr>
        <w:t xml:space="preserve">s </w:t>
      </w:r>
      <w:r w:rsidR="00B97859" w:rsidRPr="002F57E1">
        <w:rPr>
          <w:b/>
          <w:i/>
          <w:lang w:val="fr-FR"/>
        </w:rPr>
        <w:t>et évo</w:t>
      </w:r>
      <w:r w:rsidR="00307E11" w:rsidRPr="002F57E1">
        <w:rPr>
          <w:b/>
          <w:i/>
          <w:lang w:val="fr-FR"/>
        </w:rPr>
        <w:t>l</w:t>
      </w:r>
      <w:r w:rsidR="00B97859" w:rsidRPr="002F57E1">
        <w:rPr>
          <w:b/>
          <w:i/>
          <w:lang w:val="fr-FR"/>
        </w:rPr>
        <w:t>uti</w:t>
      </w:r>
      <w:r w:rsidR="00307E11" w:rsidRPr="002F57E1">
        <w:rPr>
          <w:b/>
          <w:i/>
          <w:lang w:val="fr-FR"/>
        </w:rPr>
        <w:t>o</w:t>
      </w:r>
      <w:r w:rsidR="00B97859" w:rsidRPr="002F57E1">
        <w:rPr>
          <w:b/>
          <w:i/>
          <w:lang w:val="fr-FR"/>
        </w:rPr>
        <w:t>n</w:t>
      </w:r>
      <w:r w:rsidR="00307E11" w:rsidRPr="002F57E1">
        <w:rPr>
          <w:b/>
          <w:i/>
          <w:lang w:val="fr-FR"/>
        </w:rPr>
        <w:t>s</w:t>
      </w:r>
      <w:r w:rsidR="00EF334C">
        <w:rPr>
          <w:b/>
          <w:i/>
          <w:lang w:val="fr-FR"/>
        </w:rPr>
        <w:t xml:space="preserve"> </w:t>
      </w:r>
      <w:r w:rsidR="00B97859" w:rsidRPr="002F57E1">
        <w:rPr>
          <w:lang w:val="fr-FR"/>
        </w:rPr>
        <w:t>publié aujourd’hui par l’</w:t>
      </w:r>
      <w:r w:rsidR="003623D8" w:rsidRPr="002F57E1">
        <w:rPr>
          <w:b/>
          <w:lang w:val="fr-FR"/>
        </w:rPr>
        <w:t>a</w:t>
      </w:r>
      <w:r w:rsidR="00B97859" w:rsidRPr="002F57E1">
        <w:rPr>
          <w:b/>
          <w:lang w:val="fr-FR"/>
        </w:rPr>
        <w:t>gence sur les drogues</w:t>
      </w:r>
      <w:r w:rsidR="00EB52FD">
        <w:rPr>
          <w:b/>
          <w:lang w:val="fr-FR"/>
        </w:rPr>
        <w:t xml:space="preserve"> </w:t>
      </w:r>
      <w:r w:rsidR="003623D8" w:rsidRPr="002F57E1">
        <w:rPr>
          <w:b/>
          <w:lang w:val="fr-FR"/>
        </w:rPr>
        <w:t xml:space="preserve">de l’UE </w:t>
      </w:r>
      <w:r w:rsidR="00307E11" w:rsidRPr="002F57E1">
        <w:rPr>
          <w:b/>
          <w:lang w:val="fr-FR"/>
        </w:rPr>
        <w:t>(</w:t>
      </w:r>
      <w:r w:rsidR="00B97859" w:rsidRPr="002F57E1">
        <w:rPr>
          <w:b/>
          <w:lang w:val="fr-FR"/>
        </w:rPr>
        <w:t>E</w:t>
      </w:r>
      <w:r w:rsidR="0034411D" w:rsidRPr="002F57E1">
        <w:rPr>
          <w:b/>
          <w:lang w:val="fr-FR"/>
        </w:rPr>
        <w:t>MCDDA</w:t>
      </w:r>
      <w:r w:rsidR="00307E11" w:rsidRPr="002F57E1">
        <w:rPr>
          <w:b/>
          <w:lang w:val="fr-FR"/>
        </w:rPr>
        <w:t xml:space="preserve">) </w:t>
      </w:r>
      <w:r w:rsidR="00B97859" w:rsidRPr="002F57E1">
        <w:rPr>
          <w:lang w:val="fr-FR"/>
        </w:rPr>
        <w:t>à</w:t>
      </w:r>
      <w:r w:rsidR="00307E11" w:rsidRPr="002F57E1">
        <w:rPr>
          <w:lang w:val="fr-FR"/>
        </w:rPr>
        <w:t xml:space="preserve"> Lisbon</w:t>
      </w:r>
      <w:r w:rsidR="00B97859" w:rsidRPr="002F57E1">
        <w:rPr>
          <w:lang w:val="fr-FR"/>
        </w:rPr>
        <w:t>ne</w:t>
      </w:r>
      <w:r w:rsidR="00307E11" w:rsidRPr="002F57E1">
        <w:rPr>
          <w:lang w:val="fr-FR"/>
        </w:rPr>
        <w:t xml:space="preserve"> (</w:t>
      </w:r>
      <w:r w:rsidR="00307E11" w:rsidRPr="002F57E1">
        <w:rPr>
          <w:vertAlign w:val="superscript"/>
          <w:lang w:val="fr-FR"/>
        </w:rPr>
        <w:t>1</w:t>
      </w:r>
      <w:r w:rsidR="004D76D1" w:rsidRPr="002F57E1">
        <w:rPr>
          <w:lang w:val="fr-FR"/>
        </w:rPr>
        <w:t>). Da</w:t>
      </w:r>
      <w:r w:rsidR="00307E11" w:rsidRPr="002F57E1">
        <w:rPr>
          <w:lang w:val="fr-FR"/>
        </w:rPr>
        <w:t>n</w:t>
      </w:r>
      <w:r w:rsidR="004D76D1" w:rsidRPr="002F57E1">
        <w:rPr>
          <w:lang w:val="fr-FR"/>
        </w:rPr>
        <w:t>s</w:t>
      </w:r>
      <w:r w:rsidR="00EF334C">
        <w:rPr>
          <w:lang w:val="fr-FR"/>
        </w:rPr>
        <w:t xml:space="preserve"> </w:t>
      </w:r>
      <w:r w:rsidR="004D76D1" w:rsidRPr="002F57E1">
        <w:rPr>
          <w:lang w:val="fr-FR"/>
        </w:rPr>
        <w:t xml:space="preserve">son rapport annuel </w:t>
      </w:r>
      <w:r w:rsidR="009D6DC5" w:rsidRPr="002F57E1">
        <w:rPr>
          <w:lang w:val="fr-FR"/>
        </w:rPr>
        <w:t>consacré au</w:t>
      </w:r>
      <w:r w:rsidR="004D76D1" w:rsidRPr="002F57E1">
        <w:rPr>
          <w:lang w:val="fr-FR"/>
        </w:rPr>
        <w:t xml:space="preserve"> problème de la drogue, l’</w:t>
      </w:r>
      <w:r w:rsidR="00307E11" w:rsidRPr="002F57E1">
        <w:rPr>
          <w:lang w:val="fr-FR"/>
        </w:rPr>
        <w:t>agenc</w:t>
      </w:r>
      <w:r w:rsidR="004D76D1" w:rsidRPr="002F57E1">
        <w:rPr>
          <w:lang w:val="fr-FR"/>
        </w:rPr>
        <w:t xml:space="preserve">e </w:t>
      </w:r>
      <w:r w:rsidR="00733CB7" w:rsidRPr="002F57E1">
        <w:rPr>
          <w:lang w:val="fr-FR"/>
        </w:rPr>
        <w:t>fait de nouveau état</w:t>
      </w:r>
      <w:r w:rsidR="00543BD2" w:rsidRPr="002F57E1">
        <w:rPr>
          <w:lang w:val="fr-FR"/>
        </w:rPr>
        <w:t xml:space="preserve"> d’une situation globa</w:t>
      </w:r>
      <w:r w:rsidR="004D76D1" w:rsidRPr="002F57E1">
        <w:rPr>
          <w:lang w:val="fr-FR"/>
        </w:rPr>
        <w:t>lement stable</w:t>
      </w:r>
      <w:r w:rsidR="00307E11" w:rsidRPr="002F57E1">
        <w:rPr>
          <w:lang w:val="fr-FR"/>
        </w:rPr>
        <w:t xml:space="preserve">, </w:t>
      </w:r>
      <w:r w:rsidR="004D76D1" w:rsidRPr="002F57E1">
        <w:rPr>
          <w:lang w:val="fr-FR"/>
        </w:rPr>
        <w:t xml:space="preserve">avec quelques signes positifs concernant les drogues </w:t>
      </w:r>
      <w:r w:rsidR="002B2C54" w:rsidRPr="002F57E1">
        <w:rPr>
          <w:lang w:val="fr-FR"/>
        </w:rPr>
        <w:t xml:space="preserve">les </w:t>
      </w:r>
      <w:r w:rsidR="004D76D1" w:rsidRPr="002F57E1">
        <w:rPr>
          <w:lang w:val="fr-FR"/>
        </w:rPr>
        <w:t xml:space="preserve">plus </w:t>
      </w:r>
      <w:r w:rsidR="009146A3">
        <w:rPr>
          <w:lang w:val="fr-FR"/>
        </w:rPr>
        <w:t>implantées</w:t>
      </w:r>
      <w:r w:rsidR="00307E11" w:rsidRPr="002F57E1">
        <w:rPr>
          <w:lang w:val="fr-FR"/>
        </w:rPr>
        <w:t xml:space="preserve">. </w:t>
      </w:r>
      <w:r w:rsidR="00830366" w:rsidRPr="002F57E1">
        <w:rPr>
          <w:lang w:val="fr-FR"/>
        </w:rPr>
        <w:t>Cependant, les</w:t>
      </w:r>
      <w:r w:rsidR="00F54A6F" w:rsidRPr="002F57E1">
        <w:rPr>
          <w:lang w:val="fr-FR"/>
        </w:rPr>
        <w:t xml:space="preserve"> nouvelles menaces que </w:t>
      </w:r>
      <w:r w:rsidR="003C16FC" w:rsidRPr="002F57E1">
        <w:rPr>
          <w:lang w:val="fr-FR"/>
        </w:rPr>
        <w:t xml:space="preserve">présentent </w:t>
      </w:r>
      <w:r w:rsidR="00F54A6F" w:rsidRPr="002F57E1">
        <w:rPr>
          <w:lang w:val="fr-FR"/>
        </w:rPr>
        <w:t xml:space="preserve">les drogues </w:t>
      </w:r>
      <w:r w:rsidR="00087CBC" w:rsidRPr="002F57E1">
        <w:rPr>
          <w:lang w:val="fr-FR"/>
        </w:rPr>
        <w:t>de synthèse</w:t>
      </w:r>
      <w:r w:rsidR="00EF334C">
        <w:rPr>
          <w:lang w:val="fr-FR"/>
        </w:rPr>
        <w:t xml:space="preserve"> </w:t>
      </w:r>
      <w:r w:rsidR="009146A3">
        <w:rPr>
          <w:lang w:val="fr-FR"/>
        </w:rPr>
        <w:t xml:space="preserve">et </w:t>
      </w:r>
      <w:r w:rsidR="00830366" w:rsidRPr="002F57E1">
        <w:rPr>
          <w:lang w:val="fr-FR"/>
        </w:rPr>
        <w:t xml:space="preserve">notamment </w:t>
      </w:r>
      <w:r w:rsidR="00F54A6F" w:rsidRPr="002F57E1">
        <w:rPr>
          <w:lang w:val="fr-FR"/>
        </w:rPr>
        <w:t xml:space="preserve">les </w:t>
      </w:r>
      <w:r w:rsidR="00307E11" w:rsidRPr="002F57E1">
        <w:rPr>
          <w:lang w:val="fr-FR"/>
        </w:rPr>
        <w:t xml:space="preserve">stimulants, </w:t>
      </w:r>
      <w:r w:rsidR="002B2C54" w:rsidRPr="002F57E1">
        <w:rPr>
          <w:lang w:val="fr-FR"/>
        </w:rPr>
        <w:t xml:space="preserve">les </w:t>
      </w:r>
      <w:r w:rsidR="00307E11" w:rsidRPr="002F57E1">
        <w:rPr>
          <w:lang w:val="fr-FR"/>
        </w:rPr>
        <w:t>n</w:t>
      </w:r>
      <w:r w:rsidR="00F54A6F" w:rsidRPr="002F57E1">
        <w:rPr>
          <w:lang w:val="fr-FR"/>
        </w:rPr>
        <w:t xml:space="preserve">ouvelles substances </w:t>
      </w:r>
      <w:r w:rsidR="003623D8" w:rsidRPr="002F57E1">
        <w:rPr>
          <w:lang w:val="fr-FR"/>
        </w:rPr>
        <w:t>psychoactives</w:t>
      </w:r>
      <w:r w:rsidR="00EF334C">
        <w:rPr>
          <w:lang w:val="fr-FR"/>
        </w:rPr>
        <w:t xml:space="preserve"> </w:t>
      </w:r>
      <w:r w:rsidR="00F54A6F" w:rsidRPr="002F57E1">
        <w:rPr>
          <w:lang w:val="fr-FR"/>
        </w:rPr>
        <w:t xml:space="preserve">et les </w:t>
      </w:r>
      <w:r w:rsidR="003623D8" w:rsidRPr="002F57E1">
        <w:rPr>
          <w:lang w:val="fr-FR"/>
        </w:rPr>
        <w:t>médicaments</w:t>
      </w:r>
      <w:r w:rsidR="00EF334C">
        <w:rPr>
          <w:lang w:val="fr-FR"/>
        </w:rPr>
        <w:t xml:space="preserve"> </w:t>
      </w:r>
      <w:r w:rsidR="00830366" w:rsidRPr="002F57E1">
        <w:rPr>
          <w:lang w:val="fr-FR"/>
        </w:rPr>
        <w:t>de plus en plus répandus</w:t>
      </w:r>
      <w:r w:rsidR="009C625B" w:rsidRPr="002F57E1">
        <w:rPr>
          <w:lang w:val="fr-FR"/>
        </w:rPr>
        <w:t xml:space="preserve"> sur un marché eur</w:t>
      </w:r>
      <w:r w:rsidR="00FD74C2" w:rsidRPr="002F57E1">
        <w:rPr>
          <w:lang w:val="fr-FR"/>
        </w:rPr>
        <w:t>opéen en constante évolution</w:t>
      </w:r>
      <w:r w:rsidR="00830366" w:rsidRPr="002F57E1">
        <w:rPr>
          <w:lang w:val="fr-FR"/>
        </w:rPr>
        <w:t>, viennent contrer cette situation</w:t>
      </w:r>
      <w:r w:rsidR="00307E11" w:rsidRPr="002F57E1">
        <w:rPr>
          <w:lang w:val="fr-FR"/>
        </w:rPr>
        <w:t>.</w:t>
      </w:r>
    </w:p>
    <w:p w:rsidR="00A16B77" w:rsidRPr="002F57E1" w:rsidRDefault="003470DE" w:rsidP="003C2E9B">
      <w:pPr>
        <w:pStyle w:val="newsContent"/>
        <w:rPr>
          <w:lang w:val="fr-FR"/>
        </w:rPr>
      </w:pPr>
      <w:r w:rsidRPr="002F57E1">
        <w:rPr>
          <w:lang w:val="fr-FR"/>
        </w:rPr>
        <w:t>«</w:t>
      </w:r>
      <w:r w:rsidR="004D040C">
        <w:rPr>
          <w:lang w:val="fr-FR"/>
        </w:rPr>
        <w:t> </w:t>
      </w:r>
      <w:r w:rsidR="0093106F" w:rsidRPr="002F57E1">
        <w:rPr>
          <w:lang w:val="fr-FR"/>
        </w:rPr>
        <w:t xml:space="preserve">Je </w:t>
      </w:r>
      <w:r w:rsidR="00AF5C87" w:rsidRPr="002F57E1">
        <w:rPr>
          <w:lang w:val="fr-FR"/>
        </w:rPr>
        <w:t xml:space="preserve">suis </w:t>
      </w:r>
      <w:r w:rsidR="00DC6142" w:rsidRPr="002F57E1">
        <w:rPr>
          <w:lang w:val="fr-FR"/>
        </w:rPr>
        <w:t>profondément</w:t>
      </w:r>
      <w:r w:rsidR="00AF5C87" w:rsidRPr="002F57E1">
        <w:rPr>
          <w:lang w:val="fr-FR"/>
        </w:rPr>
        <w:t xml:space="preserve"> préoccupée par le fait</w:t>
      </w:r>
      <w:r w:rsidR="0093106F" w:rsidRPr="002F57E1">
        <w:rPr>
          <w:lang w:val="fr-FR"/>
        </w:rPr>
        <w:t xml:space="preserve"> que les drogues consommées </w:t>
      </w:r>
      <w:r w:rsidR="003F6384" w:rsidRPr="002F57E1">
        <w:rPr>
          <w:lang w:val="fr-FR"/>
        </w:rPr>
        <w:t xml:space="preserve">aujourd’hui </w:t>
      </w:r>
      <w:r w:rsidR="0093106F" w:rsidRPr="002F57E1">
        <w:rPr>
          <w:lang w:val="fr-FR"/>
        </w:rPr>
        <w:t xml:space="preserve">en Europe </w:t>
      </w:r>
      <w:r w:rsidR="003F6384" w:rsidRPr="002F57E1">
        <w:rPr>
          <w:lang w:val="fr-FR"/>
        </w:rPr>
        <w:t>puissent</w:t>
      </w:r>
      <w:r w:rsidR="00AF5C87" w:rsidRPr="002F57E1">
        <w:rPr>
          <w:lang w:val="fr-FR"/>
        </w:rPr>
        <w:t xml:space="preserve"> s’avérer</w:t>
      </w:r>
      <w:r w:rsidR="00D1181A" w:rsidRPr="002F57E1">
        <w:rPr>
          <w:lang w:val="fr-FR"/>
        </w:rPr>
        <w:t xml:space="preserve"> plus nocives </w:t>
      </w:r>
      <w:r w:rsidR="00AF5C87" w:rsidRPr="002F57E1">
        <w:rPr>
          <w:lang w:val="fr-FR"/>
        </w:rPr>
        <w:t xml:space="preserve">pour </w:t>
      </w:r>
      <w:r w:rsidR="00D1181A" w:rsidRPr="002F57E1">
        <w:rPr>
          <w:lang w:val="fr-FR"/>
        </w:rPr>
        <w:t xml:space="preserve">la santé des </w:t>
      </w:r>
      <w:r w:rsidR="00C946CC" w:rsidRPr="002F57E1">
        <w:rPr>
          <w:lang w:val="fr-FR"/>
        </w:rPr>
        <w:t xml:space="preserve">usagers </w:t>
      </w:r>
      <w:r w:rsidR="00D1181A" w:rsidRPr="002F57E1">
        <w:rPr>
          <w:lang w:val="fr-FR"/>
        </w:rPr>
        <w:t>que par le passé</w:t>
      </w:r>
      <w:r w:rsidR="00F97AC0">
        <w:rPr>
          <w:lang w:val="fr-FR"/>
        </w:rPr>
        <w:t> »</w:t>
      </w:r>
      <w:r w:rsidR="00FA27F7">
        <w:rPr>
          <w:lang w:val="fr-FR"/>
        </w:rPr>
        <w:t xml:space="preserve"> </w:t>
      </w:r>
      <w:r w:rsidR="00F97AC0">
        <w:rPr>
          <w:lang w:val="fr-FR"/>
        </w:rPr>
        <w:t>commente</w:t>
      </w:r>
      <w:r w:rsidR="00F97AC0">
        <w:rPr>
          <w:b/>
          <w:lang w:val="fr-FR"/>
        </w:rPr>
        <w:t xml:space="preserve"> l</w:t>
      </w:r>
      <w:r w:rsidR="00F97AC0" w:rsidRPr="002F57E1">
        <w:rPr>
          <w:b/>
          <w:lang w:val="fr-FR"/>
        </w:rPr>
        <w:t>a Commissaire européenne aux affaires intérieures, Cecilia Malmström</w:t>
      </w:r>
      <w:r w:rsidR="00FA27F7" w:rsidRPr="007B61B0">
        <w:rPr>
          <w:lang w:val="fr-FR"/>
        </w:rPr>
        <w:t>.</w:t>
      </w:r>
      <w:r w:rsidR="00F97AC0">
        <w:rPr>
          <w:b/>
          <w:lang w:val="fr-FR"/>
        </w:rPr>
        <w:t xml:space="preserve"> « </w:t>
      </w:r>
      <w:r w:rsidR="00D1181A" w:rsidRPr="002F57E1">
        <w:rPr>
          <w:lang w:val="fr-FR"/>
        </w:rPr>
        <w:t>Certains signes montrent que l’ecstasy et le</w:t>
      </w:r>
      <w:r w:rsidR="00307E11" w:rsidRPr="002F57E1">
        <w:rPr>
          <w:lang w:val="fr-FR"/>
        </w:rPr>
        <w:t xml:space="preserve"> cannabis </w:t>
      </w:r>
      <w:r w:rsidR="00D1181A" w:rsidRPr="002F57E1">
        <w:rPr>
          <w:lang w:val="fr-FR"/>
        </w:rPr>
        <w:t>vendus dans la rue sont de plus en plus fort</w:t>
      </w:r>
      <w:r w:rsidR="00EF334C">
        <w:rPr>
          <w:lang w:val="fr-FR"/>
        </w:rPr>
        <w:t>ement dosé</w:t>
      </w:r>
      <w:r w:rsidR="00D1181A" w:rsidRPr="002F57E1">
        <w:rPr>
          <w:lang w:val="fr-FR"/>
        </w:rPr>
        <w:t>s</w:t>
      </w:r>
      <w:r w:rsidR="00307E11" w:rsidRPr="002F57E1">
        <w:rPr>
          <w:lang w:val="fr-FR"/>
        </w:rPr>
        <w:t xml:space="preserve">. </w:t>
      </w:r>
      <w:r w:rsidR="00D1181A" w:rsidRPr="002F57E1">
        <w:rPr>
          <w:lang w:val="fr-FR"/>
        </w:rPr>
        <w:t>Je remarque également que l</w:t>
      </w:r>
      <w:r w:rsidR="00307E11" w:rsidRPr="002F57E1">
        <w:rPr>
          <w:lang w:val="fr-FR"/>
        </w:rPr>
        <w:t>e</w:t>
      </w:r>
      <w:r w:rsidR="00C361D6" w:rsidRPr="002F57E1">
        <w:rPr>
          <w:lang w:val="fr-FR"/>
        </w:rPr>
        <w:t xml:space="preserve"> système d’alerte </w:t>
      </w:r>
      <w:r w:rsidR="00C242C1">
        <w:rPr>
          <w:lang w:val="fr-FR"/>
        </w:rPr>
        <w:t xml:space="preserve">précoce </w:t>
      </w:r>
      <w:r w:rsidR="00F430F4" w:rsidRPr="002F57E1">
        <w:rPr>
          <w:lang w:val="fr-FR"/>
        </w:rPr>
        <w:t>de l’Union européenne</w:t>
      </w:r>
      <w:r w:rsidR="00307E11" w:rsidRPr="002F57E1">
        <w:rPr>
          <w:lang w:val="fr-FR"/>
        </w:rPr>
        <w:t xml:space="preserve">, </w:t>
      </w:r>
      <w:r w:rsidR="00C361D6" w:rsidRPr="002F57E1">
        <w:rPr>
          <w:lang w:val="fr-FR"/>
        </w:rPr>
        <w:t>notre première ligne de défens</w:t>
      </w:r>
      <w:r w:rsidR="00307E11" w:rsidRPr="002F57E1">
        <w:rPr>
          <w:lang w:val="fr-FR"/>
        </w:rPr>
        <w:t xml:space="preserve">e </w:t>
      </w:r>
      <w:r w:rsidR="00C361D6" w:rsidRPr="002F57E1">
        <w:rPr>
          <w:lang w:val="fr-FR"/>
        </w:rPr>
        <w:t xml:space="preserve">contre les </w:t>
      </w:r>
      <w:r w:rsidR="00AF5C87" w:rsidRPr="002F57E1">
        <w:rPr>
          <w:lang w:val="fr-FR"/>
        </w:rPr>
        <w:t xml:space="preserve">nouvelles </w:t>
      </w:r>
      <w:r w:rsidR="00C361D6" w:rsidRPr="002F57E1">
        <w:rPr>
          <w:lang w:val="fr-FR"/>
        </w:rPr>
        <w:t xml:space="preserve">drogues, </w:t>
      </w:r>
      <w:r w:rsidR="00BE0F70" w:rsidRPr="002F57E1">
        <w:rPr>
          <w:lang w:val="fr-FR"/>
        </w:rPr>
        <w:t>subit</w:t>
      </w:r>
      <w:r w:rsidR="00EF334C">
        <w:rPr>
          <w:lang w:val="fr-FR"/>
        </w:rPr>
        <w:t xml:space="preserve"> </w:t>
      </w:r>
      <w:r w:rsidR="00C361D6" w:rsidRPr="002F57E1">
        <w:rPr>
          <w:lang w:val="fr-FR"/>
        </w:rPr>
        <w:t>une pression croissante</w:t>
      </w:r>
      <w:r w:rsidR="00AF37DC" w:rsidRPr="002F57E1">
        <w:rPr>
          <w:lang w:val="fr-FR"/>
        </w:rPr>
        <w:t>,</w:t>
      </w:r>
      <w:r w:rsidR="00EF334C">
        <w:rPr>
          <w:lang w:val="fr-FR"/>
        </w:rPr>
        <w:t xml:space="preserve"> </w:t>
      </w:r>
      <w:r w:rsidR="001D5F7E" w:rsidRPr="002F57E1">
        <w:rPr>
          <w:lang w:val="fr-FR"/>
        </w:rPr>
        <w:t>le</w:t>
      </w:r>
      <w:r w:rsidR="00C361D6" w:rsidRPr="002F57E1">
        <w:rPr>
          <w:lang w:val="fr-FR"/>
        </w:rPr>
        <w:t xml:space="preserve"> nombre et </w:t>
      </w:r>
      <w:r w:rsidR="001D5F7E" w:rsidRPr="002F57E1">
        <w:rPr>
          <w:lang w:val="fr-FR"/>
        </w:rPr>
        <w:t>la</w:t>
      </w:r>
      <w:r w:rsidR="00EF334C">
        <w:rPr>
          <w:lang w:val="fr-FR"/>
        </w:rPr>
        <w:t xml:space="preserve"> </w:t>
      </w:r>
      <w:r w:rsidR="00C361D6" w:rsidRPr="002F57E1">
        <w:rPr>
          <w:lang w:val="fr-FR"/>
        </w:rPr>
        <w:t>diversité</w:t>
      </w:r>
      <w:r w:rsidR="00EF334C">
        <w:rPr>
          <w:lang w:val="fr-FR"/>
        </w:rPr>
        <w:t xml:space="preserve"> </w:t>
      </w:r>
      <w:r w:rsidR="00C361D6" w:rsidRPr="002F57E1">
        <w:rPr>
          <w:lang w:val="fr-FR"/>
        </w:rPr>
        <w:t>des</w:t>
      </w:r>
      <w:r w:rsidR="00307E11" w:rsidRPr="002F57E1">
        <w:rPr>
          <w:lang w:val="fr-FR"/>
        </w:rPr>
        <w:t xml:space="preserve"> substances </w:t>
      </w:r>
      <w:r w:rsidR="001D5F7E" w:rsidRPr="002F57E1">
        <w:rPr>
          <w:lang w:val="fr-FR"/>
        </w:rPr>
        <w:t>étant en progression constante</w:t>
      </w:r>
      <w:r w:rsidR="0033351B" w:rsidRPr="002F57E1">
        <w:rPr>
          <w:lang w:val="fr-FR"/>
        </w:rPr>
        <w:t>. Cette année, l</w:t>
      </w:r>
      <w:r w:rsidR="00307E11" w:rsidRPr="002F57E1">
        <w:rPr>
          <w:lang w:val="fr-FR"/>
        </w:rPr>
        <w:t>e syst</w:t>
      </w:r>
      <w:r w:rsidR="0033351B" w:rsidRPr="002F57E1">
        <w:rPr>
          <w:lang w:val="fr-FR"/>
        </w:rPr>
        <w:t>è</w:t>
      </w:r>
      <w:r w:rsidR="00307E11" w:rsidRPr="002F57E1">
        <w:rPr>
          <w:lang w:val="fr-FR"/>
        </w:rPr>
        <w:t>m</w:t>
      </w:r>
      <w:r w:rsidR="00C361D6" w:rsidRPr="002F57E1">
        <w:rPr>
          <w:lang w:val="fr-FR"/>
        </w:rPr>
        <w:t>e</w:t>
      </w:r>
      <w:r w:rsidR="0033351B" w:rsidRPr="002F57E1">
        <w:rPr>
          <w:lang w:val="fr-FR"/>
        </w:rPr>
        <w:t xml:space="preserve"> a déjà </w:t>
      </w:r>
      <w:r w:rsidR="001D5F7E" w:rsidRPr="002F57E1">
        <w:rPr>
          <w:lang w:val="fr-FR"/>
        </w:rPr>
        <w:t>permis d’examiner</w:t>
      </w:r>
      <w:r w:rsidR="00EF334C">
        <w:rPr>
          <w:lang w:val="fr-FR"/>
        </w:rPr>
        <w:t xml:space="preserve"> </w:t>
      </w:r>
      <w:r w:rsidR="0033351B" w:rsidRPr="002F57E1">
        <w:rPr>
          <w:lang w:val="fr-FR"/>
        </w:rPr>
        <w:t>quatre nouvelles</w:t>
      </w:r>
      <w:r w:rsidR="00307E11" w:rsidRPr="002F57E1">
        <w:rPr>
          <w:lang w:val="fr-FR"/>
        </w:rPr>
        <w:t xml:space="preserve"> substances li</w:t>
      </w:r>
      <w:r w:rsidR="0033351B" w:rsidRPr="002F57E1">
        <w:rPr>
          <w:lang w:val="fr-FR"/>
        </w:rPr>
        <w:t>ées</w:t>
      </w:r>
      <w:r w:rsidR="00DB0F14" w:rsidRPr="002F57E1">
        <w:rPr>
          <w:lang w:val="fr-FR"/>
        </w:rPr>
        <w:t xml:space="preserve"> à des cas d’intoxication</w:t>
      </w:r>
      <w:r w:rsidR="00FC16E6" w:rsidRPr="002F57E1">
        <w:rPr>
          <w:lang w:val="fr-FR"/>
        </w:rPr>
        <w:t xml:space="preserve"> aiguë</w:t>
      </w:r>
      <w:r w:rsidR="0033351B" w:rsidRPr="002F57E1">
        <w:rPr>
          <w:lang w:val="fr-FR"/>
        </w:rPr>
        <w:t xml:space="preserve"> et de décès</w:t>
      </w:r>
      <w:r w:rsidR="00EF334C">
        <w:rPr>
          <w:lang w:val="fr-FR"/>
        </w:rPr>
        <w:t xml:space="preserve"> </w:t>
      </w:r>
      <w:r w:rsidR="00EC130C" w:rsidRPr="002F57E1">
        <w:rPr>
          <w:lang w:val="fr-FR"/>
        </w:rPr>
        <w:t>dans les</w:t>
      </w:r>
      <w:r w:rsidR="0033351B" w:rsidRPr="002F57E1">
        <w:rPr>
          <w:lang w:val="fr-FR"/>
        </w:rPr>
        <w:t xml:space="preserve"> États membres</w:t>
      </w:r>
      <w:r w:rsidR="004D040C">
        <w:rPr>
          <w:lang w:val="fr-FR"/>
        </w:rPr>
        <w:t> </w:t>
      </w:r>
      <w:r w:rsidRPr="002F57E1">
        <w:rPr>
          <w:lang w:val="fr-FR"/>
        </w:rPr>
        <w:t>»</w:t>
      </w:r>
      <w:r w:rsidR="0033351B" w:rsidRPr="002F57E1">
        <w:rPr>
          <w:lang w:val="fr-FR"/>
        </w:rPr>
        <w:t>.</w:t>
      </w:r>
    </w:p>
    <w:p w:rsidR="00A16B77" w:rsidRPr="002F57E1" w:rsidRDefault="00E24C7B" w:rsidP="003C2E9B">
      <w:pPr>
        <w:pStyle w:val="newsContent"/>
        <w:rPr>
          <w:lang w:val="fr-FR"/>
        </w:rPr>
      </w:pPr>
      <w:r w:rsidRPr="002F57E1">
        <w:rPr>
          <w:b/>
          <w:lang w:val="fr-FR"/>
        </w:rPr>
        <w:t>La C</w:t>
      </w:r>
      <w:r w:rsidR="00307E11" w:rsidRPr="002F57E1">
        <w:rPr>
          <w:b/>
          <w:lang w:val="fr-FR"/>
        </w:rPr>
        <w:t>ommiss</w:t>
      </w:r>
      <w:r w:rsidRPr="002F57E1">
        <w:rPr>
          <w:b/>
          <w:lang w:val="fr-FR"/>
        </w:rPr>
        <w:t>aire</w:t>
      </w:r>
      <w:r w:rsidR="00307E11" w:rsidRPr="002F57E1">
        <w:rPr>
          <w:b/>
          <w:lang w:val="fr-FR"/>
        </w:rPr>
        <w:t xml:space="preserve"> Malmström</w:t>
      </w:r>
      <w:r w:rsidR="00EF334C">
        <w:rPr>
          <w:b/>
          <w:lang w:val="fr-FR"/>
        </w:rPr>
        <w:t xml:space="preserve"> </w:t>
      </w:r>
      <w:r w:rsidR="00DB0F14" w:rsidRPr="002F57E1">
        <w:rPr>
          <w:lang w:val="fr-FR"/>
        </w:rPr>
        <w:t>poursuit</w:t>
      </w:r>
      <w:r w:rsidR="00EF334C">
        <w:rPr>
          <w:lang w:val="fr-FR"/>
        </w:rPr>
        <w:t xml:space="preserve"> </w:t>
      </w:r>
      <w:r w:rsidR="00157767" w:rsidRPr="002F57E1">
        <w:rPr>
          <w:lang w:val="fr-FR"/>
        </w:rPr>
        <w:t>:</w:t>
      </w:r>
      <w:r w:rsidR="00EF334C">
        <w:rPr>
          <w:lang w:val="fr-FR"/>
        </w:rPr>
        <w:t xml:space="preserve"> </w:t>
      </w:r>
      <w:r w:rsidR="003470DE" w:rsidRPr="002F57E1">
        <w:rPr>
          <w:lang w:val="fr-FR"/>
        </w:rPr>
        <w:t>«</w:t>
      </w:r>
      <w:r w:rsidR="004D040C">
        <w:rPr>
          <w:lang w:val="fr-FR"/>
        </w:rPr>
        <w:t> </w:t>
      </w:r>
      <w:r w:rsidR="005446A6" w:rsidRPr="002F57E1">
        <w:rPr>
          <w:lang w:val="fr-FR"/>
        </w:rPr>
        <w:t xml:space="preserve">Les </w:t>
      </w:r>
      <w:r w:rsidR="006A4CEF" w:rsidRPr="002F57E1">
        <w:rPr>
          <w:lang w:val="fr-FR"/>
        </w:rPr>
        <w:t>instances</w:t>
      </w:r>
      <w:r w:rsidR="005446A6" w:rsidRPr="002F57E1">
        <w:rPr>
          <w:lang w:val="fr-FR"/>
        </w:rPr>
        <w:t xml:space="preserve"> européen</w:t>
      </w:r>
      <w:r w:rsidR="006A4CEF" w:rsidRPr="002F57E1">
        <w:rPr>
          <w:lang w:val="fr-FR"/>
        </w:rPr>
        <w:t>ne</w:t>
      </w:r>
      <w:r w:rsidR="005446A6" w:rsidRPr="002F57E1">
        <w:rPr>
          <w:lang w:val="fr-FR"/>
        </w:rPr>
        <w:t xml:space="preserve">s </w:t>
      </w:r>
      <w:r w:rsidR="00EC130C" w:rsidRPr="002F57E1">
        <w:rPr>
          <w:lang w:val="fr-FR"/>
        </w:rPr>
        <w:t>chargées de l’application des lois</w:t>
      </w:r>
      <w:r w:rsidR="00EF334C">
        <w:rPr>
          <w:lang w:val="fr-FR"/>
        </w:rPr>
        <w:t xml:space="preserve"> </w:t>
      </w:r>
      <w:r w:rsidR="0091655D" w:rsidRPr="002F57E1">
        <w:rPr>
          <w:lang w:val="fr-FR"/>
        </w:rPr>
        <w:t>sont</w:t>
      </w:r>
      <w:r w:rsidR="00EF334C">
        <w:rPr>
          <w:lang w:val="fr-FR"/>
        </w:rPr>
        <w:t xml:space="preserve"> </w:t>
      </w:r>
      <w:r w:rsidR="005446A6" w:rsidRPr="002F57E1">
        <w:rPr>
          <w:lang w:val="fr-FR"/>
        </w:rPr>
        <w:t>de plus en plus</w:t>
      </w:r>
      <w:r w:rsidR="003C16FC" w:rsidRPr="002F57E1">
        <w:rPr>
          <w:lang w:val="fr-FR"/>
        </w:rPr>
        <w:t xml:space="preserve"> souvent</w:t>
      </w:r>
      <w:r w:rsidR="00EF334C">
        <w:rPr>
          <w:lang w:val="fr-FR"/>
        </w:rPr>
        <w:t xml:space="preserve"> </w:t>
      </w:r>
      <w:r w:rsidR="003C16FC" w:rsidRPr="002F57E1">
        <w:rPr>
          <w:lang w:val="fr-FR"/>
        </w:rPr>
        <w:t xml:space="preserve">confrontées </w:t>
      </w:r>
      <w:r w:rsidR="00DC6142" w:rsidRPr="002F57E1">
        <w:rPr>
          <w:lang w:val="fr-FR"/>
        </w:rPr>
        <w:t>à des</w:t>
      </w:r>
      <w:r w:rsidR="00CC2907" w:rsidRPr="002F57E1">
        <w:rPr>
          <w:lang w:val="fr-FR"/>
        </w:rPr>
        <w:t xml:space="preserve"> substances</w:t>
      </w:r>
      <w:r w:rsidR="00EF334C">
        <w:rPr>
          <w:lang w:val="fr-FR"/>
        </w:rPr>
        <w:t xml:space="preserve"> </w:t>
      </w:r>
      <w:r w:rsidR="00CC2907" w:rsidRPr="002F57E1">
        <w:rPr>
          <w:lang w:val="fr-FR"/>
        </w:rPr>
        <w:t xml:space="preserve">sous la forme </w:t>
      </w:r>
      <w:r w:rsidR="003C16FC" w:rsidRPr="002F57E1">
        <w:rPr>
          <w:lang w:val="fr-FR"/>
        </w:rPr>
        <w:t>de</w:t>
      </w:r>
      <w:r w:rsidR="00EF334C">
        <w:rPr>
          <w:lang w:val="fr-FR"/>
        </w:rPr>
        <w:t xml:space="preserve"> </w:t>
      </w:r>
      <w:r w:rsidR="005446A6" w:rsidRPr="002F57E1">
        <w:rPr>
          <w:lang w:val="fr-FR"/>
        </w:rPr>
        <w:t xml:space="preserve">poudres apparemment </w:t>
      </w:r>
      <w:r w:rsidR="00DB5B97" w:rsidRPr="002F57E1">
        <w:rPr>
          <w:lang w:val="fr-FR"/>
        </w:rPr>
        <w:t>inoffensive</w:t>
      </w:r>
      <w:r w:rsidR="00B2508F" w:rsidRPr="002F57E1">
        <w:rPr>
          <w:lang w:val="fr-FR"/>
        </w:rPr>
        <w:t>s,</w:t>
      </w:r>
      <w:r w:rsidR="00B72FD8" w:rsidRPr="002F57E1">
        <w:rPr>
          <w:lang w:val="fr-FR"/>
        </w:rPr>
        <w:t xml:space="preserve"> conditionnées dans des emballages de petite taille,</w:t>
      </w:r>
      <w:r w:rsidR="00EF334C">
        <w:rPr>
          <w:lang w:val="fr-FR"/>
        </w:rPr>
        <w:t xml:space="preserve"> </w:t>
      </w:r>
      <w:r w:rsidR="00B72FD8" w:rsidRPr="002F57E1">
        <w:rPr>
          <w:lang w:val="fr-FR"/>
        </w:rPr>
        <w:t>faciles à transporter</w:t>
      </w:r>
      <w:r w:rsidR="00B2508F" w:rsidRPr="002F57E1">
        <w:rPr>
          <w:lang w:val="fr-FR"/>
        </w:rPr>
        <w:t xml:space="preserve">, </w:t>
      </w:r>
      <w:r w:rsidR="00873E63" w:rsidRPr="002F57E1">
        <w:rPr>
          <w:lang w:val="fr-FR"/>
        </w:rPr>
        <w:t xml:space="preserve">qui </w:t>
      </w:r>
      <w:r w:rsidR="00DB5B97" w:rsidRPr="002F57E1">
        <w:rPr>
          <w:lang w:val="fr-FR"/>
        </w:rPr>
        <w:t xml:space="preserve">peuvent contenir </w:t>
      </w:r>
      <w:r w:rsidR="00873E63" w:rsidRPr="002F57E1">
        <w:rPr>
          <w:lang w:val="fr-FR"/>
        </w:rPr>
        <w:t xml:space="preserve">en réalité </w:t>
      </w:r>
      <w:r w:rsidR="00DB5B97" w:rsidRPr="002F57E1">
        <w:rPr>
          <w:lang w:val="fr-FR"/>
        </w:rPr>
        <w:t>des milliers de doses individue</w:t>
      </w:r>
      <w:r w:rsidR="00307E11" w:rsidRPr="002F57E1">
        <w:rPr>
          <w:lang w:val="fr-FR"/>
        </w:rPr>
        <w:t>l</w:t>
      </w:r>
      <w:r w:rsidR="00DB5B97" w:rsidRPr="002F57E1">
        <w:rPr>
          <w:lang w:val="fr-FR"/>
        </w:rPr>
        <w:t>l</w:t>
      </w:r>
      <w:r w:rsidR="00307E11" w:rsidRPr="002F57E1">
        <w:rPr>
          <w:lang w:val="fr-FR"/>
        </w:rPr>
        <w:t xml:space="preserve">es. </w:t>
      </w:r>
      <w:r w:rsidR="003B77FE" w:rsidRPr="002F57E1">
        <w:rPr>
          <w:lang w:val="fr-FR"/>
        </w:rPr>
        <w:t>L’</w:t>
      </w:r>
      <w:r w:rsidR="006A4CEF" w:rsidRPr="002F57E1">
        <w:rPr>
          <w:lang w:val="fr-FR"/>
        </w:rPr>
        <w:t xml:space="preserve">analyse annuelle </w:t>
      </w:r>
      <w:r w:rsidR="003B77FE" w:rsidRPr="002F57E1">
        <w:rPr>
          <w:lang w:val="fr-FR"/>
        </w:rPr>
        <w:t>de</w:t>
      </w:r>
      <w:r w:rsidR="006A4CEF" w:rsidRPr="002F57E1">
        <w:rPr>
          <w:lang w:val="fr-FR"/>
        </w:rPr>
        <w:t xml:space="preserve"> l’</w:t>
      </w:r>
      <w:r w:rsidR="00307E11" w:rsidRPr="002F57E1">
        <w:rPr>
          <w:lang w:val="fr-FR"/>
        </w:rPr>
        <w:t xml:space="preserve">EMCDDA </w:t>
      </w:r>
      <w:r w:rsidR="003B77FE" w:rsidRPr="002F57E1">
        <w:rPr>
          <w:lang w:val="fr-FR"/>
        </w:rPr>
        <w:t>donne un aperçu</w:t>
      </w:r>
      <w:r w:rsidR="00F97AC0">
        <w:rPr>
          <w:lang w:val="fr-FR"/>
        </w:rPr>
        <w:t xml:space="preserve"> capital</w:t>
      </w:r>
      <w:r w:rsidR="006A4CEF" w:rsidRPr="002F57E1">
        <w:rPr>
          <w:lang w:val="fr-FR"/>
        </w:rPr>
        <w:t xml:space="preserve"> </w:t>
      </w:r>
      <w:r w:rsidR="00AC01FA" w:rsidRPr="002F57E1">
        <w:rPr>
          <w:lang w:val="fr-FR"/>
        </w:rPr>
        <w:t xml:space="preserve">de </w:t>
      </w:r>
      <w:r w:rsidR="006A4CEF" w:rsidRPr="002F57E1">
        <w:rPr>
          <w:lang w:val="fr-FR"/>
        </w:rPr>
        <w:t>l’évolution du prob</w:t>
      </w:r>
      <w:r w:rsidR="00361036" w:rsidRPr="002F57E1">
        <w:rPr>
          <w:lang w:val="fr-FR"/>
        </w:rPr>
        <w:t>lème de la drogue</w:t>
      </w:r>
      <w:r w:rsidR="006A4CEF" w:rsidRPr="002F57E1">
        <w:rPr>
          <w:lang w:val="fr-FR"/>
        </w:rPr>
        <w:t xml:space="preserve"> en</w:t>
      </w:r>
      <w:r w:rsidR="00307E11" w:rsidRPr="002F57E1">
        <w:rPr>
          <w:lang w:val="fr-FR"/>
        </w:rPr>
        <w:t xml:space="preserve"> Europe. </w:t>
      </w:r>
      <w:r w:rsidR="003B77FE" w:rsidRPr="002F57E1">
        <w:rPr>
          <w:lang w:val="fr-FR"/>
        </w:rPr>
        <w:t>Les</w:t>
      </w:r>
      <w:r w:rsidR="00307E11" w:rsidRPr="002F57E1">
        <w:rPr>
          <w:lang w:val="fr-FR"/>
        </w:rPr>
        <w:t xml:space="preserve"> information</w:t>
      </w:r>
      <w:r w:rsidR="003B77FE" w:rsidRPr="002F57E1">
        <w:rPr>
          <w:lang w:val="fr-FR"/>
        </w:rPr>
        <w:t>s</w:t>
      </w:r>
      <w:r w:rsidR="00EF334C">
        <w:rPr>
          <w:lang w:val="fr-FR"/>
        </w:rPr>
        <w:t xml:space="preserve"> </w:t>
      </w:r>
      <w:r w:rsidR="003B77FE" w:rsidRPr="002F57E1">
        <w:rPr>
          <w:lang w:val="fr-FR"/>
        </w:rPr>
        <w:t xml:space="preserve">qu’elle contient </w:t>
      </w:r>
      <w:r w:rsidR="00B7657A" w:rsidRPr="002F57E1">
        <w:rPr>
          <w:lang w:val="fr-FR"/>
        </w:rPr>
        <w:t>doivent</w:t>
      </w:r>
      <w:r w:rsidR="00EF334C">
        <w:rPr>
          <w:lang w:val="fr-FR"/>
        </w:rPr>
        <w:t xml:space="preserve"> </w:t>
      </w:r>
      <w:r w:rsidR="00B7657A" w:rsidRPr="002F57E1">
        <w:rPr>
          <w:lang w:val="fr-FR"/>
        </w:rPr>
        <w:t xml:space="preserve">à présent </w:t>
      </w:r>
      <w:r w:rsidR="00AC112A" w:rsidRPr="002F57E1">
        <w:rPr>
          <w:lang w:val="fr-FR"/>
        </w:rPr>
        <w:t>alimenter le processus d</w:t>
      </w:r>
      <w:r w:rsidR="00F41226" w:rsidRPr="002F57E1">
        <w:rPr>
          <w:lang w:val="fr-FR"/>
        </w:rPr>
        <w:t xml:space="preserve">’application </w:t>
      </w:r>
      <w:r w:rsidR="00B7657A" w:rsidRPr="002F57E1">
        <w:rPr>
          <w:lang w:val="fr-FR"/>
        </w:rPr>
        <w:t>des lois</w:t>
      </w:r>
      <w:r w:rsidR="00F41226" w:rsidRPr="002F57E1">
        <w:rPr>
          <w:lang w:val="fr-FR"/>
        </w:rPr>
        <w:t>,</w:t>
      </w:r>
      <w:r w:rsidR="00EF334C">
        <w:rPr>
          <w:lang w:val="fr-FR"/>
        </w:rPr>
        <w:t xml:space="preserve"> </w:t>
      </w:r>
      <w:r w:rsidR="00F41226" w:rsidRPr="002F57E1">
        <w:rPr>
          <w:lang w:val="fr-FR"/>
        </w:rPr>
        <w:t>la</w:t>
      </w:r>
      <w:r w:rsidR="00B7657A" w:rsidRPr="002F57E1">
        <w:rPr>
          <w:lang w:val="fr-FR"/>
        </w:rPr>
        <w:t xml:space="preserve"> stratégie de</w:t>
      </w:r>
      <w:r w:rsidR="00F41226" w:rsidRPr="002F57E1">
        <w:rPr>
          <w:lang w:val="fr-FR"/>
        </w:rPr>
        <w:t xml:space="preserve"> pré</w:t>
      </w:r>
      <w:r w:rsidR="00307E11" w:rsidRPr="002F57E1">
        <w:rPr>
          <w:lang w:val="fr-FR"/>
        </w:rPr>
        <w:t xml:space="preserve">vention </w:t>
      </w:r>
      <w:r w:rsidR="00F41226" w:rsidRPr="002F57E1">
        <w:rPr>
          <w:lang w:val="fr-FR"/>
        </w:rPr>
        <w:t>et</w:t>
      </w:r>
      <w:r w:rsidR="00EF334C">
        <w:rPr>
          <w:lang w:val="fr-FR"/>
        </w:rPr>
        <w:t xml:space="preserve"> </w:t>
      </w:r>
      <w:r w:rsidR="00F41226" w:rsidRPr="002F57E1">
        <w:rPr>
          <w:lang w:val="fr-FR"/>
        </w:rPr>
        <w:t>les tr</w:t>
      </w:r>
      <w:r w:rsidR="00307E11" w:rsidRPr="002F57E1">
        <w:rPr>
          <w:lang w:val="fr-FR"/>
        </w:rPr>
        <w:t>a</w:t>
      </w:r>
      <w:r w:rsidR="00F41226" w:rsidRPr="002F57E1">
        <w:rPr>
          <w:lang w:val="fr-FR"/>
        </w:rPr>
        <w:t>i</w:t>
      </w:r>
      <w:r w:rsidR="00307E11" w:rsidRPr="002F57E1">
        <w:rPr>
          <w:lang w:val="fr-FR"/>
        </w:rPr>
        <w:t>t</w:t>
      </w:r>
      <w:r w:rsidR="00F41226" w:rsidRPr="002F57E1">
        <w:rPr>
          <w:lang w:val="fr-FR"/>
        </w:rPr>
        <w:t>e</w:t>
      </w:r>
      <w:r w:rsidR="00307E11" w:rsidRPr="002F57E1">
        <w:rPr>
          <w:lang w:val="fr-FR"/>
        </w:rPr>
        <w:t>ment</w:t>
      </w:r>
      <w:r w:rsidR="00F41226" w:rsidRPr="002F57E1">
        <w:rPr>
          <w:lang w:val="fr-FR"/>
        </w:rPr>
        <w:t>s</w:t>
      </w:r>
      <w:r w:rsidR="00307E11" w:rsidRPr="002F57E1">
        <w:rPr>
          <w:lang w:val="fr-FR"/>
        </w:rPr>
        <w:t xml:space="preserve">. </w:t>
      </w:r>
      <w:r w:rsidR="00B069AC" w:rsidRPr="002F57E1">
        <w:rPr>
          <w:lang w:val="fr-FR"/>
        </w:rPr>
        <w:t xml:space="preserve">Nous devons absolument </w:t>
      </w:r>
      <w:r w:rsidR="00AC112A" w:rsidRPr="002F57E1">
        <w:rPr>
          <w:lang w:val="fr-FR"/>
        </w:rPr>
        <w:t xml:space="preserve">les </w:t>
      </w:r>
      <w:r w:rsidR="00B069AC" w:rsidRPr="002F57E1">
        <w:rPr>
          <w:lang w:val="fr-FR"/>
        </w:rPr>
        <w:t>utiliser pour nous assurer que la ré</w:t>
      </w:r>
      <w:r w:rsidR="00307E11" w:rsidRPr="002F57E1">
        <w:rPr>
          <w:lang w:val="fr-FR"/>
        </w:rPr>
        <w:t xml:space="preserve">ponse </w:t>
      </w:r>
      <w:r w:rsidR="00B069AC" w:rsidRPr="002F57E1">
        <w:rPr>
          <w:lang w:val="fr-FR"/>
        </w:rPr>
        <w:t>des autorités e</w:t>
      </w:r>
      <w:r w:rsidR="00307E11" w:rsidRPr="002F57E1">
        <w:rPr>
          <w:lang w:val="fr-FR"/>
        </w:rPr>
        <w:t>urop</w:t>
      </w:r>
      <w:r w:rsidR="00B069AC" w:rsidRPr="002F57E1">
        <w:rPr>
          <w:lang w:val="fr-FR"/>
        </w:rPr>
        <w:t>éen</w:t>
      </w:r>
      <w:r w:rsidR="00307E11" w:rsidRPr="002F57E1">
        <w:rPr>
          <w:lang w:val="fr-FR"/>
        </w:rPr>
        <w:t>n</w:t>
      </w:r>
      <w:r w:rsidR="00B069AC" w:rsidRPr="002F57E1">
        <w:rPr>
          <w:lang w:val="fr-FR"/>
        </w:rPr>
        <w:t>es</w:t>
      </w:r>
      <w:r w:rsidR="00EF334C">
        <w:rPr>
          <w:lang w:val="fr-FR"/>
        </w:rPr>
        <w:t xml:space="preserve"> </w:t>
      </w:r>
      <w:r w:rsidR="00DC6142" w:rsidRPr="002F57E1">
        <w:rPr>
          <w:lang w:val="fr-FR"/>
        </w:rPr>
        <w:t>reste</w:t>
      </w:r>
      <w:r w:rsidR="00AC112A" w:rsidRPr="002F57E1">
        <w:rPr>
          <w:lang w:val="fr-FR"/>
        </w:rPr>
        <w:t xml:space="preserve"> en phase avec les</w:t>
      </w:r>
      <w:r w:rsidR="00EF334C">
        <w:rPr>
          <w:lang w:val="fr-FR"/>
        </w:rPr>
        <w:t xml:space="preserve"> </w:t>
      </w:r>
      <w:r w:rsidR="00F97AC0">
        <w:rPr>
          <w:lang w:val="fr-FR"/>
        </w:rPr>
        <w:t>enjeux en pleine évolution</w:t>
      </w:r>
      <w:r w:rsidR="008A165A" w:rsidRPr="002F57E1">
        <w:rPr>
          <w:lang w:val="fr-FR"/>
        </w:rPr>
        <w:t xml:space="preserve"> auxquels nous devons faire face</w:t>
      </w:r>
      <w:r w:rsidR="004D040C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8A165A" w:rsidRPr="002F57E1">
        <w:rPr>
          <w:lang w:val="fr-FR"/>
        </w:rPr>
        <w:t>.</w:t>
      </w:r>
    </w:p>
    <w:p w:rsidR="00307E11" w:rsidRPr="002F57E1" w:rsidRDefault="00F97AC0" w:rsidP="003C2E9B">
      <w:pPr>
        <w:pStyle w:val="newsContent"/>
        <w:rPr>
          <w:lang w:val="fr-FR"/>
        </w:rPr>
      </w:pPr>
      <w:r w:rsidRPr="00F97AC0">
        <w:rPr>
          <w:lang w:val="fr-FR"/>
        </w:rPr>
        <w:t>De son côté,</w:t>
      </w:r>
      <w:r>
        <w:rPr>
          <w:b/>
          <w:lang w:val="fr-FR"/>
        </w:rPr>
        <w:t xml:space="preserve"> l</w:t>
      </w:r>
      <w:r w:rsidR="002F2D95" w:rsidRPr="002F57E1">
        <w:rPr>
          <w:b/>
          <w:lang w:val="fr-FR"/>
        </w:rPr>
        <w:t>e directeur de l’EMCDDA,</w:t>
      </w:r>
      <w:r w:rsidR="00307E11" w:rsidRPr="002F57E1">
        <w:rPr>
          <w:b/>
          <w:lang w:val="fr-FR"/>
        </w:rPr>
        <w:t xml:space="preserve"> Wolfgang Götz</w:t>
      </w:r>
      <w:r w:rsidR="002F2D95" w:rsidRPr="002F57E1">
        <w:rPr>
          <w:b/>
          <w:lang w:val="fr-FR"/>
        </w:rPr>
        <w:t>,</w:t>
      </w:r>
      <w:r w:rsidR="00EF334C">
        <w:rPr>
          <w:b/>
          <w:lang w:val="fr-FR"/>
        </w:rPr>
        <w:t xml:space="preserve"> </w:t>
      </w:r>
      <w:r w:rsidR="002F2D95" w:rsidRPr="002F57E1">
        <w:rPr>
          <w:lang w:val="fr-FR"/>
        </w:rPr>
        <w:t>déclare</w:t>
      </w:r>
      <w:r w:rsidR="00EF334C">
        <w:rPr>
          <w:lang w:val="fr-FR"/>
        </w:rPr>
        <w:t xml:space="preserve"> </w:t>
      </w:r>
      <w:r w:rsidR="00157767" w:rsidRPr="002F57E1">
        <w:rPr>
          <w:lang w:val="fr-FR"/>
        </w:rPr>
        <w:t>:</w:t>
      </w:r>
      <w:r w:rsidR="00EF334C">
        <w:rPr>
          <w:lang w:val="fr-FR"/>
        </w:rPr>
        <w:t xml:space="preserve"> </w:t>
      </w:r>
      <w:r w:rsidR="003470DE" w:rsidRPr="002F57E1">
        <w:rPr>
          <w:lang w:val="fr-FR"/>
        </w:rPr>
        <w:t>«</w:t>
      </w:r>
      <w:r w:rsidR="004D040C">
        <w:rPr>
          <w:lang w:val="fr-FR"/>
        </w:rPr>
        <w:t> </w:t>
      </w:r>
      <w:r>
        <w:rPr>
          <w:lang w:val="fr-FR"/>
        </w:rPr>
        <w:t>D</w:t>
      </w:r>
      <w:r w:rsidR="00DA64A4" w:rsidRPr="002F57E1">
        <w:rPr>
          <w:lang w:val="fr-FR"/>
        </w:rPr>
        <w:t xml:space="preserve">es </w:t>
      </w:r>
      <w:r w:rsidR="00C31894" w:rsidRPr="002F57E1">
        <w:rPr>
          <w:lang w:val="fr-FR"/>
        </w:rPr>
        <w:t xml:space="preserve">progrès ont été accomplis en </w:t>
      </w:r>
      <w:r w:rsidR="00307E11" w:rsidRPr="002F57E1">
        <w:rPr>
          <w:lang w:val="fr-FR"/>
        </w:rPr>
        <w:t xml:space="preserve">Europe </w:t>
      </w:r>
      <w:r w:rsidR="00AC01FA" w:rsidRPr="002F57E1">
        <w:rPr>
          <w:lang w:val="fr-FR"/>
        </w:rPr>
        <w:t>concernant</w:t>
      </w:r>
      <w:r w:rsidR="00EF334C">
        <w:rPr>
          <w:lang w:val="fr-FR"/>
        </w:rPr>
        <w:t xml:space="preserve"> </w:t>
      </w:r>
      <w:r w:rsidR="00DA64A4" w:rsidRPr="002F57E1">
        <w:rPr>
          <w:lang w:val="fr-FR"/>
        </w:rPr>
        <w:t xml:space="preserve">certains objectifs majeurs </w:t>
      </w:r>
      <w:r w:rsidR="00DA5455" w:rsidRPr="002F57E1">
        <w:rPr>
          <w:lang w:val="fr-FR"/>
        </w:rPr>
        <w:t xml:space="preserve">fixés </w:t>
      </w:r>
      <w:r w:rsidR="00BC0882" w:rsidRPr="002F57E1">
        <w:rPr>
          <w:lang w:val="fr-FR"/>
        </w:rPr>
        <w:t>par</w:t>
      </w:r>
      <w:r w:rsidR="00DA5455" w:rsidRPr="002F57E1">
        <w:rPr>
          <w:lang w:val="fr-FR"/>
        </w:rPr>
        <w:t xml:space="preserve"> le</w:t>
      </w:r>
      <w:r w:rsidR="00993DB2" w:rsidRPr="002F57E1">
        <w:rPr>
          <w:lang w:val="fr-FR"/>
        </w:rPr>
        <w:t xml:space="preserve"> passé </w:t>
      </w:r>
      <w:r w:rsidR="00DA64A4" w:rsidRPr="002F57E1">
        <w:rPr>
          <w:lang w:val="fr-FR"/>
        </w:rPr>
        <w:t>en termes de politique de santé</w:t>
      </w:r>
      <w:r w:rsidR="00307E11" w:rsidRPr="002F57E1">
        <w:rPr>
          <w:lang w:val="fr-FR"/>
        </w:rPr>
        <w:t xml:space="preserve">. </w:t>
      </w:r>
      <w:r w:rsidR="00DA64A4" w:rsidRPr="002F57E1">
        <w:rPr>
          <w:lang w:val="fr-FR"/>
        </w:rPr>
        <w:t xml:space="preserve">Mais la perspective </w:t>
      </w:r>
      <w:r w:rsidR="00307E11" w:rsidRPr="002F57E1">
        <w:rPr>
          <w:lang w:val="fr-FR"/>
        </w:rPr>
        <w:t>europ</w:t>
      </w:r>
      <w:r w:rsidR="00DA64A4" w:rsidRPr="002F57E1">
        <w:rPr>
          <w:lang w:val="fr-FR"/>
        </w:rPr>
        <w:t>ée</w:t>
      </w:r>
      <w:r w:rsidR="00307E11" w:rsidRPr="002F57E1">
        <w:rPr>
          <w:lang w:val="fr-FR"/>
        </w:rPr>
        <w:t>n</w:t>
      </w:r>
      <w:r w:rsidR="00DA64A4" w:rsidRPr="002F57E1">
        <w:rPr>
          <w:lang w:val="fr-FR"/>
        </w:rPr>
        <w:t>ne</w:t>
      </w:r>
      <w:r>
        <w:rPr>
          <w:lang w:val="fr-FR"/>
        </w:rPr>
        <w:t xml:space="preserve"> globale</w:t>
      </w:r>
      <w:r w:rsidR="00EF334C">
        <w:rPr>
          <w:lang w:val="fr-FR"/>
        </w:rPr>
        <w:t xml:space="preserve"> </w:t>
      </w:r>
      <w:r w:rsidR="00993DB2" w:rsidRPr="002F57E1">
        <w:rPr>
          <w:lang w:val="fr-FR"/>
        </w:rPr>
        <w:t>peut masquer</w:t>
      </w:r>
      <w:r w:rsidR="00DA64A4" w:rsidRPr="002F57E1">
        <w:rPr>
          <w:lang w:val="fr-FR"/>
        </w:rPr>
        <w:t xml:space="preserve"> certaines différences nationales importantes</w:t>
      </w:r>
      <w:r w:rsidR="00307E11" w:rsidRPr="002F57E1">
        <w:rPr>
          <w:lang w:val="fr-FR"/>
        </w:rPr>
        <w:t xml:space="preserve">. </w:t>
      </w:r>
      <w:r w:rsidR="00C31894" w:rsidRPr="002F57E1">
        <w:rPr>
          <w:lang w:val="fr-FR"/>
        </w:rPr>
        <w:t>Nos</w:t>
      </w:r>
      <w:r w:rsidR="00DA64A4" w:rsidRPr="002F57E1">
        <w:rPr>
          <w:lang w:val="fr-FR"/>
        </w:rPr>
        <w:t xml:space="preserve"> données les plus récentes prouvent </w:t>
      </w:r>
      <w:r w:rsidRPr="002F57E1">
        <w:rPr>
          <w:lang w:val="fr-FR"/>
        </w:rPr>
        <w:t xml:space="preserve">par exemple, </w:t>
      </w:r>
      <w:r>
        <w:rPr>
          <w:lang w:val="fr-FR"/>
        </w:rPr>
        <w:t>que</w:t>
      </w:r>
      <w:r w:rsidRPr="002F57E1">
        <w:rPr>
          <w:lang w:val="fr-FR"/>
        </w:rPr>
        <w:t xml:space="preserve"> </w:t>
      </w:r>
      <w:r>
        <w:rPr>
          <w:lang w:val="fr-FR"/>
        </w:rPr>
        <w:t xml:space="preserve">si </w:t>
      </w:r>
      <w:r w:rsidR="00DA64A4" w:rsidRPr="002F57E1">
        <w:rPr>
          <w:lang w:val="fr-FR"/>
        </w:rPr>
        <w:t>les tendances européennes générales</w:t>
      </w:r>
      <w:r w:rsidR="00EF334C">
        <w:rPr>
          <w:lang w:val="fr-FR"/>
        </w:rPr>
        <w:t xml:space="preserve"> </w:t>
      </w:r>
      <w:r w:rsidR="00C31894" w:rsidRPr="002F57E1">
        <w:rPr>
          <w:lang w:val="fr-FR"/>
        </w:rPr>
        <w:t xml:space="preserve">relatives aux décès par </w:t>
      </w:r>
      <w:r w:rsidR="0079326C" w:rsidRPr="002F57E1">
        <w:rPr>
          <w:lang w:val="fr-FR"/>
        </w:rPr>
        <w:t>sur</w:t>
      </w:r>
      <w:r w:rsidR="00C31894" w:rsidRPr="002F57E1">
        <w:rPr>
          <w:lang w:val="fr-FR"/>
        </w:rPr>
        <w:t>dose et aux</w:t>
      </w:r>
      <w:r w:rsidR="00DA64A4" w:rsidRPr="002F57E1">
        <w:rPr>
          <w:lang w:val="fr-FR"/>
        </w:rPr>
        <w:t xml:space="preserve"> infections au VIH </w:t>
      </w:r>
      <w:r w:rsidR="005534D6" w:rsidRPr="002F57E1">
        <w:rPr>
          <w:lang w:val="fr-FR"/>
        </w:rPr>
        <w:t xml:space="preserve">liées à </w:t>
      </w:r>
      <w:r w:rsidR="006D2FFC" w:rsidRPr="002F57E1">
        <w:rPr>
          <w:lang w:val="fr-FR"/>
        </w:rPr>
        <w:t>l’usage de</w:t>
      </w:r>
      <w:r w:rsidR="00DA64A4" w:rsidRPr="002F57E1">
        <w:rPr>
          <w:lang w:val="fr-FR"/>
        </w:rPr>
        <w:t xml:space="preserve"> drogue</w:t>
      </w:r>
      <w:r w:rsidR="00547F9E" w:rsidRPr="002F57E1">
        <w:rPr>
          <w:lang w:val="fr-FR"/>
        </w:rPr>
        <w:t>s</w:t>
      </w:r>
      <w:r w:rsidR="00DA64A4" w:rsidRPr="002F57E1">
        <w:rPr>
          <w:lang w:val="fr-FR"/>
        </w:rPr>
        <w:t xml:space="preserve"> sont encourageantes, </w:t>
      </w:r>
      <w:r>
        <w:rPr>
          <w:lang w:val="fr-FR"/>
        </w:rPr>
        <w:t xml:space="preserve">elles </w:t>
      </w:r>
      <w:r w:rsidR="00DA64A4" w:rsidRPr="002F57E1">
        <w:rPr>
          <w:lang w:val="fr-FR"/>
        </w:rPr>
        <w:t>contrast</w:t>
      </w:r>
      <w:r>
        <w:rPr>
          <w:lang w:val="fr-FR"/>
        </w:rPr>
        <w:t>e</w:t>
      </w:r>
      <w:r w:rsidR="00DA64A4" w:rsidRPr="002F57E1">
        <w:rPr>
          <w:lang w:val="fr-FR"/>
        </w:rPr>
        <w:t>nt</w:t>
      </w:r>
      <w:r w:rsidR="00EF334C">
        <w:rPr>
          <w:lang w:val="fr-FR"/>
        </w:rPr>
        <w:t xml:space="preserve"> </w:t>
      </w:r>
      <w:r w:rsidR="00DA64A4" w:rsidRPr="002F57E1">
        <w:rPr>
          <w:lang w:val="fr-FR"/>
        </w:rPr>
        <w:t xml:space="preserve">très clairement avec </w:t>
      </w:r>
      <w:r w:rsidR="00F20C7F" w:rsidRPr="002F57E1">
        <w:rPr>
          <w:lang w:val="fr-FR"/>
        </w:rPr>
        <w:t xml:space="preserve">une </w:t>
      </w:r>
      <w:r w:rsidR="00DA64A4" w:rsidRPr="002F57E1">
        <w:rPr>
          <w:lang w:val="fr-FR"/>
        </w:rPr>
        <w:t xml:space="preserve">évolution </w:t>
      </w:r>
      <w:r w:rsidR="00F20C7F" w:rsidRPr="002F57E1">
        <w:rPr>
          <w:lang w:val="fr-FR"/>
        </w:rPr>
        <w:t xml:space="preserve">préoccupante </w:t>
      </w:r>
      <w:r w:rsidR="00DA64A4" w:rsidRPr="002F57E1">
        <w:rPr>
          <w:lang w:val="fr-FR"/>
        </w:rPr>
        <w:t xml:space="preserve">dans </w:t>
      </w:r>
      <w:r w:rsidR="000875AB" w:rsidRPr="002F57E1">
        <w:rPr>
          <w:lang w:val="fr-FR"/>
        </w:rPr>
        <w:t>un petit nombre d’</w:t>
      </w:r>
      <w:r w:rsidR="00DA64A4" w:rsidRPr="002F57E1">
        <w:rPr>
          <w:lang w:val="fr-FR"/>
        </w:rPr>
        <w:t>États membres</w:t>
      </w:r>
      <w:r w:rsidR="004D040C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DA64A4" w:rsidRPr="002F57E1">
        <w:rPr>
          <w:lang w:val="fr-FR"/>
        </w:rPr>
        <w:t>.</w:t>
      </w:r>
    </w:p>
    <w:p w:rsidR="00307E11" w:rsidRPr="002F57E1" w:rsidRDefault="00975D65" w:rsidP="003C2E9B">
      <w:pPr>
        <w:pStyle w:val="newsContent"/>
        <w:rPr>
          <w:lang w:val="fr-FR"/>
        </w:rPr>
      </w:pPr>
      <w:r>
        <w:rPr>
          <w:lang w:val="fr-FR"/>
        </w:rPr>
        <w:t xml:space="preserve">Rendant compte de </w:t>
      </w:r>
      <w:r w:rsidR="00B37943" w:rsidRPr="002F57E1">
        <w:rPr>
          <w:lang w:val="fr-FR"/>
        </w:rPr>
        <w:t>cette complexité, le rap</w:t>
      </w:r>
      <w:r w:rsidR="00307E11" w:rsidRPr="002F57E1">
        <w:rPr>
          <w:lang w:val="fr-FR"/>
        </w:rPr>
        <w:t xml:space="preserve">port </w:t>
      </w:r>
      <w:r w:rsidR="00B37943" w:rsidRPr="002F57E1">
        <w:rPr>
          <w:lang w:val="fr-FR"/>
        </w:rPr>
        <w:t xml:space="preserve">donne un aperçu </w:t>
      </w:r>
      <w:r w:rsidR="00C25937">
        <w:rPr>
          <w:lang w:val="fr-FR"/>
        </w:rPr>
        <w:t xml:space="preserve">général </w:t>
      </w:r>
      <w:r w:rsidR="00B37943" w:rsidRPr="002F57E1">
        <w:rPr>
          <w:lang w:val="fr-FR"/>
        </w:rPr>
        <w:t xml:space="preserve">des tendances et </w:t>
      </w:r>
      <w:r w:rsidR="00C234FF" w:rsidRPr="002F57E1">
        <w:rPr>
          <w:lang w:val="fr-FR"/>
        </w:rPr>
        <w:t>des</w:t>
      </w:r>
      <w:r w:rsidR="00B37943" w:rsidRPr="002F57E1">
        <w:rPr>
          <w:lang w:val="fr-FR"/>
        </w:rPr>
        <w:t xml:space="preserve"> évolutions </w:t>
      </w:r>
      <w:r w:rsidR="00D12CC3" w:rsidRPr="002F57E1">
        <w:rPr>
          <w:lang w:val="fr-FR"/>
        </w:rPr>
        <w:t xml:space="preserve">à long terme concernant les drogues </w:t>
      </w:r>
      <w:r w:rsidR="0091655D" w:rsidRPr="002F57E1">
        <w:rPr>
          <w:lang w:val="fr-FR"/>
        </w:rPr>
        <w:t>à l’échelle européenne</w:t>
      </w:r>
      <w:r w:rsidR="00307E11" w:rsidRPr="002F57E1">
        <w:rPr>
          <w:lang w:val="fr-FR"/>
        </w:rPr>
        <w:t xml:space="preserve">, </w:t>
      </w:r>
      <w:r w:rsidR="00B37943" w:rsidRPr="002F57E1">
        <w:rPr>
          <w:lang w:val="fr-FR"/>
        </w:rPr>
        <w:t xml:space="preserve">tout en </w:t>
      </w:r>
      <w:r w:rsidR="00D12CC3" w:rsidRPr="002F57E1">
        <w:rPr>
          <w:lang w:val="fr-FR"/>
        </w:rPr>
        <w:t>ciblant</w:t>
      </w:r>
      <w:r w:rsidR="00B37943" w:rsidRPr="002F57E1">
        <w:rPr>
          <w:lang w:val="fr-FR"/>
        </w:rPr>
        <w:t xml:space="preserve"> les problèm</w:t>
      </w:r>
      <w:r w:rsidR="00A27A5B" w:rsidRPr="002F57E1">
        <w:rPr>
          <w:lang w:val="fr-FR"/>
        </w:rPr>
        <w:t xml:space="preserve">es </w:t>
      </w:r>
      <w:r>
        <w:rPr>
          <w:lang w:val="fr-FR"/>
        </w:rPr>
        <w:t xml:space="preserve">émergents </w:t>
      </w:r>
      <w:r w:rsidR="00B37943" w:rsidRPr="002F57E1">
        <w:rPr>
          <w:lang w:val="fr-FR"/>
        </w:rPr>
        <w:t>dans certains pay</w:t>
      </w:r>
      <w:r w:rsidR="00307E11" w:rsidRPr="002F57E1">
        <w:rPr>
          <w:lang w:val="fr-FR"/>
        </w:rPr>
        <w:t>s.</w:t>
      </w:r>
    </w:p>
    <w:p w:rsidR="00A16B77" w:rsidRPr="002F57E1" w:rsidRDefault="00BC0882" w:rsidP="003C2E9B">
      <w:pPr>
        <w:pStyle w:val="newsContent"/>
        <w:rPr>
          <w:b/>
          <w:lang w:val="fr-FR"/>
        </w:rPr>
      </w:pPr>
      <w:r w:rsidRPr="002F57E1">
        <w:rPr>
          <w:b/>
          <w:lang w:val="fr-FR"/>
        </w:rPr>
        <w:lastRenderedPageBreak/>
        <w:t>L’</w:t>
      </w:r>
      <w:r w:rsidR="001957D6" w:rsidRPr="002F57E1">
        <w:rPr>
          <w:b/>
          <w:lang w:val="fr-FR"/>
        </w:rPr>
        <w:t>héroïne</w:t>
      </w:r>
      <w:r w:rsidR="00EF334C">
        <w:rPr>
          <w:b/>
          <w:lang w:val="fr-FR"/>
        </w:rPr>
        <w:t xml:space="preserve"> </w:t>
      </w:r>
      <w:r w:rsidR="001957D6" w:rsidRPr="002F57E1">
        <w:rPr>
          <w:b/>
          <w:lang w:val="fr-FR"/>
        </w:rPr>
        <w:t>présente</w:t>
      </w:r>
      <w:r w:rsidRPr="002F57E1">
        <w:rPr>
          <w:b/>
          <w:lang w:val="fr-FR"/>
        </w:rPr>
        <w:t xml:space="preserve"> des signes de déclin</w:t>
      </w:r>
      <w:r w:rsidR="005534D6" w:rsidRPr="002F57E1">
        <w:rPr>
          <w:b/>
          <w:lang w:val="fr-FR"/>
        </w:rPr>
        <w:t xml:space="preserve"> </w:t>
      </w:r>
      <w:r w:rsidR="00BA4609">
        <w:rPr>
          <w:b/>
          <w:lang w:val="fr-FR"/>
        </w:rPr>
        <w:t>mais</w:t>
      </w:r>
      <w:r w:rsidR="00BA4609" w:rsidRPr="002F57E1">
        <w:rPr>
          <w:b/>
          <w:lang w:val="fr-FR"/>
        </w:rPr>
        <w:t xml:space="preserve"> </w:t>
      </w:r>
      <w:r w:rsidR="005B0558">
        <w:rPr>
          <w:b/>
          <w:lang w:val="fr-FR"/>
        </w:rPr>
        <w:t>d</w:t>
      </w:r>
      <w:r w:rsidRPr="002F57E1">
        <w:rPr>
          <w:b/>
          <w:lang w:val="fr-FR"/>
        </w:rPr>
        <w:t xml:space="preserve">es </w:t>
      </w:r>
      <w:r w:rsidR="006A7B43" w:rsidRPr="002F57E1">
        <w:rPr>
          <w:b/>
          <w:lang w:val="fr-FR"/>
        </w:rPr>
        <w:t xml:space="preserve">substances </w:t>
      </w:r>
      <w:r w:rsidR="00BA4609">
        <w:rPr>
          <w:b/>
          <w:lang w:val="fr-FR"/>
        </w:rPr>
        <w:t>la</w:t>
      </w:r>
      <w:r w:rsidR="00BA4609" w:rsidRPr="002F57E1">
        <w:rPr>
          <w:b/>
          <w:lang w:val="fr-FR"/>
        </w:rPr>
        <w:t xml:space="preserve"> </w:t>
      </w:r>
      <w:r w:rsidR="00D12CC3" w:rsidRPr="002F57E1">
        <w:rPr>
          <w:b/>
          <w:lang w:val="fr-FR"/>
        </w:rPr>
        <w:t>rempla</w:t>
      </w:r>
      <w:r w:rsidR="00BA4609">
        <w:rPr>
          <w:b/>
          <w:lang w:val="fr-FR"/>
        </w:rPr>
        <w:t>çant</w:t>
      </w:r>
      <w:r w:rsidR="00EF334C">
        <w:rPr>
          <w:b/>
          <w:lang w:val="fr-FR"/>
        </w:rPr>
        <w:t xml:space="preserve"> </w:t>
      </w:r>
      <w:r w:rsidR="001957D6" w:rsidRPr="002F57E1">
        <w:rPr>
          <w:b/>
          <w:lang w:val="fr-FR"/>
        </w:rPr>
        <w:t>suscitent</w:t>
      </w:r>
      <w:r w:rsidRPr="002F57E1">
        <w:rPr>
          <w:b/>
          <w:lang w:val="fr-FR"/>
        </w:rPr>
        <w:t xml:space="preserve"> des inquiétudes</w:t>
      </w:r>
    </w:p>
    <w:p w:rsidR="00A16B77" w:rsidRPr="002F57E1" w:rsidRDefault="00C93091" w:rsidP="003C2E9B">
      <w:pPr>
        <w:pStyle w:val="newsContent"/>
        <w:rPr>
          <w:lang w:val="fr-FR"/>
        </w:rPr>
      </w:pPr>
      <w:r w:rsidRPr="002F57E1">
        <w:rPr>
          <w:lang w:val="fr-FR"/>
        </w:rPr>
        <w:t xml:space="preserve">Bien que la production </w:t>
      </w:r>
      <w:r w:rsidR="001957D6" w:rsidRPr="002F57E1">
        <w:rPr>
          <w:lang w:val="fr-FR"/>
        </w:rPr>
        <w:t>mondiale</w:t>
      </w:r>
      <w:r w:rsidRPr="002F57E1">
        <w:rPr>
          <w:lang w:val="fr-FR"/>
        </w:rPr>
        <w:t xml:space="preserve"> d’héroïne reste </w:t>
      </w:r>
      <w:r w:rsidR="005534D6" w:rsidRPr="002F57E1">
        <w:rPr>
          <w:lang w:val="fr-FR"/>
        </w:rPr>
        <w:t xml:space="preserve">élevée </w:t>
      </w:r>
      <w:r w:rsidRPr="002F57E1">
        <w:rPr>
          <w:lang w:val="fr-FR"/>
        </w:rPr>
        <w:t xml:space="preserve">et que les quantités saisies en </w:t>
      </w:r>
      <w:r w:rsidR="00307E11" w:rsidRPr="002F57E1">
        <w:rPr>
          <w:b/>
          <w:lang w:val="fr-FR"/>
        </w:rPr>
        <w:t>Tur</w:t>
      </w:r>
      <w:r w:rsidRPr="002F57E1">
        <w:rPr>
          <w:b/>
          <w:lang w:val="fr-FR"/>
        </w:rPr>
        <w:t>qui</w:t>
      </w:r>
      <w:r w:rsidR="00307E11" w:rsidRPr="002F57E1">
        <w:rPr>
          <w:b/>
          <w:lang w:val="fr-FR"/>
        </w:rPr>
        <w:t>e</w:t>
      </w:r>
      <w:r w:rsidRPr="002F57E1">
        <w:rPr>
          <w:lang w:val="fr-FR"/>
        </w:rPr>
        <w:t xml:space="preserve"> soient en hausse</w:t>
      </w:r>
      <w:r w:rsidR="00307E11" w:rsidRPr="002F57E1">
        <w:rPr>
          <w:lang w:val="fr-FR"/>
        </w:rPr>
        <w:t xml:space="preserve"> (</w:t>
      </w:r>
      <w:r w:rsidR="000228DC" w:rsidRPr="002F57E1">
        <w:rPr>
          <w:lang w:val="fr-FR"/>
        </w:rPr>
        <w:t>figures</w:t>
      </w:r>
      <w:r w:rsidR="00307E11" w:rsidRPr="002F57E1">
        <w:rPr>
          <w:lang w:val="fr-FR"/>
        </w:rPr>
        <w:t xml:space="preserve"> 1.4</w:t>
      </w:r>
      <w:r w:rsidR="00F60F81" w:rsidRPr="002F57E1">
        <w:rPr>
          <w:lang w:val="fr-FR"/>
        </w:rPr>
        <w:t xml:space="preserve"> et</w:t>
      </w:r>
      <w:r w:rsidR="00307E11" w:rsidRPr="002F57E1">
        <w:rPr>
          <w:lang w:val="fr-FR"/>
        </w:rPr>
        <w:t xml:space="preserve"> 1.5), </w:t>
      </w:r>
      <w:r w:rsidR="008D7C6C" w:rsidRPr="002F57E1">
        <w:rPr>
          <w:lang w:val="fr-FR"/>
        </w:rPr>
        <w:t xml:space="preserve">les données les plus récentes </w:t>
      </w:r>
      <w:r w:rsidR="001957D6" w:rsidRPr="002F57E1">
        <w:rPr>
          <w:lang w:val="fr-FR"/>
        </w:rPr>
        <w:t xml:space="preserve">sur les demandes de traitement et les saisies en Europe </w:t>
      </w:r>
      <w:r w:rsidR="0085757F" w:rsidRPr="002F57E1">
        <w:rPr>
          <w:rStyle w:val="hps"/>
          <w:rFonts w:cs="Arial"/>
          <w:color w:val="222222"/>
          <w:lang w:val="fr-FR"/>
        </w:rPr>
        <w:t>font état d'une</w:t>
      </w:r>
      <w:r w:rsidR="00EF334C">
        <w:rPr>
          <w:rStyle w:val="hps"/>
          <w:rFonts w:cs="Arial"/>
          <w:color w:val="222222"/>
          <w:lang w:val="fr-FR"/>
        </w:rPr>
        <w:t xml:space="preserve"> </w:t>
      </w:r>
      <w:r w:rsidR="0085757F" w:rsidRPr="002F57E1">
        <w:rPr>
          <w:rStyle w:val="hps"/>
          <w:rFonts w:cs="Arial"/>
          <w:color w:val="222222"/>
          <w:lang w:val="fr-FR"/>
        </w:rPr>
        <w:t>tendance à la baisse</w:t>
      </w:r>
      <w:r w:rsidR="00EF334C">
        <w:rPr>
          <w:rStyle w:val="hps"/>
          <w:rFonts w:cs="Arial"/>
          <w:color w:val="222222"/>
          <w:lang w:val="fr-FR"/>
        </w:rPr>
        <w:t xml:space="preserve"> </w:t>
      </w:r>
      <w:r w:rsidR="00EB35A1" w:rsidRPr="002F57E1">
        <w:rPr>
          <w:rStyle w:val="hps"/>
          <w:rFonts w:cs="Arial"/>
          <w:color w:val="222222"/>
          <w:lang w:val="fr-FR"/>
        </w:rPr>
        <w:t>concernant</w:t>
      </w:r>
      <w:r w:rsidR="0085757F" w:rsidRPr="002F57E1">
        <w:rPr>
          <w:rStyle w:val="hps"/>
          <w:rFonts w:cs="Arial"/>
          <w:color w:val="222222"/>
          <w:lang w:val="fr-FR"/>
        </w:rPr>
        <w:t xml:space="preserve"> la consommation</w:t>
      </w:r>
      <w:r w:rsidR="00EF334C">
        <w:rPr>
          <w:rStyle w:val="hps"/>
          <w:rFonts w:cs="Arial"/>
          <w:color w:val="222222"/>
          <w:lang w:val="fr-FR"/>
        </w:rPr>
        <w:t xml:space="preserve"> </w:t>
      </w:r>
      <w:r w:rsidR="0085757F" w:rsidRPr="002F57E1">
        <w:rPr>
          <w:rStyle w:val="hps"/>
          <w:rFonts w:cs="Arial"/>
          <w:color w:val="222222"/>
          <w:lang w:val="fr-FR"/>
        </w:rPr>
        <w:t>et</w:t>
      </w:r>
      <w:r w:rsidR="00EF334C">
        <w:rPr>
          <w:rStyle w:val="hps"/>
          <w:rFonts w:cs="Arial"/>
          <w:color w:val="222222"/>
          <w:lang w:val="fr-FR"/>
        </w:rPr>
        <w:t xml:space="preserve"> </w:t>
      </w:r>
      <w:r w:rsidR="0085757F" w:rsidRPr="002F57E1">
        <w:rPr>
          <w:rStyle w:val="hps"/>
          <w:rFonts w:cs="Arial"/>
          <w:color w:val="222222"/>
          <w:lang w:val="fr-FR"/>
        </w:rPr>
        <w:t>la disponibilité</w:t>
      </w:r>
      <w:r w:rsidR="00EF334C">
        <w:rPr>
          <w:rStyle w:val="hps"/>
          <w:rFonts w:cs="Arial"/>
          <w:color w:val="222222"/>
          <w:lang w:val="fr-FR"/>
        </w:rPr>
        <w:t xml:space="preserve"> </w:t>
      </w:r>
      <w:r w:rsidR="0085757F" w:rsidRPr="002F57E1">
        <w:rPr>
          <w:rStyle w:val="hps"/>
          <w:rFonts w:cs="Arial"/>
          <w:color w:val="222222"/>
          <w:lang w:val="fr-FR"/>
        </w:rPr>
        <w:t>de</w:t>
      </w:r>
      <w:r w:rsidR="008D7C6C" w:rsidRPr="002F57E1">
        <w:rPr>
          <w:lang w:val="fr-FR"/>
        </w:rPr>
        <w:t xml:space="preserve"> cette dro</w:t>
      </w:r>
      <w:r w:rsidR="00307E11" w:rsidRPr="002F57E1">
        <w:rPr>
          <w:lang w:val="fr-FR"/>
        </w:rPr>
        <w:t>g</w:t>
      </w:r>
      <w:r w:rsidR="008D7C6C" w:rsidRPr="002F57E1">
        <w:rPr>
          <w:lang w:val="fr-FR"/>
        </w:rPr>
        <w:t>ue. Le nomb</w:t>
      </w:r>
      <w:r w:rsidR="00307E11" w:rsidRPr="002F57E1">
        <w:rPr>
          <w:lang w:val="fr-FR"/>
        </w:rPr>
        <w:t>r</w:t>
      </w:r>
      <w:r w:rsidR="008D7C6C" w:rsidRPr="002F57E1">
        <w:rPr>
          <w:lang w:val="fr-FR"/>
        </w:rPr>
        <w:t>e</w:t>
      </w:r>
      <w:r w:rsidR="004D040C">
        <w:rPr>
          <w:lang w:val="fr-FR"/>
        </w:rPr>
        <w:t xml:space="preserve"> </w:t>
      </w:r>
      <w:r w:rsidR="0085757F" w:rsidRPr="002F57E1">
        <w:rPr>
          <w:lang w:val="fr-FR"/>
        </w:rPr>
        <w:t xml:space="preserve">de </w:t>
      </w:r>
      <w:r w:rsidR="001957D6" w:rsidRPr="002F57E1">
        <w:rPr>
          <w:lang w:val="fr-FR"/>
        </w:rPr>
        <w:t xml:space="preserve">consommateurs d’héroïne entrant en </w:t>
      </w:r>
      <w:r w:rsidR="00FB06B5" w:rsidRPr="002F57E1">
        <w:rPr>
          <w:lang w:val="fr-FR"/>
        </w:rPr>
        <w:t xml:space="preserve">traitement </w:t>
      </w:r>
      <w:r w:rsidR="001957D6" w:rsidRPr="002F57E1">
        <w:rPr>
          <w:lang w:val="fr-FR"/>
        </w:rPr>
        <w:t xml:space="preserve">pour la première fois </w:t>
      </w:r>
      <w:r w:rsidR="00FB06B5" w:rsidRPr="002F57E1">
        <w:rPr>
          <w:lang w:val="fr-FR"/>
        </w:rPr>
        <w:t xml:space="preserve">a chuté </w:t>
      </w:r>
      <w:r w:rsidR="00D03820">
        <w:rPr>
          <w:lang w:val="fr-FR"/>
        </w:rPr>
        <w:t xml:space="preserve">d’un maximum </w:t>
      </w:r>
      <w:r w:rsidR="00FB06B5" w:rsidRPr="002F57E1">
        <w:rPr>
          <w:lang w:val="fr-FR"/>
        </w:rPr>
        <w:t>de 59 000 en 2007 à 31 000 e</w:t>
      </w:r>
      <w:r w:rsidR="00307E11" w:rsidRPr="002F57E1">
        <w:rPr>
          <w:lang w:val="fr-FR"/>
        </w:rPr>
        <w:t xml:space="preserve">n 2012. </w:t>
      </w:r>
      <w:r w:rsidR="005B396F" w:rsidRPr="002F57E1">
        <w:rPr>
          <w:lang w:val="fr-FR"/>
        </w:rPr>
        <w:t xml:space="preserve">Les données relatives </w:t>
      </w:r>
      <w:r w:rsidR="00975D65">
        <w:rPr>
          <w:lang w:val="fr-FR"/>
        </w:rPr>
        <w:t>au trafic</w:t>
      </w:r>
      <w:r w:rsidR="005B396F" w:rsidRPr="002F57E1">
        <w:rPr>
          <w:lang w:val="fr-FR"/>
        </w:rPr>
        <w:t xml:space="preserve"> </w:t>
      </w:r>
      <w:r w:rsidR="0085757F" w:rsidRPr="002F57E1">
        <w:rPr>
          <w:lang w:val="fr-FR"/>
        </w:rPr>
        <w:t xml:space="preserve">montrent </w:t>
      </w:r>
      <w:r w:rsidR="005B396F" w:rsidRPr="002F57E1">
        <w:rPr>
          <w:lang w:val="fr-FR"/>
        </w:rPr>
        <w:t>que la quantité d’héroïne saisie e</w:t>
      </w:r>
      <w:r w:rsidR="00307E11" w:rsidRPr="002F57E1">
        <w:rPr>
          <w:lang w:val="fr-FR"/>
        </w:rPr>
        <w:t>n 2012 (5</w:t>
      </w:r>
      <w:r w:rsidR="0085757F" w:rsidRPr="002F57E1">
        <w:rPr>
          <w:lang w:val="fr-FR"/>
        </w:rPr>
        <w:t> </w:t>
      </w:r>
      <w:r w:rsidR="00307E11" w:rsidRPr="002F57E1">
        <w:rPr>
          <w:lang w:val="fr-FR"/>
        </w:rPr>
        <w:t xml:space="preserve">tonnes) </w:t>
      </w:r>
      <w:r w:rsidR="005B0558">
        <w:rPr>
          <w:lang w:val="fr-FR"/>
        </w:rPr>
        <w:t xml:space="preserve">est </w:t>
      </w:r>
      <w:r w:rsidR="002E631E" w:rsidRPr="002F57E1">
        <w:rPr>
          <w:lang w:val="fr-FR"/>
        </w:rPr>
        <w:t>la plus faible</w:t>
      </w:r>
      <w:r w:rsidR="00EF334C">
        <w:rPr>
          <w:lang w:val="fr-FR"/>
        </w:rPr>
        <w:t xml:space="preserve"> </w:t>
      </w:r>
      <w:r w:rsidR="005B0558">
        <w:rPr>
          <w:lang w:val="fr-FR"/>
        </w:rPr>
        <w:t xml:space="preserve">enregistrée </w:t>
      </w:r>
      <w:r w:rsidR="00975D65">
        <w:rPr>
          <w:lang w:val="fr-FR"/>
        </w:rPr>
        <w:t>au cours</w:t>
      </w:r>
      <w:r w:rsidR="005B0558">
        <w:rPr>
          <w:lang w:val="fr-FR"/>
        </w:rPr>
        <w:t xml:space="preserve"> </w:t>
      </w:r>
      <w:r w:rsidR="005B396F" w:rsidRPr="002F57E1">
        <w:rPr>
          <w:lang w:val="fr-FR"/>
        </w:rPr>
        <w:t>de la dernière décenni</w:t>
      </w:r>
      <w:r w:rsidR="00307E11" w:rsidRPr="002F57E1">
        <w:rPr>
          <w:lang w:val="fr-FR"/>
        </w:rPr>
        <w:t>e</w:t>
      </w:r>
      <w:r w:rsidR="00EF4354" w:rsidRPr="002F57E1">
        <w:rPr>
          <w:lang w:val="fr-FR"/>
        </w:rPr>
        <w:t xml:space="preserve">, </w:t>
      </w:r>
      <w:r w:rsidR="005B396F" w:rsidRPr="002F57E1">
        <w:rPr>
          <w:lang w:val="fr-FR"/>
        </w:rPr>
        <w:t xml:space="preserve">soit </w:t>
      </w:r>
      <w:r w:rsidR="0085757F" w:rsidRPr="002F57E1">
        <w:rPr>
          <w:lang w:val="fr-FR"/>
        </w:rPr>
        <w:t>la moitié de</w:t>
      </w:r>
      <w:r w:rsidR="002B0998" w:rsidRPr="002F57E1">
        <w:rPr>
          <w:lang w:val="fr-FR"/>
        </w:rPr>
        <w:t xml:space="preserve"> la quantité saisie en</w:t>
      </w:r>
      <w:r w:rsidR="0085757F" w:rsidRPr="002F57E1">
        <w:rPr>
          <w:lang w:val="fr-FR"/>
        </w:rPr>
        <w:t> </w:t>
      </w:r>
      <w:r w:rsidR="00EF4354" w:rsidRPr="002F57E1">
        <w:rPr>
          <w:lang w:val="fr-FR"/>
        </w:rPr>
        <w:t>2002 (</w:t>
      </w:r>
      <w:r w:rsidR="0085757F" w:rsidRPr="002F57E1">
        <w:rPr>
          <w:lang w:val="fr-FR"/>
        </w:rPr>
        <w:t>10 </w:t>
      </w:r>
      <w:r w:rsidR="00EF4354" w:rsidRPr="002F57E1">
        <w:rPr>
          <w:lang w:val="fr-FR"/>
        </w:rPr>
        <w:t xml:space="preserve">tonnes). </w:t>
      </w:r>
      <w:r w:rsidR="00AB3F60" w:rsidRPr="002F57E1">
        <w:rPr>
          <w:lang w:val="fr-FR"/>
        </w:rPr>
        <w:t>Le nomb</w:t>
      </w:r>
      <w:r w:rsidR="00307E11" w:rsidRPr="002F57E1">
        <w:rPr>
          <w:lang w:val="fr-FR"/>
        </w:rPr>
        <w:t>r</w:t>
      </w:r>
      <w:r w:rsidR="00AB3F60" w:rsidRPr="002F57E1">
        <w:rPr>
          <w:lang w:val="fr-FR"/>
        </w:rPr>
        <w:t>e</w:t>
      </w:r>
      <w:r w:rsidR="00EF334C">
        <w:rPr>
          <w:lang w:val="fr-FR"/>
        </w:rPr>
        <w:t xml:space="preserve"> </w:t>
      </w:r>
      <w:r w:rsidR="00AB3F60" w:rsidRPr="002F57E1">
        <w:rPr>
          <w:lang w:val="fr-FR"/>
        </w:rPr>
        <w:t>de saisie</w:t>
      </w:r>
      <w:r w:rsidR="002B0998" w:rsidRPr="002F57E1">
        <w:rPr>
          <w:lang w:val="fr-FR"/>
        </w:rPr>
        <w:t>s</w:t>
      </w:r>
      <w:r w:rsidR="00AB3F60" w:rsidRPr="002F57E1">
        <w:rPr>
          <w:lang w:val="fr-FR"/>
        </w:rPr>
        <w:t xml:space="preserve"> d’héroïne a également baissé</w:t>
      </w:r>
      <w:r w:rsidR="001618FC" w:rsidRPr="002F57E1">
        <w:rPr>
          <w:lang w:val="fr-FR"/>
        </w:rPr>
        <w:t>, passant</w:t>
      </w:r>
      <w:r w:rsidR="00AB3F60" w:rsidRPr="002F57E1">
        <w:rPr>
          <w:lang w:val="fr-FR"/>
        </w:rPr>
        <w:t xml:space="preserve"> de 50 000 en 2010 à 32 000 en 2012.</w:t>
      </w:r>
    </w:p>
    <w:p w:rsidR="00A16B77" w:rsidRPr="002F57E1" w:rsidRDefault="00152FD2" w:rsidP="003C2E9B">
      <w:pPr>
        <w:pStyle w:val="newsContent"/>
        <w:rPr>
          <w:lang w:val="fr-FR"/>
        </w:rPr>
      </w:pPr>
      <w:r w:rsidRPr="002F57E1">
        <w:rPr>
          <w:lang w:val="fr-FR"/>
        </w:rPr>
        <w:t>On estime à 1,</w:t>
      </w:r>
      <w:r w:rsidR="0044259A" w:rsidRPr="002F57E1">
        <w:rPr>
          <w:lang w:val="fr-FR"/>
        </w:rPr>
        <w:t>3</w:t>
      </w:r>
      <w:r w:rsidR="0016352C" w:rsidRPr="002F57E1">
        <w:rPr>
          <w:lang w:val="fr-FR"/>
        </w:rPr>
        <w:t> </w:t>
      </w:r>
      <w:r w:rsidR="0044259A" w:rsidRPr="002F57E1">
        <w:rPr>
          <w:lang w:val="fr-FR"/>
        </w:rPr>
        <w:t>million</w:t>
      </w:r>
      <w:r w:rsidRPr="002F57E1">
        <w:rPr>
          <w:lang w:val="fr-FR"/>
        </w:rPr>
        <w:t xml:space="preserve"> l</w:t>
      </w:r>
      <w:r w:rsidR="00A974BE" w:rsidRPr="002F57E1">
        <w:rPr>
          <w:lang w:val="fr-FR"/>
        </w:rPr>
        <w:t>e nombre d’utilisateurs d’opi</w:t>
      </w:r>
      <w:r w:rsidR="005B0558">
        <w:rPr>
          <w:lang w:val="fr-FR"/>
        </w:rPr>
        <w:t>acé</w:t>
      </w:r>
      <w:r w:rsidRPr="002F57E1">
        <w:rPr>
          <w:lang w:val="fr-FR"/>
        </w:rPr>
        <w:t>s à problème e</w:t>
      </w:r>
      <w:r w:rsidR="0044259A" w:rsidRPr="002F57E1">
        <w:rPr>
          <w:lang w:val="fr-FR"/>
        </w:rPr>
        <w:t xml:space="preserve">n Europe, </w:t>
      </w:r>
      <w:r w:rsidR="004F3F98" w:rsidRPr="002F57E1">
        <w:rPr>
          <w:lang w:val="fr-FR"/>
        </w:rPr>
        <w:t>la plupart étant des héroïnomane</w:t>
      </w:r>
      <w:r w:rsidR="002A70AB" w:rsidRPr="002F57E1">
        <w:rPr>
          <w:lang w:val="fr-FR"/>
        </w:rPr>
        <w:t>s</w:t>
      </w:r>
      <w:r w:rsidR="0090704E" w:rsidRPr="002F57E1">
        <w:rPr>
          <w:lang w:val="fr-FR"/>
        </w:rPr>
        <w:t>. L</w:t>
      </w:r>
      <w:r w:rsidR="00A80952" w:rsidRPr="002F57E1">
        <w:rPr>
          <w:lang w:val="fr-FR"/>
        </w:rPr>
        <w:t>e</w:t>
      </w:r>
      <w:r w:rsidR="0090704E" w:rsidRPr="002F57E1">
        <w:rPr>
          <w:lang w:val="fr-FR"/>
        </w:rPr>
        <w:t xml:space="preserve"> rap</w:t>
      </w:r>
      <w:r w:rsidR="0044259A" w:rsidRPr="002F57E1">
        <w:rPr>
          <w:lang w:val="fr-FR"/>
        </w:rPr>
        <w:t xml:space="preserve">port </w:t>
      </w:r>
      <w:r w:rsidR="00043BD1">
        <w:rPr>
          <w:lang w:val="fr-FR"/>
        </w:rPr>
        <w:t>évoque également les</w:t>
      </w:r>
      <w:r w:rsidR="0090704E" w:rsidRPr="002F57E1">
        <w:rPr>
          <w:lang w:val="fr-FR"/>
        </w:rPr>
        <w:t xml:space="preserve"> inquiétude</w:t>
      </w:r>
      <w:r w:rsidR="002A70AB" w:rsidRPr="002F57E1">
        <w:rPr>
          <w:lang w:val="fr-FR"/>
        </w:rPr>
        <w:t>s</w:t>
      </w:r>
      <w:r w:rsidR="00EF334C">
        <w:rPr>
          <w:lang w:val="fr-FR"/>
        </w:rPr>
        <w:t xml:space="preserve"> </w:t>
      </w:r>
      <w:r w:rsidR="008A7450" w:rsidRPr="002F57E1">
        <w:rPr>
          <w:lang w:val="fr-FR"/>
        </w:rPr>
        <w:t>quant au remplacement de l’héroïne par d’autres substances</w:t>
      </w:r>
      <w:r w:rsidR="00A974BE" w:rsidRPr="002F57E1">
        <w:rPr>
          <w:lang w:val="fr-FR"/>
        </w:rPr>
        <w:t>,</w:t>
      </w:r>
      <w:r w:rsidR="008A7450" w:rsidRPr="002F57E1">
        <w:rPr>
          <w:lang w:val="fr-FR"/>
        </w:rPr>
        <w:t xml:space="preserve"> telles que </w:t>
      </w:r>
      <w:r w:rsidR="005B0558">
        <w:rPr>
          <w:lang w:val="fr-FR"/>
        </w:rPr>
        <w:t>l</w:t>
      </w:r>
      <w:r w:rsidR="008A7450" w:rsidRPr="002F57E1">
        <w:rPr>
          <w:lang w:val="fr-FR"/>
        </w:rPr>
        <w:t>es opi</w:t>
      </w:r>
      <w:r w:rsidR="005B0558">
        <w:rPr>
          <w:lang w:val="fr-FR"/>
        </w:rPr>
        <w:t>acé</w:t>
      </w:r>
      <w:r w:rsidR="008A7450" w:rsidRPr="002F57E1">
        <w:rPr>
          <w:lang w:val="fr-FR"/>
        </w:rPr>
        <w:t>s de</w:t>
      </w:r>
      <w:r w:rsidR="0044259A" w:rsidRPr="002F57E1">
        <w:rPr>
          <w:lang w:val="fr-FR"/>
        </w:rPr>
        <w:t xml:space="preserve"> synth</w:t>
      </w:r>
      <w:r w:rsidR="008A7450" w:rsidRPr="002F57E1">
        <w:rPr>
          <w:lang w:val="fr-FR"/>
        </w:rPr>
        <w:t>èse</w:t>
      </w:r>
      <w:r w:rsidR="0044259A" w:rsidRPr="002F57E1">
        <w:rPr>
          <w:lang w:val="fr-FR"/>
        </w:rPr>
        <w:t xml:space="preserve">. </w:t>
      </w:r>
      <w:r w:rsidR="00E273B5" w:rsidRPr="002F57E1">
        <w:rPr>
          <w:lang w:val="fr-FR"/>
        </w:rPr>
        <w:t xml:space="preserve">Produits de manière illégale ou </w:t>
      </w:r>
      <w:r w:rsidR="005B0558">
        <w:rPr>
          <w:lang w:val="fr-FR"/>
        </w:rPr>
        <w:t>détournés</w:t>
      </w:r>
      <w:r w:rsidR="005B0558" w:rsidRPr="002F57E1">
        <w:rPr>
          <w:lang w:val="fr-FR"/>
        </w:rPr>
        <w:t xml:space="preserve"> </w:t>
      </w:r>
      <w:r w:rsidR="00E273B5" w:rsidRPr="002F57E1">
        <w:rPr>
          <w:lang w:val="fr-FR"/>
        </w:rPr>
        <w:t>de sources médicale</w:t>
      </w:r>
      <w:r w:rsidR="0044259A" w:rsidRPr="002F57E1">
        <w:rPr>
          <w:lang w:val="fr-FR"/>
        </w:rPr>
        <w:t xml:space="preserve">s, </w:t>
      </w:r>
      <w:r w:rsidR="00E273B5" w:rsidRPr="002F57E1">
        <w:rPr>
          <w:lang w:val="fr-FR"/>
        </w:rPr>
        <w:t xml:space="preserve">ces derniers contiennent des </w:t>
      </w:r>
      <w:r w:rsidR="0044259A" w:rsidRPr="002F57E1">
        <w:rPr>
          <w:lang w:val="fr-FR"/>
        </w:rPr>
        <w:t>fentanyls</w:t>
      </w:r>
      <w:r w:rsidR="00E273B5" w:rsidRPr="002F57E1">
        <w:rPr>
          <w:lang w:val="fr-FR"/>
        </w:rPr>
        <w:t xml:space="preserve"> extrêmement puissants</w:t>
      </w:r>
      <w:r w:rsidR="00EF334C">
        <w:rPr>
          <w:lang w:val="fr-FR"/>
        </w:rPr>
        <w:t xml:space="preserve"> </w:t>
      </w:r>
      <w:r w:rsidR="00E273B5" w:rsidRPr="002F57E1">
        <w:rPr>
          <w:lang w:val="fr-FR"/>
        </w:rPr>
        <w:t>et des</w:t>
      </w:r>
      <w:r w:rsidR="0044259A" w:rsidRPr="002F57E1">
        <w:rPr>
          <w:lang w:val="fr-FR"/>
        </w:rPr>
        <w:t xml:space="preserve"> substances </w:t>
      </w:r>
      <w:r w:rsidR="00E273B5" w:rsidRPr="002F57E1">
        <w:rPr>
          <w:lang w:val="fr-FR"/>
        </w:rPr>
        <w:t>utilisées dans les traitements de substitution aux opi</w:t>
      </w:r>
      <w:r w:rsidR="005B0558">
        <w:rPr>
          <w:lang w:val="fr-FR"/>
        </w:rPr>
        <w:t>acé</w:t>
      </w:r>
      <w:r w:rsidR="00E273B5" w:rsidRPr="002F57E1">
        <w:rPr>
          <w:lang w:val="fr-FR"/>
        </w:rPr>
        <w:t>s</w:t>
      </w:r>
      <w:r w:rsidR="000228DC" w:rsidRPr="002F57E1">
        <w:rPr>
          <w:lang w:val="fr-FR"/>
        </w:rPr>
        <w:t xml:space="preserve"> (</w:t>
      </w:r>
      <w:r w:rsidR="00BC0882" w:rsidRPr="002F57E1">
        <w:rPr>
          <w:lang w:val="fr-FR"/>
        </w:rPr>
        <w:t>TSO</w:t>
      </w:r>
      <w:r w:rsidR="0044259A" w:rsidRPr="002F57E1">
        <w:rPr>
          <w:lang w:val="fr-FR"/>
        </w:rPr>
        <w:t>) (</w:t>
      </w:r>
      <w:r w:rsidR="00E273B5" w:rsidRPr="002F57E1">
        <w:rPr>
          <w:lang w:val="fr-FR"/>
        </w:rPr>
        <w:t>par ex.</w:t>
      </w:r>
      <w:r w:rsidR="00EF334C">
        <w:rPr>
          <w:lang w:val="fr-FR"/>
        </w:rPr>
        <w:t xml:space="preserve"> </w:t>
      </w:r>
      <w:r w:rsidR="00E273B5" w:rsidRPr="002F57E1">
        <w:rPr>
          <w:lang w:val="fr-FR"/>
        </w:rPr>
        <w:t>méthadone, buprénorphine</w:t>
      </w:r>
      <w:r w:rsidR="00043BD1">
        <w:rPr>
          <w:lang w:val="fr-FR"/>
        </w:rPr>
        <w:t xml:space="preserve"> haut dosage</w:t>
      </w:r>
      <w:r w:rsidR="00E273B5" w:rsidRPr="002F57E1">
        <w:rPr>
          <w:lang w:val="fr-FR"/>
        </w:rPr>
        <w:t>). E</w:t>
      </w:r>
      <w:r w:rsidR="0044259A" w:rsidRPr="002F57E1">
        <w:rPr>
          <w:lang w:val="fr-FR"/>
        </w:rPr>
        <w:t>n 2012, 17</w:t>
      </w:r>
      <w:r w:rsidR="0016352C" w:rsidRPr="002F57E1">
        <w:rPr>
          <w:lang w:val="fr-FR"/>
        </w:rPr>
        <w:t> </w:t>
      </w:r>
      <w:r w:rsidR="00CA1130" w:rsidRPr="002F57E1">
        <w:rPr>
          <w:lang w:val="fr-FR"/>
        </w:rPr>
        <w:t>pay</w:t>
      </w:r>
      <w:r w:rsidR="0044259A" w:rsidRPr="002F57E1">
        <w:rPr>
          <w:lang w:val="fr-FR"/>
        </w:rPr>
        <w:t xml:space="preserve">s </w:t>
      </w:r>
      <w:r w:rsidR="002319B7" w:rsidRPr="002F57E1">
        <w:rPr>
          <w:lang w:val="fr-FR"/>
        </w:rPr>
        <w:t xml:space="preserve">ont indiqué que </w:t>
      </w:r>
      <w:r w:rsidR="00FA27F7">
        <w:rPr>
          <w:lang w:val="fr-FR"/>
        </w:rPr>
        <w:t xml:space="preserve">pour </w:t>
      </w:r>
      <w:r w:rsidR="0016352C" w:rsidRPr="002F57E1">
        <w:rPr>
          <w:lang w:val="fr-FR"/>
        </w:rPr>
        <w:t xml:space="preserve">plus de </w:t>
      </w:r>
      <w:r w:rsidR="002319B7" w:rsidRPr="002F57E1">
        <w:rPr>
          <w:lang w:val="fr-FR"/>
        </w:rPr>
        <w:t xml:space="preserve">10 % des </w:t>
      </w:r>
      <w:r w:rsidR="00FA27F7" w:rsidRPr="00FA27F7">
        <w:rPr>
          <w:lang w:val="fr-FR"/>
        </w:rPr>
        <w:t>personnes prises en charge pour la pr</w:t>
      </w:r>
      <w:r w:rsidR="00E40F4B">
        <w:rPr>
          <w:lang w:val="fr-FR"/>
        </w:rPr>
        <w:t xml:space="preserve">emière fois concernant </w:t>
      </w:r>
      <w:r w:rsidR="00FA27F7" w:rsidRPr="00FA27F7">
        <w:rPr>
          <w:lang w:val="fr-FR"/>
        </w:rPr>
        <w:t>un problème lié à leur consommation d’opiacés</w:t>
      </w:r>
      <w:r w:rsidR="004D040C">
        <w:rPr>
          <w:lang w:val="fr-FR"/>
        </w:rPr>
        <w:t>,</w:t>
      </w:r>
      <w:r w:rsidR="00FA27F7" w:rsidRPr="00FA27F7">
        <w:rPr>
          <w:lang w:val="fr-FR"/>
        </w:rPr>
        <w:t xml:space="preserve"> le produit en cause était un autre </w:t>
      </w:r>
      <w:r w:rsidR="00F07D47" w:rsidRPr="002F57E1">
        <w:rPr>
          <w:lang w:val="fr-FR"/>
        </w:rPr>
        <w:t>que l’héroïne</w:t>
      </w:r>
      <w:r w:rsidR="0044259A" w:rsidRPr="002F57E1">
        <w:rPr>
          <w:lang w:val="fr-FR"/>
        </w:rPr>
        <w:t xml:space="preserve"> (</w:t>
      </w:r>
      <w:r w:rsidR="000228DC" w:rsidRPr="002F57E1">
        <w:rPr>
          <w:lang w:val="fr-FR"/>
        </w:rPr>
        <w:t>figure</w:t>
      </w:r>
      <w:r w:rsidR="0044259A" w:rsidRPr="002F57E1">
        <w:rPr>
          <w:lang w:val="fr-FR"/>
        </w:rPr>
        <w:t xml:space="preserve"> 2.9</w:t>
      </w:r>
      <w:r w:rsidR="000735BD" w:rsidRPr="002F57E1">
        <w:rPr>
          <w:lang w:val="fr-FR"/>
        </w:rPr>
        <w:t>).</w:t>
      </w:r>
    </w:p>
    <w:p w:rsidR="0044259A" w:rsidRPr="002F57E1" w:rsidRDefault="003C2E9B" w:rsidP="003C2E9B">
      <w:pPr>
        <w:pStyle w:val="newsContent"/>
        <w:rPr>
          <w:lang w:val="fr-FR"/>
        </w:rPr>
      </w:pPr>
      <w:r w:rsidRPr="002F57E1">
        <w:rPr>
          <w:b/>
          <w:lang w:val="fr-FR"/>
        </w:rPr>
        <w:t>D</w:t>
      </w:r>
      <w:r w:rsidR="009B3A3B" w:rsidRPr="002F57E1">
        <w:rPr>
          <w:b/>
          <w:lang w:val="fr-FR"/>
        </w:rPr>
        <w:t>écès liés à la consommation de drogues</w:t>
      </w:r>
      <w:r w:rsidR="00EF334C">
        <w:rPr>
          <w:b/>
          <w:lang w:val="fr-FR"/>
        </w:rPr>
        <w:t xml:space="preserve"> </w:t>
      </w:r>
      <w:r w:rsidR="00157767" w:rsidRPr="002F57E1">
        <w:rPr>
          <w:b/>
          <w:lang w:val="fr-FR"/>
        </w:rPr>
        <w:t>:</w:t>
      </w:r>
      <w:r w:rsidR="00EF334C">
        <w:rPr>
          <w:b/>
          <w:lang w:val="fr-FR"/>
        </w:rPr>
        <w:t xml:space="preserve"> </w:t>
      </w:r>
      <w:r w:rsidR="009B3A3B" w:rsidRPr="002F57E1">
        <w:rPr>
          <w:b/>
          <w:lang w:val="fr-FR"/>
        </w:rPr>
        <w:t>baisse globale</w:t>
      </w:r>
      <w:r w:rsidR="00AE3450" w:rsidRPr="002F57E1">
        <w:rPr>
          <w:b/>
          <w:lang w:val="fr-FR"/>
        </w:rPr>
        <w:t>,</w:t>
      </w:r>
      <w:r w:rsidR="009B3A3B" w:rsidRPr="002F57E1">
        <w:rPr>
          <w:b/>
          <w:lang w:val="fr-FR"/>
        </w:rPr>
        <w:t xml:space="preserve"> mais hausse</w:t>
      </w:r>
      <w:r w:rsidR="00EF334C">
        <w:rPr>
          <w:b/>
          <w:lang w:val="fr-FR"/>
        </w:rPr>
        <w:t xml:space="preserve"> </w:t>
      </w:r>
      <w:r w:rsidR="009B3A3B" w:rsidRPr="002F57E1">
        <w:rPr>
          <w:b/>
          <w:lang w:val="fr-FR"/>
        </w:rPr>
        <w:t>dan</w:t>
      </w:r>
      <w:r w:rsidR="0044259A" w:rsidRPr="002F57E1">
        <w:rPr>
          <w:b/>
          <w:lang w:val="fr-FR"/>
        </w:rPr>
        <w:t>s</w:t>
      </w:r>
      <w:r w:rsidR="009B3A3B" w:rsidRPr="002F57E1">
        <w:rPr>
          <w:b/>
          <w:lang w:val="fr-FR"/>
        </w:rPr>
        <w:t xml:space="preserve"> certains pays</w:t>
      </w:r>
    </w:p>
    <w:p w:rsidR="004C54D4" w:rsidRPr="00C25937" w:rsidRDefault="00E33AD1" w:rsidP="003C2E9B">
      <w:pPr>
        <w:pStyle w:val="newsContent"/>
        <w:rPr>
          <w:rFonts w:cs="Arial"/>
          <w:color w:val="auto"/>
          <w:lang w:val="fr-FR"/>
        </w:rPr>
      </w:pPr>
      <w:r w:rsidRPr="00C25937">
        <w:rPr>
          <w:color w:val="auto"/>
          <w:lang w:val="fr-FR"/>
        </w:rPr>
        <w:t>La consommation de drogues est l’une des principales causes de mortalité chez les jeunes en Europe</w:t>
      </w:r>
      <w:r w:rsidR="0044259A" w:rsidRPr="00C25937">
        <w:rPr>
          <w:color w:val="auto"/>
          <w:lang w:val="fr-FR"/>
        </w:rPr>
        <w:t xml:space="preserve">, </w:t>
      </w:r>
      <w:r w:rsidRPr="00C25937">
        <w:rPr>
          <w:color w:val="auto"/>
          <w:lang w:val="fr-FR"/>
        </w:rPr>
        <w:t>que ce soit directement par</w:t>
      </w:r>
      <w:r w:rsidR="00EF334C" w:rsidRPr="00C25937">
        <w:rPr>
          <w:color w:val="auto"/>
          <w:lang w:val="fr-FR"/>
        </w:rPr>
        <w:t xml:space="preserve"> </w:t>
      </w:r>
      <w:r w:rsidR="007A5357" w:rsidRPr="00C25937">
        <w:rPr>
          <w:color w:val="auto"/>
          <w:lang w:val="fr-FR"/>
        </w:rPr>
        <w:t>surdose</w:t>
      </w:r>
      <w:r w:rsidR="00EF334C" w:rsidRPr="00C25937">
        <w:rPr>
          <w:color w:val="auto"/>
          <w:lang w:val="fr-FR"/>
        </w:rPr>
        <w:t xml:space="preserve"> </w:t>
      </w:r>
      <w:r w:rsidR="0044259A" w:rsidRPr="00C25937">
        <w:rPr>
          <w:color w:val="auto"/>
          <w:lang w:val="fr-FR"/>
        </w:rPr>
        <w:t>(</w:t>
      </w:r>
      <w:r w:rsidRPr="00C25937">
        <w:rPr>
          <w:color w:val="auto"/>
          <w:lang w:val="fr-FR"/>
        </w:rPr>
        <w:t xml:space="preserve">décès liés à </w:t>
      </w:r>
      <w:r w:rsidR="007A5357" w:rsidRPr="00C25937">
        <w:rPr>
          <w:color w:val="auto"/>
          <w:lang w:val="fr-FR"/>
        </w:rPr>
        <w:t>l’usage de</w:t>
      </w:r>
      <w:r w:rsidRPr="00C25937">
        <w:rPr>
          <w:color w:val="auto"/>
          <w:lang w:val="fr-FR"/>
        </w:rPr>
        <w:t xml:space="preserve"> drogue</w:t>
      </w:r>
      <w:r w:rsidR="007A5357" w:rsidRPr="00C25937">
        <w:rPr>
          <w:color w:val="auto"/>
          <w:lang w:val="fr-FR"/>
        </w:rPr>
        <w:t>s</w:t>
      </w:r>
      <w:r w:rsidR="0044259A" w:rsidRPr="00C25937">
        <w:rPr>
          <w:color w:val="auto"/>
          <w:lang w:val="fr-FR"/>
        </w:rPr>
        <w:t xml:space="preserve">) </w:t>
      </w:r>
      <w:r w:rsidRPr="00C25937">
        <w:rPr>
          <w:color w:val="auto"/>
          <w:lang w:val="fr-FR"/>
        </w:rPr>
        <w:t>ou indirectement</w:t>
      </w:r>
      <w:r w:rsidR="00EF334C" w:rsidRPr="00C25937">
        <w:rPr>
          <w:color w:val="auto"/>
          <w:lang w:val="fr-FR"/>
        </w:rPr>
        <w:t xml:space="preserve"> </w:t>
      </w:r>
      <w:r w:rsidRPr="00C25937">
        <w:rPr>
          <w:color w:val="auto"/>
          <w:lang w:val="fr-FR"/>
        </w:rPr>
        <w:t>du fait de maladies, d’accidents, de violences ou de suicides</w:t>
      </w:r>
      <w:r w:rsidR="0044259A" w:rsidRPr="00C25937">
        <w:rPr>
          <w:color w:val="auto"/>
          <w:lang w:val="fr-FR"/>
        </w:rPr>
        <w:t xml:space="preserve">. </w:t>
      </w:r>
      <w:r w:rsidR="00043BD1" w:rsidRPr="00C25937">
        <w:rPr>
          <w:color w:val="auto"/>
          <w:lang w:val="fr-FR"/>
        </w:rPr>
        <w:t>Au total</w:t>
      </w:r>
      <w:r w:rsidR="0044259A" w:rsidRPr="00C25937">
        <w:rPr>
          <w:color w:val="auto"/>
          <w:lang w:val="fr-FR"/>
        </w:rPr>
        <w:t xml:space="preserve">, </w:t>
      </w:r>
      <w:r w:rsidRPr="00C25937">
        <w:rPr>
          <w:color w:val="auto"/>
          <w:lang w:val="fr-FR"/>
        </w:rPr>
        <w:t>environ 6 </w:t>
      </w:r>
      <w:r w:rsidR="0044259A" w:rsidRPr="00C25937">
        <w:rPr>
          <w:color w:val="auto"/>
          <w:lang w:val="fr-FR"/>
        </w:rPr>
        <w:t xml:space="preserve">100 </w:t>
      </w:r>
      <w:r w:rsidRPr="00C25937">
        <w:rPr>
          <w:color w:val="auto"/>
          <w:lang w:val="fr-FR"/>
        </w:rPr>
        <w:t xml:space="preserve">décès par </w:t>
      </w:r>
      <w:r w:rsidR="007A5357" w:rsidRPr="00C25937">
        <w:rPr>
          <w:color w:val="auto"/>
          <w:lang w:val="fr-FR"/>
        </w:rPr>
        <w:t>sur</w:t>
      </w:r>
      <w:r w:rsidR="0044259A" w:rsidRPr="00C25937">
        <w:rPr>
          <w:color w:val="auto"/>
          <w:lang w:val="fr-FR"/>
        </w:rPr>
        <w:t>dose</w:t>
      </w:r>
      <w:r w:rsidR="007A5357" w:rsidRPr="00C25937">
        <w:rPr>
          <w:color w:val="auto"/>
          <w:lang w:val="fr-FR"/>
        </w:rPr>
        <w:t>,</w:t>
      </w:r>
      <w:r w:rsidR="00412C93" w:rsidRPr="00C25937">
        <w:rPr>
          <w:color w:val="auto"/>
          <w:lang w:val="fr-FR"/>
        </w:rPr>
        <w:t xml:space="preserve"> </w:t>
      </w:r>
      <w:r w:rsidR="007A5357" w:rsidRPr="00C25937">
        <w:rPr>
          <w:color w:val="auto"/>
          <w:lang w:val="fr-FR"/>
        </w:rPr>
        <w:t>principalement</w:t>
      </w:r>
      <w:r w:rsidRPr="00C25937">
        <w:rPr>
          <w:color w:val="auto"/>
          <w:lang w:val="fr-FR"/>
        </w:rPr>
        <w:t xml:space="preserve"> liés aux opi</w:t>
      </w:r>
      <w:r w:rsidR="005B0558" w:rsidRPr="00C25937">
        <w:rPr>
          <w:color w:val="auto"/>
          <w:lang w:val="fr-FR"/>
        </w:rPr>
        <w:t>acé</w:t>
      </w:r>
      <w:r w:rsidRPr="00C25937">
        <w:rPr>
          <w:color w:val="auto"/>
          <w:lang w:val="fr-FR"/>
        </w:rPr>
        <w:t>s</w:t>
      </w:r>
      <w:r w:rsidR="0044259A" w:rsidRPr="00C25937">
        <w:rPr>
          <w:color w:val="auto"/>
          <w:lang w:val="fr-FR"/>
        </w:rPr>
        <w:t xml:space="preserve">, </w:t>
      </w:r>
      <w:r w:rsidRPr="00C25937">
        <w:rPr>
          <w:color w:val="auto"/>
          <w:lang w:val="fr-FR"/>
        </w:rPr>
        <w:t xml:space="preserve">ont été </w:t>
      </w:r>
      <w:r w:rsidR="007A5357" w:rsidRPr="00C25937">
        <w:rPr>
          <w:color w:val="auto"/>
          <w:lang w:val="fr-FR"/>
        </w:rPr>
        <w:t>signalés</w:t>
      </w:r>
      <w:r w:rsidRPr="00C25937">
        <w:rPr>
          <w:color w:val="auto"/>
          <w:lang w:val="fr-FR"/>
        </w:rPr>
        <w:t xml:space="preserve"> en Europe e</w:t>
      </w:r>
      <w:r w:rsidR="0044259A" w:rsidRPr="00C25937">
        <w:rPr>
          <w:color w:val="auto"/>
          <w:lang w:val="fr-FR"/>
        </w:rPr>
        <w:t>n 2012</w:t>
      </w:r>
      <w:r w:rsidR="004C54D4" w:rsidRPr="00C25937">
        <w:rPr>
          <w:color w:val="auto"/>
          <w:lang w:val="fr-FR"/>
        </w:rPr>
        <w:t>, contre</w:t>
      </w:r>
      <w:r w:rsidR="00412C93" w:rsidRPr="00C25937">
        <w:rPr>
          <w:color w:val="auto"/>
          <w:lang w:val="fr-FR"/>
        </w:rPr>
        <w:t xml:space="preserve"> </w:t>
      </w:r>
      <w:r w:rsidR="0050241D" w:rsidRPr="00C25937">
        <w:rPr>
          <w:color w:val="auto"/>
          <w:lang w:val="fr-FR"/>
        </w:rPr>
        <w:t>6 </w:t>
      </w:r>
      <w:r w:rsidR="0044259A" w:rsidRPr="00C25937">
        <w:rPr>
          <w:color w:val="auto"/>
          <w:lang w:val="fr-FR"/>
        </w:rPr>
        <w:t>500</w:t>
      </w:r>
      <w:r w:rsidR="0050241D" w:rsidRPr="00C25937">
        <w:rPr>
          <w:color w:val="auto"/>
          <w:lang w:val="fr-FR"/>
        </w:rPr>
        <w:t xml:space="preserve"> cas</w:t>
      </w:r>
      <w:r w:rsidR="00412C93" w:rsidRPr="00C25937">
        <w:rPr>
          <w:color w:val="auto"/>
          <w:lang w:val="fr-FR"/>
        </w:rPr>
        <w:t xml:space="preserve"> </w:t>
      </w:r>
      <w:r w:rsidR="0050241D" w:rsidRPr="00C25937">
        <w:rPr>
          <w:color w:val="auto"/>
          <w:lang w:val="fr-FR"/>
        </w:rPr>
        <w:t>enregistrés en 2011 et 7</w:t>
      </w:r>
      <w:r w:rsidR="004C54D4" w:rsidRPr="00C25937">
        <w:rPr>
          <w:color w:val="auto"/>
          <w:lang w:val="fr-FR"/>
        </w:rPr>
        <w:t> 100 </w:t>
      </w:r>
      <w:r w:rsidR="0044259A" w:rsidRPr="00C25937">
        <w:rPr>
          <w:color w:val="auto"/>
          <w:lang w:val="fr-FR"/>
        </w:rPr>
        <w:t>cas</w:t>
      </w:r>
      <w:r w:rsidR="00412C93" w:rsidRPr="00C25937">
        <w:rPr>
          <w:color w:val="auto"/>
          <w:lang w:val="fr-FR"/>
        </w:rPr>
        <w:t xml:space="preserve"> </w:t>
      </w:r>
      <w:r w:rsidR="004C54D4" w:rsidRPr="00C25937">
        <w:rPr>
          <w:color w:val="auto"/>
          <w:lang w:val="fr-FR"/>
        </w:rPr>
        <w:t>rapportés</w:t>
      </w:r>
      <w:r w:rsidR="00412C93" w:rsidRPr="00C25937">
        <w:rPr>
          <w:color w:val="auto"/>
          <w:lang w:val="fr-FR"/>
        </w:rPr>
        <w:t xml:space="preserve"> </w:t>
      </w:r>
      <w:r w:rsidR="0050241D" w:rsidRPr="00C25937">
        <w:rPr>
          <w:color w:val="auto"/>
          <w:lang w:val="fr-FR"/>
        </w:rPr>
        <w:t>e</w:t>
      </w:r>
      <w:r w:rsidR="0044259A" w:rsidRPr="00C25937">
        <w:rPr>
          <w:color w:val="auto"/>
          <w:lang w:val="fr-FR"/>
        </w:rPr>
        <w:t xml:space="preserve">n 2009. </w:t>
      </w:r>
      <w:r w:rsidR="00043BD1" w:rsidRPr="00C25937">
        <w:rPr>
          <w:color w:val="auto"/>
          <w:lang w:val="fr-FR"/>
        </w:rPr>
        <w:t>L</w:t>
      </w:r>
      <w:r w:rsidR="00A127D2" w:rsidRPr="00C25937">
        <w:rPr>
          <w:color w:val="auto"/>
          <w:lang w:val="fr-FR"/>
        </w:rPr>
        <w:t xml:space="preserve">’intensification </w:t>
      </w:r>
      <w:r w:rsidR="00BD0F67" w:rsidRPr="00C25937">
        <w:rPr>
          <w:color w:val="auto"/>
          <w:lang w:val="fr-FR"/>
        </w:rPr>
        <w:t>d</w:t>
      </w:r>
      <w:r w:rsidR="00043BD1" w:rsidRPr="00C25937">
        <w:rPr>
          <w:color w:val="auto"/>
          <w:lang w:val="fr-FR"/>
        </w:rPr>
        <w:t>es</w:t>
      </w:r>
      <w:r w:rsidR="0050241D" w:rsidRPr="00C25937">
        <w:rPr>
          <w:color w:val="auto"/>
          <w:lang w:val="fr-FR"/>
        </w:rPr>
        <w:t xml:space="preserve"> traitement</w:t>
      </w:r>
      <w:r w:rsidR="00043BD1" w:rsidRPr="00C25937">
        <w:rPr>
          <w:color w:val="auto"/>
          <w:lang w:val="fr-FR"/>
        </w:rPr>
        <w:t>s</w:t>
      </w:r>
      <w:r w:rsidR="0050241D" w:rsidRPr="00C25937">
        <w:rPr>
          <w:color w:val="auto"/>
          <w:lang w:val="fr-FR"/>
        </w:rPr>
        <w:t xml:space="preserve"> et l</w:t>
      </w:r>
      <w:r w:rsidR="00043BD1" w:rsidRPr="00C25937">
        <w:rPr>
          <w:color w:val="auto"/>
          <w:lang w:val="fr-FR"/>
        </w:rPr>
        <w:t>es politiques de</w:t>
      </w:r>
      <w:r w:rsidR="0050241D" w:rsidRPr="00C25937">
        <w:rPr>
          <w:color w:val="auto"/>
          <w:lang w:val="fr-FR"/>
        </w:rPr>
        <w:t xml:space="preserve"> réduction </w:t>
      </w:r>
      <w:r w:rsidR="00A127D2" w:rsidRPr="00C25937">
        <w:rPr>
          <w:color w:val="auto"/>
          <w:lang w:val="fr-FR"/>
        </w:rPr>
        <w:t>des risques</w:t>
      </w:r>
      <w:r w:rsidR="0044259A" w:rsidRPr="00C25937">
        <w:rPr>
          <w:color w:val="auto"/>
          <w:lang w:val="fr-FR"/>
        </w:rPr>
        <w:t xml:space="preserve"> (</w:t>
      </w:r>
      <w:r w:rsidR="0050241D" w:rsidRPr="00C25937">
        <w:rPr>
          <w:color w:val="auto"/>
          <w:lang w:val="fr-FR"/>
        </w:rPr>
        <w:t>par ex</w:t>
      </w:r>
      <w:r w:rsidR="0044259A" w:rsidRPr="00C25937">
        <w:rPr>
          <w:color w:val="auto"/>
          <w:lang w:val="fr-FR"/>
        </w:rPr>
        <w:t xml:space="preserve">. </w:t>
      </w:r>
      <w:r w:rsidR="000228DC" w:rsidRPr="00C25937">
        <w:rPr>
          <w:color w:val="auto"/>
          <w:lang w:val="fr-FR"/>
        </w:rPr>
        <w:t>le</w:t>
      </w:r>
      <w:r w:rsidR="00412C93" w:rsidRPr="00C25937">
        <w:rPr>
          <w:color w:val="auto"/>
          <w:lang w:val="fr-FR"/>
        </w:rPr>
        <w:t>s</w:t>
      </w:r>
      <w:r w:rsidR="000228DC" w:rsidRPr="00C25937">
        <w:rPr>
          <w:color w:val="auto"/>
          <w:lang w:val="fr-FR"/>
        </w:rPr>
        <w:t xml:space="preserve"> TSO</w:t>
      </w:r>
      <w:r w:rsidR="0044259A" w:rsidRPr="00C25937">
        <w:rPr>
          <w:color w:val="auto"/>
          <w:lang w:val="fr-FR"/>
        </w:rPr>
        <w:t>)</w:t>
      </w:r>
      <w:r w:rsidR="00043BD1" w:rsidRPr="00C25937">
        <w:rPr>
          <w:color w:val="auto"/>
          <w:lang w:val="fr-FR"/>
        </w:rPr>
        <w:t xml:space="preserve"> </w:t>
      </w:r>
      <w:r w:rsidR="00854264" w:rsidRPr="00C25937">
        <w:rPr>
          <w:color w:val="auto"/>
          <w:lang w:val="fr-FR"/>
        </w:rPr>
        <w:t xml:space="preserve">contribuent à </w:t>
      </w:r>
      <w:r w:rsidR="00043BD1" w:rsidRPr="00C25937">
        <w:rPr>
          <w:color w:val="auto"/>
          <w:lang w:val="fr-FR"/>
        </w:rPr>
        <w:t>explique</w:t>
      </w:r>
      <w:r w:rsidR="00854264" w:rsidRPr="00C25937">
        <w:rPr>
          <w:color w:val="auto"/>
          <w:lang w:val="fr-FR"/>
        </w:rPr>
        <w:t>r</w:t>
      </w:r>
      <w:r w:rsidR="00043BD1" w:rsidRPr="00C25937">
        <w:rPr>
          <w:color w:val="auto"/>
          <w:lang w:val="fr-FR"/>
        </w:rPr>
        <w:t xml:space="preserve"> ces progrès</w:t>
      </w:r>
      <w:r w:rsidR="0044259A" w:rsidRPr="00C25937">
        <w:rPr>
          <w:color w:val="auto"/>
          <w:lang w:val="fr-FR"/>
        </w:rPr>
        <w:t xml:space="preserve">. </w:t>
      </w:r>
      <w:r w:rsidR="00A127D2" w:rsidRPr="00C25937">
        <w:rPr>
          <w:rStyle w:val="hps"/>
          <w:rFonts w:cs="Arial"/>
          <w:color w:val="auto"/>
          <w:lang w:val="fr-FR"/>
        </w:rPr>
        <w:t>Néanmoins, contrairement</w:t>
      </w:r>
      <w:r w:rsidR="00412C93" w:rsidRPr="00C25937">
        <w:rPr>
          <w:rStyle w:val="hps"/>
          <w:rFonts w:cs="Arial"/>
          <w:color w:val="auto"/>
          <w:lang w:val="fr-FR"/>
        </w:rPr>
        <w:t xml:space="preserve"> </w:t>
      </w:r>
      <w:r w:rsidR="00A127D2" w:rsidRPr="00C25937">
        <w:rPr>
          <w:rStyle w:val="hps"/>
          <w:rFonts w:cs="Arial"/>
          <w:color w:val="auto"/>
          <w:lang w:val="fr-FR"/>
        </w:rPr>
        <w:t>à</w:t>
      </w:r>
      <w:r w:rsidR="00412C93" w:rsidRPr="00C25937">
        <w:rPr>
          <w:rStyle w:val="hps"/>
          <w:rFonts w:cs="Arial"/>
          <w:color w:val="auto"/>
          <w:lang w:val="fr-FR"/>
        </w:rPr>
        <w:t xml:space="preserve"> </w:t>
      </w:r>
      <w:r w:rsidR="004C54D4" w:rsidRPr="00C25937">
        <w:rPr>
          <w:rStyle w:val="hps"/>
          <w:rFonts w:cs="Arial"/>
          <w:color w:val="auto"/>
          <w:lang w:val="fr-FR"/>
        </w:rPr>
        <w:t>une</w:t>
      </w:r>
      <w:r w:rsidR="00A127D2" w:rsidRPr="00C25937">
        <w:rPr>
          <w:rStyle w:val="hps"/>
          <w:rFonts w:cs="Arial"/>
          <w:color w:val="auto"/>
          <w:lang w:val="fr-FR"/>
        </w:rPr>
        <w:t xml:space="preserve"> tendance</w:t>
      </w:r>
      <w:r w:rsidR="00412C93" w:rsidRPr="00C25937">
        <w:rPr>
          <w:rStyle w:val="hps"/>
          <w:rFonts w:cs="Arial"/>
          <w:color w:val="auto"/>
          <w:lang w:val="fr-FR"/>
        </w:rPr>
        <w:t xml:space="preserve"> </w:t>
      </w:r>
      <w:r w:rsidR="004C54D4" w:rsidRPr="00C25937">
        <w:rPr>
          <w:rFonts w:cs="Arial"/>
          <w:color w:val="auto"/>
          <w:lang w:val="fr-FR"/>
        </w:rPr>
        <w:t xml:space="preserve">globalement </w:t>
      </w:r>
      <w:r w:rsidR="00A127D2" w:rsidRPr="00C25937">
        <w:rPr>
          <w:rStyle w:val="hps"/>
          <w:rFonts w:cs="Arial"/>
          <w:color w:val="auto"/>
          <w:lang w:val="fr-FR"/>
        </w:rPr>
        <w:t>encourageante à l’échelle européenne</w:t>
      </w:r>
      <w:r w:rsidR="00A127D2" w:rsidRPr="00C25937">
        <w:rPr>
          <w:rFonts w:cs="Arial"/>
          <w:color w:val="auto"/>
          <w:lang w:val="fr-FR"/>
        </w:rPr>
        <w:t xml:space="preserve">, </w:t>
      </w:r>
      <w:r w:rsidR="00A127D2" w:rsidRPr="00C25937">
        <w:rPr>
          <w:rStyle w:val="hps"/>
          <w:rFonts w:cs="Arial"/>
          <w:color w:val="auto"/>
          <w:lang w:val="fr-FR"/>
        </w:rPr>
        <w:t xml:space="preserve">le nombre de décès par </w:t>
      </w:r>
      <w:r w:rsidR="004C54D4" w:rsidRPr="00C25937">
        <w:rPr>
          <w:rStyle w:val="hps"/>
          <w:rFonts w:cs="Arial"/>
          <w:color w:val="auto"/>
          <w:lang w:val="fr-FR"/>
        </w:rPr>
        <w:t>surd</w:t>
      </w:r>
      <w:r w:rsidR="00FF12C8" w:rsidRPr="00C25937">
        <w:rPr>
          <w:rStyle w:val="hps"/>
          <w:rFonts w:cs="Arial"/>
          <w:color w:val="auto"/>
          <w:lang w:val="fr-FR"/>
        </w:rPr>
        <w:t>ose</w:t>
      </w:r>
      <w:r w:rsidR="00412C93" w:rsidRPr="00C25937">
        <w:rPr>
          <w:rStyle w:val="hps"/>
          <w:rFonts w:cs="Arial"/>
          <w:color w:val="auto"/>
          <w:lang w:val="fr-FR"/>
        </w:rPr>
        <w:t xml:space="preserve"> </w:t>
      </w:r>
      <w:r w:rsidR="00A127D2" w:rsidRPr="00C25937">
        <w:rPr>
          <w:rStyle w:val="hps"/>
          <w:rFonts w:cs="Arial"/>
          <w:color w:val="auto"/>
          <w:lang w:val="fr-FR"/>
        </w:rPr>
        <w:t>reste élevé</w:t>
      </w:r>
      <w:r w:rsidR="00412C93" w:rsidRPr="00C25937">
        <w:rPr>
          <w:rStyle w:val="hps"/>
          <w:rFonts w:cs="Arial"/>
          <w:color w:val="auto"/>
          <w:lang w:val="fr-FR"/>
        </w:rPr>
        <w:t xml:space="preserve"> </w:t>
      </w:r>
      <w:r w:rsidR="00A127D2" w:rsidRPr="00C25937">
        <w:rPr>
          <w:rStyle w:val="hps"/>
          <w:rFonts w:cs="Arial"/>
          <w:color w:val="auto"/>
          <w:lang w:val="fr-FR"/>
        </w:rPr>
        <w:t>ou</w:t>
      </w:r>
      <w:r w:rsidR="00412C93" w:rsidRPr="00C25937">
        <w:rPr>
          <w:rStyle w:val="hps"/>
          <w:rFonts w:cs="Arial"/>
          <w:color w:val="auto"/>
          <w:lang w:val="fr-FR"/>
        </w:rPr>
        <w:t xml:space="preserve"> </w:t>
      </w:r>
      <w:r w:rsidR="004C54D4" w:rsidRPr="00C25937">
        <w:rPr>
          <w:rStyle w:val="hps"/>
          <w:rFonts w:cs="Arial"/>
          <w:color w:val="auto"/>
          <w:lang w:val="fr-FR"/>
        </w:rPr>
        <w:t>accuse</w:t>
      </w:r>
      <w:r w:rsidR="00A127D2" w:rsidRPr="00C25937">
        <w:rPr>
          <w:rStyle w:val="hps"/>
          <w:rFonts w:cs="Arial"/>
          <w:color w:val="auto"/>
          <w:lang w:val="fr-FR"/>
        </w:rPr>
        <w:t xml:space="preserve"> une hausse dans certains pays</w:t>
      </w:r>
      <w:r w:rsidR="00A127D2" w:rsidRPr="00C25937">
        <w:rPr>
          <w:rFonts w:cs="Arial"/>
          <w:color w:val="auto"/>
          <w:lang w:val="fr-FR"/>
        </w:rPr>
        <w:t>.</w:t>
      </w:r>
    </w:p>
    <w:p w:rsidR="0044259A" w:rsidRPr="002F57E1" w:rsidRDefault="00A127D2" w:rsidP="003C2E9B">
      <w:pPr>
        <w:pStyle w:val="newsContent"/>
        <w:rPr>
          <w:lang w:val="fr-FR"/>
        </w:rPr>
      </w:pPr>
      <w:r w:rsidRPr="002F57E1">
        <w:rPr>
          <w:lang w:val="fr-FR"/>
        </w:rPr>
        <w:t>Le</w:t>
      </w:r>
      <w:r w:rsidR="00EE2B24" w:rsidRPr="002F57E1">
        <w:rPr>
          <w:lang w:val="fr-FR"/>
        </w:rPr>
        <w:t xml:space="preserve"> taux moyen de mortalité </w:t>
      </w:r>
      <w:r w:rsidR="00B16BA2" w:rsidRPr="002F57E1">
        <w:rPr>
          <w:lang w:val="fr-FR"/>
        </w:rPr>
        <w:t xml:space="preserve">due </w:t>
      </w:r>
      <w:r w:rsidR="004C54D4" w:rsidRPr="002F57E1">
        <w:rPr>
          <w:lang w:val="fr-FR"/>
        </w:rPr>
        <w:t>à des surdoses</w:t>
      </w:r>
      <w:r w:rsidR="00412C93">
        <w:rPr>
          <w:lang w:val="fr-FR"/>
        </w:rPr>
        <w:t xml:space="preserve"> </w:t>
      </w:r>
      <w:r w:rsidR="000B5BCC" w:rsidRPr="002F57E1">
        <w:rPr>
          <w:lang w:val="fr-FR"/>
        </w:rPr>
        <w:t>e</w:t>
      </w:r>
      <w:r w:rsidR="0044259A" w:rsidRPr="002F57E1">
        <w:rPr>
          <w:lang w:val="fr-FR"/>
        </w:rPr>
        <w:t xml:space="preserve">n Europe </w:t>
      </w:r>
      <w:r w:rsidRPr="002F57E1">
        <w:rPr>
          <w:lang w:val="fr-FR"/>
        </w:rPr>
        <w:t xml:space="preserve">est </w:t>
      </w:r>
      <w:r w:rsidR="00B16BA2" w:rsidRPr="002F57E1">
        <w:rPr>
          <w:lang w:val="fr-FR"/>
        </w:rPr>
        <w:t>estimé à</w:t>
      </w:r>
      <w:r w:rsidR="00C25937">
        <w:rPr>
          <w:lang w:val="fr-FR"/>
        </w:rPr>
        <w:t xml:space="preserve"> </w:t>
      </w:r>
      <w:r w:rsidR="0044259A" w:rsidRPr="002F57E1">
        <w:rPr>
          <w:lang w:val="fr-FR"/>
        </w:rPr>
        <w:t>17</w:t>
      </w:r>
      <w:r w:rsidR="004C54D4" w:rsidRPr="002F57E1">
        <w:rPr>
          <w:lang w:val="fr-FR"/>
        </w:rPr>
        <w:t> </w:t>
      </w:r>
      <w:r w:rsidR="000B5BCC" w:rsidRPr="002F57E1">
        <w:rPr>
          <w:lang w:val="fr-FR"/>
        </w:rPr>
        <w:t>décès pa</w:t>
      </w:r>
      <w:r w:rsidR="0044259A" w:rsidRPr="002F57E1">
        <w:rPr>
          <w:lang w:val="fr-FR"/>
        </w:rPr>
        <w:t xml:space="preserve">r million </w:t>
      </w:r>
      <w:r w:rsidR="00B16BA2" w:rsidRPr="002F57E1">
        <w:rPr>
          <w:lang w:val="fr-FR"/>
        </w:rPr>
        <w:t>d’habitants</w:t>
      </w:r>
      <w:r w:rsidR="00412C93">
        <w:rPr>
          <w:lang w:val="fr-FR"/>
        </w:rPr>
        <w:t xml:space="preserve"> </w:t>
      </w:r>
      <w:r w:rsidR="00AF37DC" w:rsidRPr="002F57E1">
        <w:rPr>
          <w:lang w:val="fr-FR"/>
        </w:rPr>
        <w:t>âgé</w:t>
      </w:r>
      <w:r w:rsidRPr="002F57E1">
        <w:rPr>
          <w:lang w:val="fr-FR"/>
        </w:rPr>
        <w:t>s de </w:t>
      </w:r>
      <w:r w:rsidR="0044259A" w:rsidRPr="002F57E1">
        <w:rPr>
          <w:lang w:val="fr-FR"/>
        </w:rPr>
        <w:t>15</w:t>
      </w:r>
      <w:r w:rsidR="00EB3A91" w:rsidRPr="002F57E1">
        <w:rPr>
          <w:lang w:val="fr-FR"/>
        </w:rPr>
        <w:t xml:space="preserve"> à 64 ans</w:t>
      </w:r>
      <w:r w:rsidR="00C64802" w:rsidRPr="002F57E1">
        <w:rPr>
          <w:lang w:val="fr-FR"/>
        </w:rPr>
        <w:t>,</w:t>
      </w:r>
      <w:r w:rsidR="00EB3A91" w:rsidRPr="002F57E1">
        <w:rPr>
          <w:lang w:val="fr-FR"/>
        </w:rPr>
        <w:t xml:space="preserve"> les </w:t>
      </w:r>
      <w:r w:rsidR="00043BD1">
        <w:rPr>
          <w:lang w:val="fr-FR"/>
        </w:rPr>
        <w:t>écarts</w:t>
      </w:r>
      <w:r w:rsidR="00043BD1" w:rsidRPr="002F57E1">
        <w:rPr>
          <w:lang w:val="fr-FR"/>
        </w:rPr>
        <w:t xml:space="preserve"> </w:t>
      </w:r>
      <w:r w:rsidR="004C54D4" w:rsidRPr="002F57E1">
        <w:rPr>
          <w:lang w:val="fr-FR"/>
        </w:rPr>
        <w:t>en fonction des</w:t>
      </w:r>
      <w:r w:rsidR="00412C93">
        <w:rPr>
          <w:lang w:val="fr-FR"/>
        </w:rPr>
        <w:t xml:space="preserve"> </w:t>
      </w:r>
      <w:r w:rsidR="00EB3A91" w:rsidRPr="002F57E1">
        <w:rPr>
          <w:lang w:val="fr-FR"/>
        </w:rPr>
        <w:t xml:space="preserve">pays </w:t>
      </w:r>
      <w:r w:rsidR="00C64802" w:rsidRPr="002F57E1">
        <w:rPr>
          <w:lang w:val="fr-FR"/>
        </w:rPr>
        <w:t xml:space="preserve">étant </w:t>
      </w:r>
      <w:r w:rsidR="00EB3A91" w:rsidRPr="002F57E1">
        <w:rPr>
          <w:lang w:val="fr-FR"/>
        </w:rPr>
        <w:t>importantes</w:t>
      </w:r>
      <w:r w:rsidR="0044259A" w:rsidRPr="002F57E1">
        <w:rPr>
          <w:lang w:val="fr-FR"/>
        </w:rPr>
        <w:t xml:space="preserve">. </w:t>
      </w:r>
      <w:r w:rsidR="003819FF" w:rsidRPr="002F57E1">
        <w:rPr>
          <w:lang w:val="fr-FR"/>
        </w:rPr>
        <w:t>Des taux supérieurs à</w:t>
      </w:r>
      <w:r w:rsidR="00EB3A91" w:rsidRPr="002F57E1">
        <w:rPr>
          <w:lang w:val="fr-FR"/>
        </w:rPr>
        <w:t xml:space="preserve"> 50</w:t>
      </w:r>
      <w:r w:rsidR="003819FF" w:rsidRPr="002F57E1">
        <w:rPr>
          <w:lang w:val="fr-FR"/>
        </w:rPr>
        <w:t> </w:t>
      </w:r>
      <w:r w:rsidR="00EB3A91" w:rsidRPr="002F57E1">
        <w:rPr>
          <w:lang w:val="fr-FR"/>
        </w:rPr>
        <w:t>décès pa</w:t>
      </w:r>
      <w:r w:rsidR="0044259A" w:rsidRPr="002F57E1">
        <w:rPr>
          <w:lang w:val="fr-FR"/>
        </w:rPr>
        <w:t>r million</w:t>
      </w:r>
      <w:r w:rsidR="00412C93">
        <w:rPr>
          <w:lang w:val="fr-FR"/>
        </w:rPr>
        <w:t xml:space="preserve"> </w:t>
      </w:r>
      <w:r w:rsidR="00B16BA2" w:rsidRPr="002F57E1">
        <w:rPr>
          <w:lang w:val="fr-FR"/>
        </w:rPr>
        <w:t>d’habitants</w:t>
      </w:r>
      <w:r w:rsidR="00412C93">
        <w:rPr>
          <w:lang w:val="fr-FR"/>
        </w:rPr>
        <w:t xml:space="preserve"> </w:t>
      </w:r>
      <w:r w:rsidR="003819FF" w:rsidRPr="002F57E1">
        <w:rPr>
          <w:lang w:val="fr-FR"/>
        </w:rPr>
        <w:t>ont</w:t>
      </w:r>
      <w:r w:rsidR="00DC1A7D" w:rsidRPr="002F57E1">
        <w:rPr>
          <w:lang w:val="fr-FR"/>
        </w:rPr>
        <w:t xml:space="preserve"> été </w:t>
      </w:r>
      <w:r w:rsidR="003819FF" w:rsidRPr="002F57E1">
        <w:rPr>
          <w:lang w:val="fr-FR"/>
        </w:rPr>
        <w:t>signalés</w:t>
      </w:r>
      <w:r w:rsidR="00DC1A7D" w:rsidRPr="002F57E1">
        <w:rPr>
          <w:lang w:val="fr-FR"/>
        </w:rPr>
        <w:t xml:space="preserve"> dans cinq pays</w:t>
      </w:r>
      <w:r w:rsidR="0044259A" w:rsidRPr="002F57E1">
        <w:rPr>
          <w:lang w:val="fr-FR"/>
        </w:rPr>
        <w:t xml:space="preserve">, </w:t>
      </w:r>
      <w:r w:rsidR="00FF12C8" w:rsidRPr="002F57E1">
        <w:rPr>
          <w:lang w:val="fr-FR"/>
        </w:rPr>
        <w:t>l</w:t>
      </w:r>
      <w:r w:rsidR="00B16BA2" w:rsidRPr="002F57E1">
        <w:rPr>
          <w:lang w:val="fr-FR"/>
        </w:rPr>
        <w:t xml:space="preserve">es </w:t>
      </w:r>
      <w:r w:rsidR="00A974BE" w:rsidRPr="002F57E1">
        <w:rPr>
          <w:lang w:val="fr-FR"/>
        </w:rPr>
        <w:t>taux les</w:t>
      </w:r>
      <w:r w:rsidR="00EB3A91" w:rsidRPr="002F57E1">
        <w:rPr>
          <w:lang w:val="fr-FR"/>
        </w:rPr>
        <w:t xml:space="preserve"> plu</w:t>
      </w:r>
      <w:r w:rsidR="0044259A" w:rsidRPr="002F57E1">
        <w:rPr>
          <w:lang w:val="fr-FR"/>
        </w:rPr>
        <w:t>s</w:t>
      </w:r>
      <w:r w:rsidR="00412C93">
        <w:rPr>
          <w:lang w:val="fr-FR"/>
        </w:rPr>
        <w:t xml:space="preserve"> </w:t>
      </w:r>
      <w:r w:rsidR="003819FF" w:rsidRPr="002F57E1">
        <w:rPr>
          <w:lang w:val="fr-FR"/>
        </w:rPr>
        <w:t>élevés</w:t>
      </w:r>
      <w:r w:rsidR="00EB3A91" w:rsidRPr="002F57E1">
        <w:rPr>
          <w:lang w:val="fr-FR"/>
        </w:rPr>
        <w:t xml:space="preserve"> ayant été </w:t>
      </w:r>
      <w:r w:rsidR="00DC1A7D" w:rsidRPr="002F57E1">
        <w:rPr>
          <w:lang w:val="fr-FR"/>
        </w:rPr>
        <w:t xml:space="preserve">observés </w:t>
      </w:r>
      <w:r w:rsidR="00EB3A91" w:rsidRPr="002F57E1">
        <w:rPr>
          <w:lang w:val="fr-FR"/>
        </w:rPr>
        <w:t>en</w:t>
      </w:r>
      <w:r w:rsidR="00412C93">
        <w:rPr>
          <w:lang w:val="fr-FR"/>
        </w:rPr>
        <w:t xml:space="preserve"> </w:t>
      </w:r>
      <w:r w:rsidR="00EB3A91" w:rsidRPr="002F57E1">
        <w:rPr>
          <w:b/>
          <w:lang w:val="fr-FR"/>
        </w:rPr>
        <w:t>Estonie</w:t>
      </w:r>
      <w:r w:rsidR="00EB3A91" w:rsidRPr="002F57E1">
        <w:rPr>
          <w:lang w:val="fr-FR"/>
        </w:rPr>
        <w:t xml:space="preserve"> (191</w:t>
      </w:r>
      <w:r w:rsidR="003819FF" w:rsidRPr="002F57E1">
        <w:rPr>
          <w:lang w:val="fr-FR"/>
        </w:rPr>
        <w:t> </w:t>
      </w:r>
      <w:r w:rsidR="00B16BA2" w:rsidRPr="002F57E1">
        <w:rPr>
          <w:lang w:val="fr-FR"/>
        </w:rPr>
        <w:t>décès</w:t>
      </w:r>
      <w:r w:rsidR="00EB3A91" w:rsidRPr="002F57E1">
        <w:rPr>
          <w:lang w:val="fr-FR"/>
        </w:rPr>
        <w:t xml:space="preserve"> pa</w:t>
      </w:r>
      <w:r w:rsidR="0044259A" w:rsidRPr="002F57E1">
        <w:rPr>
          <w:lang w:val="fr-FR"/>
        </w:rPr>
        <w:t>r million</w:t>
      </w:r>
      <w:r w:rsidR="00EB3A91" w:rsidRPr="002F57E1">
        <w:rPr>
          <w:lang w:val="fr-FR"/>
        </w:rPr>
        <w:t>) et en</w:t>
      </w:r>
      <w:r w:rsidR="00412C93">
        <w:rPr>
          <w:lang w:val="fr-FR"/>
        </w:rPr>
        <w:t xml:space="preserve"> </w:t>
      </w:r>
      <w:r w:rsidR="0044259A" w:rsidRPr="002F57E1">
        <w:rPr>
          <w:b/>
          <w:lang w:val="fr-FR"/>
        </w:rPr>
        <w:t>Nor</w:t>
      </w:r>
      <w:r w:rsidR="00EB3A91" w:rsidRPr="002F57E1">
        <w:rPr>
          <w:b/>
          <w:lang w:val="fr-FR"/>
        </w:rPr>
        <w:t>vège</w:t>
      </w:r>
      <w:r w:rsidR="00EB3A91" w:rsidRPr="002F57E1">
        <w:rPr>
          <w:lang w:val="fr-FR"/>
        </w:rPr>
        <w:t xml:space="preserve"> (76</w:t>
      </w:r>
      <w:r w:rsidR="003819FF" w:rsidRPr="002F57E1">
        <w:rPr>
          <w:lang w:val="fr-FR"/>
        </w:rPr>
        <w:t> </w:t>
      </w:r>
      <w:r w:rsidR="00B16BA2" w:rsidRPr="002F57E1">
        <w:rPr>
          <w:lang w:val="fr-FR"/>
        </w:rPr>
        <w:t>décès</w:t>
      </w:r>
      <w:r w:rsidR="00EB3A91" w:rsidRPr="002F57E1">
        <w:rPr>
          <w:lang w:val="fr-FR"/>
        </w:rPr>
        <w:t xml:space="preserve"> pa</w:t>
      </w:r>
      <w:r w:rsidR="0044259A" w:rsidRPr="002F57E1">
        <w:rPr>
          <w:lang w:val="fr-FR"/>
        </w:rPr>
        <w:t xml:space="preserve">r million), </w:t>
      </w:r>
      <w:r w:rsidR="00EB3A91" w:rsidRPr="002F57E1">
        <w:rPr>
          <w:lang w:val="fr-FR"/>
        </w:rPr>
        <w:t>suivies par</w:t>
      </w:r>
      <w:r w:rsidR="00412C93">
        <w:rPr>
          <w:lang w:val="fr-FR"/>
        </w:rPr>
        <w:t xml:space="preserve"> </w:t>
      </w:r>
      <w:r w:rsidR="00EB3A91" w:rsidRPr="002F57E1">
        <w:rPr>
          <w:lang w:val="fr-FR"/>
        </w:rPr>
        <w:t>l’</w:t>
      </w:r>
      <w:r w:rsidR="00EB3A91" w:rsidRPr="002F57E1">
        <w:rPr>
          <w:b/>
          <w:lang w:val="fr-FR"/>
        </w:rPr>
        <w:t>Ir</w:t>
      </w:r>
      <w:r w:rsidR="0044259A" w:rsidRPr="002F57E1">
        <w:rPr>
          <w:b/>
          <w:lang w:val="fr-FR"/>
        </w:rPr>
        <w:t>land</w:t>
      </w:r>
      <w:r w:rsidR="00EB3A91" w:rsidRPr="002F57E1">
        <w:rPr>
          <w:b/>
          <w:lang w:val="fr-FR"/>
        </w:rPr>
        <w:t>e</w:t>
      </w:r>
      <w:r w:rsidR="00EB3A91" w:rsidRPr="002F57E1">
        <w:rPr>
          <w:lang w:val="fr-FR"/>
        </w:rPr>
        <w:t xml:space="preserve"> (70</w:t>
      </w:r>
      <w:r w:rsidR="00412C93">
        <w:rPr>
          <w:lang w:val="fr-FR"/>
        </w:rPr>
        <w:t xml:space="preserve"> </w:t>
      </w:r>
      <w:r w:rsidR="00B16BA2" w:rsidRPr="002F57E1">
        <w:rPr>
          <w:lang w:val="fr-FR"/>
        </w:rPr>
        <w:t>décès</w:t>
      </w:r>
      <w:r w:rsidR="00412C93">
        <w:rPr>
          <w:lang w:val="fr-FR"/>
        </w:rPr>
        <w:t xml:space="preserve"> </w:t>
      </w:r>
      <w:r w:rsidR="00EB3A91" w:rsidRPr="002F57E1">
        <w:rPr>
          <w:lang w:val="fr-FR"/>
        </w:rPr>
        <w:t>pa</w:t>
      </w:r>
      <w:r w:rsidR="0044259A" w:rsidRPr="002F57E1">
        <w:rPr>
          <w:lang w:val="fr-FR"/>
        </w:rPr>
        <w:t>r million),</w:t>
      </w:r>
      <w:r w:rsidR="00EB3A91" w:rsidRPr="002F57E1">
        <w:rPr>
          <w:lang w:val="fr-FR"/>
        </w:rPr>
        <w:t xml:space="preserve"> la</w:t>
      </w:r>
      <w:r w:rsidR="00412C93">
        <w:rPr>
          <w:lang w:val="fr-FR"/>
        </w:rPr>
        <w:t xml:space="preserve"> </w:t>
      </w:r>
      <w:r w:rsidR="0044259A" w:rsidRPr="002F57E1">
        <w:rPr>
          <w:b/>
          <w:lang w:val="fr-FR"/>
        </w:rPr>
        <w:t>S</w:t>
      </w:r>
      <w:r w:rsidR="00EB3A91" w:rsidRPr="002F57E1">
        <w:rPr>
          <w:b/>
          <w:lang w:val="fr-FR"/>
        </w:rPr>
        <w:t>uè</w:t>
      </w:r>
      <w:r w:rsidR="0044259A" w:rsidRPr="002F57E1">
        <w:rPr>
          <w:b/>
          <w:lang w:val="fr-FR"/>
        </w:rPr>
        <w:t>de</w:t>
      </w:r>
      <w:r w:rsidR="0044259A" w:rsidRPr="002F57E1">
        <w:rPr>
          <w:lang w:val="fr-FR"/>
        </w:rPr>
        <w:t xml:space="preserve"> (63</w:t>
      </w:r>
      <w:r w:rsidR="00DC1A7D" w:rsidRPr="002F57E1">
        <w:rPr>
          <w:lang w:val="fr-FR"/>
        </w:rPr>
        <w:t> </w:t>
      </w:r>
      <w:r w:rsidR="00B16BA2" w:rsidRPr="002F57E1">
        <w:rPr>
          <w:lang w:val="fr-FR"/>
        </w:rPr>
        <w:t>décès</w:t>
      </w:r>
      <w:r w:rsidR="0044259A" w:rsidRPr="002F57E1">
        <w:rPr>
          <w:lang w:val="fr-FR"/>
        </w:rPr>
        <w:t xml:space="preserve"> p</w:t>
      </w:r>
      <w:r w:rsidR="00EB3A91" w:rsidRPr="002F57E1">
        <w:rPr>
          <w:lang w:val="fr-FR"/>
        </w:rPr>
        <w:t>a</w:t>
      </w:r>
      <w:r w:rsidR="0044259A" w:rsidRPr="002F57E1">
        <w:rPr>
          <w:lang w:val="fr-FR"/>
        </w:rPr>
        <w:t xml:space="preserve">r million) </w:t>
      </w:r>
      <w:r w:rsidR="00EB3A91" w:rsidRPr="002F57E1">
        <w:rPr>
          <w:lang w:val="fr-FR"/>
        </w:rPr>
        <w:t>et la</w:t>
      </w:r>
      <w:r w:rsidR="00412C93">
        <w:rPr>
          <w:lang w:val="fr-FR"/>
        </w:rPr>
        <w:t xml:space="preserve"> </w:t>
      </w:r>
      <w:r w:rsidR="0044259A" w:rsidRPr="002F57E1">
        <w:rPr>
          <w:b/>
          <w:lang w:val="fr-FR"/>
        </w:rPr>
        <w:t>Finland</w:t>
      </w:r>
      <w:r w:rsidR="00EB3A91" w:rsidRPr="002F57E1">
        <w:rPr>
          <w:b/>
          <w:lang w:val="fr-FR"/>
        </w:rPr>
        <w:t>e</w:t>
      </w:r>
      <w:r w:rsidR="00EB3A91" w:rsidRPr="002F57E1">
        <w:rPr>
          <w:lang w:val="fr-FR"/>
        </w:rPr>
        <w:t xml:space="preserve"> (</w:t>
      </w:r>
      <w:r w:rsidR="00DC1A7D" w:rsidRPr="002F57E1">
        <w:rPr>
          <w:lang w:val="fr-FR"/>
        </w:rPr>
        <w:t>58</w:t>
      </w:r>
      <w:r w:rsidR="003819FF" w:rsidRPr="002F57E1">
        <w:rPr>
          <w:lang w:val="fr-FR"/>
        </w:rPr>
        <w:t> </w:t>
      </w:r>
      <w:r w:rsidR="00B16BA2" w:rsidRPr="002F57E1">
        <w:rPr>
          <w:lang w:val="fr-FR"/>
        </w:rPr>
        <w:t>décès</w:t>
      </w:r>
      <w:r w:rsidR="00412C93">
        <w:rPr>
          <w:lang w:val="fr-FR"/>
        </w:rPr>
        <w:t xml:space="preserve"> </w:t>
      </w:r>
      <w:r w:rsidR="00EB3A91" w:rsidRPr="002F57E1">
        <w:rPr>
          <w:lang w:val="fr-FR"/>
        </w:rPr>
        <w:t>pa</w:t>
      </w:r>
      <w:r w:rsidR="0044259A" w:rsidRPr="002F57E1">
        <w:rPr>
          <w:lang w:val="fr-FR"/>
        </w:rPr>
        <w:t>r million) (</w:t>
      </w:r>
      <w:r w:rsidR="000228DC" w:rsidRPr="002F57E1">
        <w:rPr>
          <w:lang w:val="fr-FR"/>
        </w:rPr>
        <w:t xml:space="preserve">figure </w:t>
      </w:r>
      <w:r w:rsidR="0044259A" w:rsidRPr="002F57E1">
        <w:rPr>
          <w:lang w:val="fr-FR"/>
        </w:rPr>
        <w:t>2.13)</w:t>
      </w:r>
      <w:r w:rsidR="00E52320" w:rsidRPr="002F57E1">
        <w:rPr>
          <w:lang w:val="fr-FR"/>
        </w:rPr>
        <w:t xml:space="preserve"> (</w:t>
      </w:r>
      <w:r w:rsidR="00E52320" w:rsidRPr="002F57E1">
        <w:rPr>
          <w:vertAlign w:val="superscript"/>
          <w:lang w:val="fr-FR"/>
        </w:rPr>
        <w:t>2</w:t>
      </w:r>
      <w:r w:rsidR="00E52320" w:rsidRPr="002F57E1">
        <w:rPr>
          <w:lang w:val="fr-FR"/>
        </w:rPr>
        <w:t>)</w:t>
      </w:r>
      <w:r w:rsidR="0044259A" w:rsidRPr="002F57E1">
        <w:rPr>
          <w:lang w:val="fr-FR"/>
        </w:rPr>
        <w:t xml:space="preserve">. </w:t>
      </w:r>
    </w:p>
    <w:p w:rsidR="00A16B77" w:rsidRPr="002F57E1" w:rsidRDefault="00867D4B" w:rsidP="003C2E9B">
      <w:pPr>
        <w:pStyle w:val="newsContent"/>
        <w:rPr>
          <w:lang w:val="fr-FR"/>
        </w:rPr>
      </w:pPr>
      <w:r w:rsidRPr="002F57E1">
        <w:rPr>
          <w:lang w:val="fr-FR"/>
        </w:rPr>
        <w:t>Si</w:t>
      </w:r>
      <w:r w:rsidR="00AB416A" w:rsidRPr="002F57E1">
        <w:rPr>
          <w:lang w:val="fr-FR"/>
        </w:rPr>
        <w:t xml:space="preserve"> l</w:t>
      </w:r>
      <w:r w:rsidR="009E62C8" w:rsidRPr="002F57E1">
        <w:rPr>
          <w:lang w:val="fr-FR"/>
        </w:rPr>
        <w:t xml:space="preserve">’héroïne </w:t>
      </w:r>
      <w:r w:rsidR="00AB416A" w:rsidRPr="002F57E1">
        <w:rPr>
          <w:lang w:val="fr-FR"/>
        </w:rPr>
        <w:t>est</w:t>
      </w:r>
      <w:r w:rsidRPr="002F57E1">
        <w:rPr>
          <w:lang w:val="fr-FR"/>
        </w:rPr>
        <w:t xml:space="preserve"> toujours</w:t>
      </w:r>
      <w:r w:rsidR="00AB416A" w:rsidRPr="002F57E1">
        <w:rPr>
          <w:lang w:val="fr-FR"/>
        </w:rPr>
        <w:t xml:space="preserve"> impliquée dans</w:t>
      </w:r>
      <w:r w:rsidR="00412C93">
        <w:rPr>
          <w:lang w:val="fr-FR"/>
        </w:rPr>
        <w:t xml:space="preserve"> </w:t>
      </w:r>
      <w:r w:rsidRPr="002F57E1">
        <w:rPr>
          <w:lang w:val="fr-FR"/>
        </w:rPr>
        <w:t>de nombreuses surdoses fatales</w:t>
      </w:r>
      <w:r w:rsidR="0044259A" w:rsidRPr="002F57E1">
        <w:rPr>
          <w:lang w:val="fr-FR"/>
        </w:rPr>
        <w:t xml:space="preserve">, </w:t>
      </w:r>
      <w:r w:rsidR="009E62C8" w:rsidRPr="002F57E1">
        <w:rPr>
          <w:lang w:val="fr-FR"/>
        </w:rPr>
        <w:t>le</w:t>
      </w:r>
      <w:r w:rsidR="00AB416A" w:rsidRPr="002F57E1">
        <w:rPr>
          <w:lang w:val="fr-FR"/>
        </w:rPr>
        <w:t xml:space="preserve"> taux de</w:t>
      </w:r>
      <w:r w:rsidR="009E62C8" w:rsidRPr="002F57E1">
        <w:rPr>
          <w:lang w:val="fr-FR"/>
        </w:rPr>
        <w:t xml:space="preserve"> décès liés à cette drogue </w:t>
      </w:r>
      <w:r w:rsidR="00AB416A" w:rsidRPr="002F57E1">
        <w:rPr>
          <w:lang w:val="fr-FR"/>
        </w:rPr>
        <w:t>est</w:t>
      </w:r>
      <w:r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9E62C8" w:rsidRPr="002F57E1">
        <w:rPr>
          <w:lang w:val="fr-FR"/>
        </w:rPr>
        <w:t>de manière générale</w:t>
      </w:r>
      <w:r w:rsidRPr="002F57E1">
        <w:rPr>
          <w:lang w:val="fr-FR"/>
        </w:rPr>
        <w:t>,</w:t>
      </w:r>
      <w:r w:rsidR="009E62C8" w:rsidRPr="002F57E1">
        <w:rPr>
          <w:lang w:val="fr-FR"/>
        </w:rPr>
        <w:t xml:space="preserve"> en baisse</w:t>
      </w:r>
      <w:r w:rsidR="00DC1A7D" w:rsidRPr="002F57E1">
        <w:rPr>
          <w:lang w:val="fr-FR"/>
        </w:rPr>
        <w:t>, tandis que</w:t>
      </w:r>
      <w:r w:rsidR="00412C93">
        <w:rPr>
          <w:lang w:val="fr-FR"/>
        </w:rPr>
        <w:t xml:space="preserve"> </w:t>
      </w:r>
      <w:r w:rsidR="00AB416A" w:rsidRPr="002F57E1">
        <w:rPr>
          <w:lang w:val="fr-FR"/>
        </w:rPr>
        <w:t xml:space="preserve">le taux de décès </w:t>
      </w:r>
      <w:r w:rsidR="00036A81" w:rsidRPr="002F57E1">
        <w:rPr>
          <w:lang w:val="fr-FR"/>
        </w:rPr>
        <w:t>liés aux opi</w:t>
      </w:r>
      <w:r w:rsidR="005B0558">
        <w:rPr>
          <w:lang w:val="fr-FR"/>
        </w:rPr>
        <w:t>acé</w:t>
      </w:r>
      <w:r w:rsidR="00036A81" w:rsidRPr="002F57E1">
        <w:rPr>
          <w:lang w:val="fr-FR"/>
        </w:rPr>
        <w:t xml:space="preserve">s de synthèse </w:t>
      </w:r>
      <w:r w:rsidR="00AB416A" w:rsidRPr="002F57E1">
        <w:rPr>
          <w:lang w:val="fr-FR"/>
        </w:rPr>
        <w:t xml:space="preserve">est </w:t>
      </w:r>
      <w:r w:rsidR="00036A81" w:rsidRPr="002F57E1">
        <w:rPr>
          <w:lang w:val="fr-FR"/>
        </w:rPr>
        <w:t>en hausse dans certains</w:t>
      </w:r>
      <w:r w:rsidR="00412C93">
        <w:rPr>
          <w:lang w:val="fr-FR"/>
        </w:rPr>
        <w:t xml:space="preserve"> </w:t>
      </w:r>
      <w:r w:rsidR="00036A81" w:rsidRPr="002F57E1">
        <w:rPr>
          <w:lang w:val="fr-FR"/>
        </w:rPr>
        <w:t>pays</w:t>
      </w:r>
      <w:r w:rsidR="0044259A" w:rsidRPr="002F57E1">
        <w:rPr>
          <w:lang w:val="fr-FR"/>
        </w:rPr>
        <w:t xml:space="preserve">. </w:t>
      </w:r>
      <w:r w:rsidR="000A583C" w:rsidRPr="002F57E1">
        <w:rPr>
          <w:lang w:val="fr-FR"/>
        </w:rPr>
        <w:t>En 2012, l</w:t>
      </w:r>
      <w:r w:rsidR="00DC1A7D" w:rsidRPr="002F57E1">
        <w:rPr>
          <w:lang w:val="fr-FR"/>
        </w:rPr>
        <w:t xml:space="preserve">e nombre de décès </w:t>
      </w:r>
      <w:r w:rsidR="00887B04" w:rsidRPr="002F57E1">
        <w:rPr>
          <w:lang w:val="fr-FR"/>
        </w:rPr>
        <w:t xml:space="preserve">par </w:t>
      </w:r>
      <w:r w:rsidRPr="002F57E1">
        <w:rPr>
          <w:lang w:val="fr-FR"/>
        </w:rPr>
        <w:t>surdose</w:t>
      </w:r>
      <w:r w:rsidR="005B0558">
        <w:rPr>
          <w:lang w:val="fr-FR"/>
        </w:rPr>
        <w:t xml:space="preserve"> </w:t>
      </w:r>
      <w:r w:rsidR="00BD0F67" w:rsidRPr="002F57E1">
        <w:rPr>
          <w:lang w:val="fr-FR"/>
        </w:rPr>
        <w:t>a</w:t>
      </w:r>
      <w:r w:rsidR="00DC1A7D" w:rsidRPr="002F57E1">
        <w:rPr>
          <w:lang w:val="fr-FR"/>
        </w:rPr>
        <w:t xml:space="preserve"> fortement augmenté</w:t>
      </w:r>
      <w:r w:rsidR="0044259A" w:rsidRPr="002F57E1">
        <w:rPr>
          <w:lang w:val="fr-FR"/>
        </w:rPr>
        <w:t xml:space="preserve"> (</w:t>
      </w:r>
      <w:r w:rsidR="00043BD1">
        <w:rPr>
          <w:lang w:val="fr-FR"/>
        </w:rPr>
        <w:t xml:space="preserve">+ </w:t>
      </w:r>
      <w:r w:rsidR="0044259A" w:rsidRPr="002F57E1">
        <w:rPr>
          <w:lang w:val="fr-FR"/>
        </w:rPr>
        <w:t>38</w:t>
      </w:r>
      <w:r w:rsidR="00E16809" w:rsidRPr="002F57E1">
        <w:rPr>
          <w:lang w:val="fr-FR"/>
        </w:rPr>
        <w:t> %) e</w:t>
      </w:r>
      <w:r w:rsidR="0044259A" w:rsidRPr="002F57E1">
        <w:rPr>
          <w:lang w:val="fr-FR"/>
        </w:rPr>
        <w:t xml:space="preserve">n </w:t>
      </w:r>
      <w:r w:rsidR="0044259A" w:rsidRPr="002F57E1">
        <w:rPr>
          <w:b/>
          <w:lang w:val="fr-FR"/>
        </w:rPr>
        <w:t>Estoni</w:t>
      </w:r>
      <w:r w:rsidR="00E16809" w:rsidRPr="002F57E1">
        <w:rPr>
          <w:b/>
          <w:lang w:val="fr-FR"/>
        </w:rPr>
        <w:t>e</w:t>
      </w:r>
      <w:r w:rsidR="0044259A" w:rsidRPr="002F57E1">
        <w:rPr>
          <w:lang w:val="fr-FR"/>
        </w:rPr>
        <w:t xml:space="preserve">, </w:t>
      </w:r>
      <w:r w:rsidR="00BD0F67" w:rsidRPr="002F57E1">
        <w:rPr>
          <w:lang w:val="fr-FR"/>
        </w:rPr>
        <w:t xml:space="preserve">la </w:t>
      </w:r>
      <w:r w:rsidRPr="002F57E1">
        <w:rPr>
          <w:lang w:val="fr-FR"/>
        </w:rPr>
        <w:t>plupart</w:t>
      </w:r>
      <w:r w:rsidR="00BD0F67" w:rsidRPr="002F57E1">
        <w:rPr>
          <w:lang w:val="fr-FR"/>
        </w:rPr>
        <w:t xml:space="preserve"> de</w:t>
      </w:r>
      <w:r w:rsidR="000A583C" w:rsidRPr="002F57E1">
        <w:rPr>
          <w:lang w:val="fr-FR"/>
        </w:rPr>
        <w:t>s</w:t>
      </w:r>
      <w:r w:rsidR="00BD0F67" w:rsidRPr="002F57E1">
        <w:rPr>
          <w:lang w:val="fr-FR"/>
        </w:rPr>
        <w:t xml:space="preserve"> décès étant dus</w:t>
      </w:r>
      <w:r w:rsidR="00412C93">
        <w:rPr>
          <w:lang w:val="fr-FR"/>
        </w:rPr>
        <w:t xml:space="preserve"> </w:t>
      </w:r>
      <w:r w:rsidR="00FD403C" w:rsidRPr="002F57E1">
        <w:rPr>
          <w:lang w:val="fr-FR"/>
        </w:rPr>
        <w:t>au</w:t>
      </w:r>
      <w:r w:rsidR="0044259A" w:rsidRPr="002F57E1">
        <w:rPr>
          <w:lang w:val="fr-FR"/>
        </w:rPr>
        <w:t xml:space="preserve"> fentanyl </w:t>
      </w:r>
      <w:r w:rsidR="00E16809" w:rsidRPr="002F57E1">
        <w:rPr>
          <w:lang w:val="fr-FR"/>
        </w:rPr>
        <w:t xml:space="preserve">et </w:t>
      </w:r>
      <w:r w:rsidR="00BD0F67" w:rsidRPr="002F57E1">
        <w:rPr>
          <w:lang w:val="fr-FR"/>
        </w:rPr>
        <w:t xml:space="preserve">à </w:t>
      </w:r>
      <w:r w:rsidR="00E16809" w:rsidRPr="002F57E1">
        <w:rPr>
          <w:lang w:val="fr-FR"/>
        </w:rPr>
        <w:t>ses dé</w:t>
      </w:r>
      <w:r w:rsidR="0044259A" w:rsidRPr="002F57E1">
        <w:rPr>
          <w:lang w:val="fr-FR"/>
        </w:rPr>
        <w:t>riv</w:t>
      </w:r>
      <w:r w:rsidR="00E16809" w:rsidRPr="002F57E1">
        <w:rPr>
          <w:lang w:val="fr-FR"/>
        </w:rPr>
        <w:t>é</w:t>
      </w:r>
      <w:r w:rsidR="0044259A" w:rsidRPr="002F57E1">
        <w:rPr>
          <w:lang w:val="fr-FR"/>
        </w:rPr>
        <w:t xml:space="preserve">s. </w:t>
      </w:r>
      <w:r w:rsidR="00FD403C" w:rsidRPr="002F57E1">
        <w:rPr>
          <w:lang w:val="fr-FR"/>
        </w:rPr>
        <w:t>La</w:t>
      </w:r>
      <w:r w:rsidR="00F6212D" w:rsidRPr="002F57E1">
        <w:rPr>
          <w:lang w:val="fr-FR"/>
        </w:rPr>
        <w:t xml:space="preserve"> présence </w:t>
      </w:r>
      <w:r w:rsidR="0041103B" w:rsidRPr="002F57E1">
        <w:rPr>
          <w:lang w:val="fr-FR"/>
        </w:rPr>
        <w:t xml:space="preserve">sur le marché illégal </w:t>
      </w:r>
      <w:r w:rsidR="00FD403C" w:rsidRPr="002F57E1">
        <w:rPr>
          <w:lang w:val="fr-FR"/>
        </w:rPr>
        <w:t>de</w:t>
      </w:r>
      <w:r w:rsidR="00F6212D" w:rsidRPr="002F57E1">
        <w:rPr>
          <w:lang w:val="fr-FR"/>
        </w:rPr>
        <w:t xml:space="preserve"> dérivés d</w:t>
      </w:r>
      <w:r w:rsidR="00FA492D">
        <w:rPr>
          <w:lang w:val="fr-FR"/>
        </w:rPr>
        <w:t>u</w:t>
      </w:r>
      <w:r w:rsidR="00F6212D" w:rsidRPr="002F57E1">
        <w:rPr>
          <w:lang w:val="fr-FR"/>
        </w:rPr>
        <w:t xml:space="preserve"> </w:t>
      </w:r>
      <w:r w:rsidR="00FA5821" w:rsidRPr="002F57E1">
        <w:rPr>
          <w:lang w:val="fr-FR"/>
        </w:rPr>
        <w:t>fentanyl</w:t>
      </w:r>
      <w:r w:rsidR="00412C93">
        <w:rPr>
          <w:lang w:val="fr-FR"/>
        </w:rPr>
        <w:t xml:space="preserve"> </w:t>
      </w:r>
      <w:r w:rsidR="00FA492D" w:rsidRPr="002F57E1">
        <w:rPr>
          <w:lang w:val="fr-FR"/>
        </w:rPr>
        <w:t xml:space="preserve">non </w:t>
      </w:r>
      <w:r w:rsidR="00FA492D">
        <w:rPr>
          <w:lang w:val="fr-FR"/>
        </w:rPr>
        <w:t>réglementé</w:t>
      </w:r>
      <w:r w:rsidR="00FA492D" w:rsidRPr="002F57E1">
        <w:rPr>
          <w:lang w:val="fr-FR"/>
        </w:rPr>
        <w:t xml:space="preserve">s par le droit international </w:t>
      </w:r>
      <w:r w:rsidR="00F6212D" w:rsidRPr="002F57E1">
        <w:rPr>
          <w:lang w:val="fr-FR"/>
        </w:rPr>
        <w:t>et</w:t>
      </w:r>
      <w:r w:rsidR="00FD403C" w:rsidRPr="002F57E1">
        <w:rPr>
          <w:lang w:val="fr-FR"/>
        </w:rPr>
        <w:t xml:space="preserve"> d’une</w:t>
      </w:r>
      <w:r w:rsidR="00412C93">
        <w:rPr>
          <w:lang w:val="fr-FR"/>
        </w:rPr>
        <w:t xml:space="preserve"> </w:t>
      </w:r>
      <w:r w:rsidR="00FD403C" w:rsidRPr="002F57E1">
        <w:rPr>
          <w:rStyle w:val="hps"/>
          <w:rFonts w:cs="Arial"/>
          <w:color w:val="222222"/>
          <w:lang w:val="fr-FR"/>
        </w:rPr>
        <w:t>gamme d'autres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FD403C" w:rsidRPr="002F57E1">
        <w:rPr>
          <w:rStyle w:val="hps"/>
          <w:rFonts w:cs="Arial"/>
          <w:color w:val="222222"/>
          <w:lang w:val="fr-FR"/>
        </w:rPr>
        <w:t>opiacés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41103B" w:rsidRPr="002F57E1">
        <w:rPr>
          <w:rStyle w:val="hps"/>
          <w:rFonts w:cs="Arial"/>
          <w:color w:val="222222"/>
          <w:lang w:val="fr-FR"/>
        </w:rPr>
        <w:t>de synthèse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FA492D">
        <w:rPr>
          <w:rStyle w:val="hps"/>
          <w:rFonts w:cs="Arial"/>
          <w:color w:val="222222"/>
          <w:lang w:val="fr-FR"/>
        </w:rPr>
        <w:t>fortement dosés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7C31BF" w:rsidRPr="002F57E1">
        <w:rPr>
          <w:lang w:val="fr-FR"/>
        </w:rPr>
        <w:t>(par ex.</w:t>
      </w:r>
      <w:r w:rsidR="00F6212D" w:rsidRPr="002F57E1">
        <w:rPr>
          <w:lang w:val="fr-FR"/>
        </w:rPr>
        <w:t xml:space="preserve"> l’AH-7921)</w:t>
      </w:r>
      <w:r w:rsidRPr="002F57E1">
        <w:rPr>
          <w:lang w:val="fr-FR"/>
        </w:rPr>
        <w:t xml:space="preserve"> est signalée de plus en plus fréquemment</w:t>
      </w:r>
      <w:r w:rsidR="00FC49E7" w:rsidRPr="002F57E1">
        <w:rPr>
          <w:lang w:val="fr-FR"/>
        </w:rPr>
        <w:t xml:space="preserve"> </w:t>
      </w:r>
      <w:r w:rsidR="00043BD1">
        <w:rPr>
          <w:lang w:val="fr-FR"/>
        </w:rPr>
        <w:t>par l’intermédiaire du</w:t>
      </w:r>
      <w:r w:rsidR="00FC49E7" w:rsidRPr="002F57E1">
        <w:rPr>
          <w:lang w:val="fr-FR"/>
        </w:rPr>
        <w:t xml:space="preserve"> </w:t>
      </w:r>
      <w:r w:rsidR="000D0412" w:rsidRPr="002F57E1">
        <w:rPr>
          <w:b/>
          <w:lang w:val="fr-FR"/>
        </w:rPr>
        <w:t xml:space="preserve">système d’alerte </w:t>
      </w:r>
      <w:r w:rsidR="001D5E5D">
        <w:rPr>
          <w:b/>
          <w:lang w:val="fr-FR"/>
        </w:rPr>
        <w:t>précoce</w:t>
      </w:r>
      <w:r w:rsidR="001D5E5D" w:rsidRPr="002F57E1">
        <w:rPr>
          <w:b/>
          <w:lang w:val="fr-FR"/>
        </w:rPr>
        <w:t xml:space="preserve"> </w:t>
      </w:r>
      <w:r w:rsidR="00F430F4" w:rsidRPr="002F57E1">
        <w:rPr>
          <w:b/>
          <w:lang w:val="fr-FR"/>
        </w:rPr>
        <w:t>de l’Union européenne</w:t>
      </w:r>
      <w:r w:rsidR="00043BD1">
        <w:rPr>
          <w:b/>
          <w:lang w:val="fr-FR"/>
        </w:rPr>
        <w:t xml:space="preserve"> (EWS)</w:t>
      </w:r>
      <w:r w:rsidR="0044259A" w:rsidRPr="002F57E1">
        <w:rPr>
          <w:lang w:val="fr-FR"/>
        </w:rPr>
        <w:t>.</w:t>
      </w:r>
    </w:p>
    <w:p w:rsidR="005E0BEB" w:rsidRPr="002F57E1" w:rsidRDefault="00F95130" w:rsidP="003C2E9B">
      <w:pPr>
        <w:pStyle w:val="newsContent"/>
        <w:rPr>
          <w:lang w:val="fr-FR"/>
        </w:rPr>
      </w:pPr>
      <w:r>
        <w:rPr>
          <w:b/>
          <w:lang w:val="fr-FR"/>
        </w:rPr>
        <w:t>I</w:t>
      </w:r>
      <w:r w:rsidR="00867D4B" w:rsidRPr="002F57E1">
        <w:rPr>
          <w:b/>
          <w:lang w:val="fr-FR"/>
        </w:rPr>
        <w:t>mpact négatif sur la tendance dans l’UE</w:t>
      </w:r>
      <w:r w:rsidRPr="00F95130">
        <w:rPr>
          <w:b/>
          <w:lang w:val="fr-FR"/>
        </w:rPr>
        <w:t xml:space="preserve"> </w:t>
      </w:r>
      <w:r>
        <w:rPr>
          <w:b/>
          <w:lang w:val="fr-FR"/>
        </w:rPr>
        <w:t>des épidémies de VIH dans certains pays</w:t>
      </w:r>
    </w:p>
    <w:p w:rsidR="00AC31CE" w:rsidRPr="002F57E1" w:rsidRDefault="002B0C47" w:rsidP="003C2E9B">
      <w:pPr>
        <w:pStyle w:val="newsContent"/>
        <w:rPr>
          <w:lang w:val="fr-FR"/>
        </w:rPr>
      </w:pPr>
      <w:r w:rsidRPr="002F57E1">
        <w:rPr>
          <w:lang w:val="fr-FR"/>
        </w:rPr>
        <w:t>Au cours de la</w:t>
      </w:r>
      <w:r w:rsidR="00412C93">
        <w:rPr>
          <w:lang w:val="fr-FR"/>
        </w:rPr>
        <w:t xml:space="preserve"> </w:t>
      </w:r>
      <w:r w:rsidRPr="002F57E1">
        <w:rPr>
          <w:lang w:val="fr-FR"/>
        </w:rPr>
        <w:t xml:space="preserve">décennie </w:t>
      </w:r>
      <w:r w:rsidR="009B1E58" w:rsidRPr="002F57E1">
        <w:rPr>
          <w:lang w:val="fr-FR"/>
        </w:rPr>
        <w:t>écoulée</w:t>
      </w:r>
      <w:r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FD403C" w:rsidRPr="002F57E1">
        <w:rPr>
          <w:lang w:val="fr-FR"/>
        </w:rPr>
        <w:t xml:space="preserve">d’importants </w:t>
      </w:r>
      <w:r w:rsidR="00FD403C" w:rsidRPr="002F57E1">
        <w:rPr>
          <w:rStyle w:val="hps"/>
          <w:rFonts w:cs="Arial"/>
          <w:color w:val="222222"/>
          <w:lang w:val="fr-FR"/>
        </w:rPr>
        <w:t>progrès ont été réalisés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FD403C" w:rsidRPr="002F57E1">
        <w:rPr>
          <w:rStyle w:val="hps"/>
          <w:rFonts w:cs="Arial"/>
          <w:color w:val="222222"/>
          <w:lang w:val="fr-FR"/>
        </w:rPr>
        <w:t>au sein de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FD403C" w:rsidRPr="002F57E1">
        <w:rPr>
          <w:rStyle w:val="hps"/>
          <w:rFonts w:cs="Arial"/>
          <w:color w:val="222222"/>
          <w:lang w:val="fr-FR"/>
        </w:rPr>
        <w:t>l'UE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FD403C" w:rsidRPr="002F57E1">
        <w:rPr>
          <w:rStyle w:val="hps"/>
          <w:rFonts w:cs="Arial"/>
          <w:color w:val="222222"/>
          <w:lang w:val="fr-FR"/>
        </w:rPr>
        <w:t>dans la lutte contre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FD403C" w:rsidRPr="002F57E1">
        <w:rPr>
          <w:rStyle w:val="hps"/>
          <w:rFonts w:cs="Arial"/>
          <w:color w:val="222222"/>
          <w:lang w:val="fr-FR"/>
        </w:rPr>
        <w:t xml:space="preserve">l'infection </w:t>
      </w:r>
      <w:r w:rsidR="00CD5634" w:rsidRPr="002F57E1">
        <w:rPr>
          <w:rStyle w:val="hps"/>
          <w:rFonts w:cs="Arial"/>
          <w:color w:val="222222"/>
          <w:lang w:val="fr-FR"/>
        </w:rPr>
        <w:t>par le</w:t>
      </w:r>
      <w:r w:rsidR="00FD403C" w:rsidRPr="002F57E1">
        <w:rPr>
          <w:rStyle w:val="hps"/>
          <w:rFonts w:cs="Arial"/>
          <w:color w:val="222222"/>
          <w:lang w:val="fr-FR"/>
        </w:rPr>
        <w:t xml:space="preserve"> VIH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871EC7" w:rsidRPr="002F57E1">
        <w:rPr>
          <w:lang w:val="fr-FR"/>
        </w:rPr>
        <w:t>p</w:t>
      </w:r>
      <w:r w:rsidR="00F5344B" w:rsidRPr="002F57E1">
        <w:rPr>
          <w:lang w:val="fr-FR"/>
        </w:rPr>
        <w:t>a</w:t>
      </w:r>
      <w:r w:rsidR="00871EC7" w:rsidRPr="002F57E1">
        <w:rPr>
          <w:lang w:val="fr-FR"/>
        </w:rPr>
        <w:t>rmi l</w:t>
      </w:r>
      <w:r w:rsidR="00F5344B" w:rsidRPr="002F57E1">
        <w:rPr>
          <w:lang w:val="fr-FR"/>
        </w:rPr>
        <w:t>es</w:t>
      </w:r>
      <w:r w:rsidR="00412C93">
        <w:rPr>
          <w:lang w:val="fr-FR"/>
        </w:rPr>
        <w:t xml:space="preserve"> </w:t>
      </w:r>
      <w:r w:rsidR="00CD5634" w:rsidRPr="002F57E1">
        <w:rPr>
          <w:lang w:val="fr-FR"/>
        </w:rPr>
        <w:t>usagers</w:t>
      </w:r>
      <w:r w:rsidR="00F5344B" w:rsidRPr="002F57E1">
        <w:rPr>
          <w:lang w:val="fr-FR"/>
        </w:rPr>
        <w:t xml:space="preserve"> de drogues </w:t>
      </w:r>
      <w:r w:rsidR="00CD5634" w:rsidRPr="002F57E1">
        <w:rPr>
          <w:lang w:val="fr-FR"/>
        </w:rPr>
        <w:t>par injection</w:t>
      </w:r>
      <w:r w:rsidR="00F5344B" w:rsidRPr="002F57E1">
        <w:rPr>
          <w:lang w:val="fr-FR"/>
        </w:rPr>
        <w:t xml:space="preserve">, </w:t>
      </w:r>
      <w:r w:rsidR="00244ADA" w:rsidRPr="002F57E1">
        <w:rPr>
          <w:lang w:val="fr-FR"/>
        </w:rPr>
        <w:t xml:space="preserve">visant </w:t>
      </w:r>
      <w:r w:rsidR="00F5344B" w:rsidRPr="002F57E1">
        <w:rPr>
          <w:lang w:val="fr-FR"/>
        </w:rPr>
        <w:t xml:space="preserve">notamment </w:t>
      </w:r>
      <w:r w:rsidR="00244ADA" w:rsidRPr="002F57E1">
        <w:rPr>
          <w:lang w:val="fr-FR"/>
        </w:rPr>
        <w:t>à accroître la</w:t>
      </w:r>
      <w:r w:rsidR="00F5344B" w:rsidRPr="002F57E1">
        <w:rPr>
          <w:lang w:val="fr-FR"/>
        </w:rPr>
        <w:t xml:space="preserve"> couverture </w:t>
      </w:r>
      <w:r w:rsidR="00244ADA" w:rsidRPr="002F57E1">
        <w:rPr>
          <w:lang w:val="fr-FR"/>
        </w:rPr>
        <w:t xml:space="preserve">de </w:t>
      </w:r>
      <w:r w:rsidR="00F5344B" w:rsidRPr="002F57E1">
        <w:rPr>
          <w:lang w:val="fr-FR"/>
        </w:rPr>
        <w:t xml:space="preserve">la prévention, des traitements et des mesures de réduction </w:t>
      </w:r>
      <w:r w:rsidR="00244ADA" w:rsidRPr="002F57E1">
        <w:rPr>
          <w:lang w:val="fr-FR"/>
        </w:rPr>
        <w:t>des risques</w:t>
      </w:r>
      <w:r w:rsidR="00AC31CE" w:rsidRPr="002F57E1">
        <w:rPr>
          <w:lang w:val="fr-FR"/>
        </w:rPr>
        <w:t xml:space="preserve">. </w:t>
      </w:r>
      <w:r w:rsidR="00A63996" w:rsidRPr="002F57E1">
        <w:rPr>
          <w:lang w:val="fr-FR"/>
        </w:rPr>
        <w:t xml:space="preserve">Les résultats les plus récents montrent cependant que les évolutions dans certains pays </w:t>
      </w:r>
      <w:r w:rsidR="00523CC0" w:rsidRPr="002F57E1">
        <w:rPr>
          <w:lang w:val="fr-FR"/>
        </w:rPr>
        <w:t>compromettent le recul</w:t>
      </w:r>
      <w:r w:rsidR="00A63996" w:rsidRPr="002F57E1">
        <w:rPr>
          <w:lang w:val="fr-FR"/>
        </w:rPr>
        <w:t xml:space="preserve"> à long terme du nombre de nouveaux cas de VIH </w:t>
      </w:r>
      <w:r w:rsidR="00FA492D">
        <w:rPr>
          <w:lang w:val="fr-FR"/>
        </w:rPr>
        <w:t xml:space="preserve">diagnostiqués </w:t>
      </w:r>
      <w:r w:rsidR="00A63996" w:rsidRPr="002F57E1">
        <w:rPr>
          <w:lang w:val="fr-FR"/>
        </w:rPr>
        <w:t xml:space="preserve">en </w:t>
      </w:r>
      <w:r w:rsidR="00AC31CE" w:rsidRPr="002F57E1">
        <w:rPr>
          <w:lang w:val="fr-FR"/>
        </w:rPr>
        <w:t>Europe.</w:t>
      </w:r>
      <w:r w:rsidR="00FA492D">
        <w:rPr>
          <w:lang w:val="fr-FR"/>
        </w:rPr>
        <w:t xml:space="preserve"> </w:t>
      </w:r>
      <w:r w:rsidR="003470DE" w:rsidRPr="002F57E1">
        <w:rPr>
          <w:lang w:val="fr-FR"/>
        </w:rPr>
        <w:t>«</w:t>
      </w:r>
      <w:r w:rsidR="00242B0F">
        <w:rPr>
          <w:lang w:val="fr-FR"/>
        </w:rPr>
        <w:t xml:space="preserve"> </w:t>
      </w:r>
      <w:r w:rsidR="00604E7C" w:rsidRPr="002F57E1">
        <w:rPr>
          <w:lang w:val="fr-FR"/>
        </w:rPr>
        <w:t xml:space="preserve">Des flambées épidémiques de VIH constatées </w:t>
      </w:r>
      <w:r w:rsidR="003E2817">
        <w:rPr>
          <w:lang w:val="fr-FR"/>
        </w:rPr>
        <w:t xml:space="preserve">récemment </w:t>
      </w:r>
      <w:r w:rsidR="00604E7C" w:rsidRPr="002F57E1">
        <w:rPr>
          <w:lang w:val="fr-FR"/>
        </w:rPr>
        <w:t xml:space="preserve">chez les consommateurs de drogue en </w:t>
      </w:r>
      <w:r w:rsidR="00604E7C" w:rsidRPr="002F57E1">
        <w:rPr>
          <w:b/>
          <w:lang w:val="fr-FR"/>
        </w:rPr>
        <w:t>Grèce</w:t>
      </w:r>
      <w:r w:rsidR="00604E7C" w:rsidRPr="002F57E1">
        <w:rPr>
          <w:lang w:val="fr-FR"/>
        </w:rPr>
        <w:t xml:space="preserve"> et en </w:t>
      </w:r>
      <w:r w:rsidR="00604E7C" w:rsidRPr="002F57E1">
        <w:rPr>
          <w:b/>
          <w:lang w:val="fr-FR"/>
        </w:rPr>
        <w:t>Roumanie</w:t>
      </w:r>
      <w:r w:rsidR="00604E7C" w:rsidRPr="002F57E1">
        <w:rPr>
          <w:lang w:val="fr-FR"/>
        </w:rPr>
        <w:t xml:space="preserve">, ainsi que </w:t>
      </w:r>
      <w:r w:rsidR="00FA492D">
        <w:rPr>
          <w:lang w:val="fr-FR"/>
        </w:rPr>
        <w:t>d</w:t>
      </w:r>
      <w:r w:rsidR="00604E7C" w:rsidRPr="002F57E1">
        <w:rPr>
          <w:lang w:val="fr-FR"/>
        </w:rPr>
        <w:t xml:space="preserve">es problèmes </w:t>
      </w:r>
      <w:r w:rsidR="00FA492D" w:rsidRPr="00FA492D">
        <w:rPr>
          <w:lang w:val="fr-FR"/>
        </w:rPr>
        <w:lastRenderedPageBreak/>
        <w:t xml:space="preserve">persistant </w:t>
      </w:r>
      <w:r w:rsidR="00604E7C" w:rsidRPr="002F57E1">
        <w:rPr>
          <w:lang w:val="fr-FR"/>
        </w:rPr>
        <w:t xml:space="preserve">dans certains </w:t>
      </w:r>
      <w:r w:rsidR="00604E7C" w:rsidRPr="002F57E1">
        <w:rPr>
          <w:b/>
          <w:lang w:val="fr-FR"/>
        </w:rPr>
        <w:t>pays baltes</w:t>
      </w:r>
      <w:r w:rsidR="006A6420">
        <w:rPr>
          <w:b/>
          <w:lang w:val="fr-FR"/>
        </w:rPr>
        <w:t>,</w:t>
      </w:r>
      <w:r w:rsidR="00604E7C" w:rsidRPr="002F57E1">
        <w:rPr>
          <w:lang w:val="fr-FR"/>
        </w:rPr>
        <w:t xml:space="preserve"> ont freiné les progrès visant à réduire le nombre de nouvelles infections liées à l’usage de drogue</w:t>
      </w:r>
      <w:r w:rsidR="00FA492D">
        <w:rPr>
          <w:lang w:val="fr-FR"/>
        </w:rPr>
        <w:t xml:space="preserve"> </w:t>
      </w:r>
      <w:r w:rsidR="00FA492D" w:rsidRPr="00FA492D">
        <w:rPr>
          <w:lang w:val="fr-FR"/>
        </w:rPr>
        <w:t>à l'échelle européenne</w:t>
      </w:r>
      <w:r w:rsidR="004D040C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AC31CE" w:rsidRPr="002F57E1">
        <w:rPr>
          <w:lang w:val="fr-FR"/>
        </w:rPr>
        <w:t xml:space="preserve">, </w:t>
      </w:r>
      <w:r w:rsidR="002C2886" w:rsidRPr="002F57E1">
        <w:rPr>
          <w:lang w:val="fr-FR"/>
        </w:rPr>
        <w:t>indique le rapport.</w:t>
      </w:r>
    </w:p>
    <w:p w:rsidR="00AC31CE" w:rsidRPr="002F57E1" w:rsidRDefault="00523CC0" w:rsidP="003C2E9B">
      <w:pPr>
        <w:pStyle w:val="newsContent"/>
        <w:rPr>
          <w:lang w:val="fr-FR"/>
        </w:rPr>
      </w:pPr>
      <w:r w:rsidRPr="002F57E1">
        <w:rPr>
          <w:lang w:val="fr-FR"/>
        </w:rPr>
        <w:t xml:space="preserve">En 2012, le </w:t>
      </w:r>
      <w:r w:rsidR="000D5072" w:rsidRPr="002F57E1">
        <w:rPr>
          <w:lang w:val="fr-FR"/>
        </w:rPr>
        <w:t xml:space="preserve">taux moyen de nouveaux </w:t>
      </w:r>
      <w:r w:rsidRPr="002F57E1">
        <w:rPr>
          <w:lang w:val="fr-FR"/>
        </w:rPr>
        <w:t>cas</w:t>
      </w:r>
      <w:r w:rsidR="005356FD" w:rsidRPr="002F57E1">
        <w:rPr>
          <w:lang w:val="fr-FR"/>
        </w:rPr>
        <w:t xml:space="preserve"> d'infection par le VIH</w:t>
      </w:r>
      <w:r w:rsidR="00412C93">
        <w:rPr>
          <w:lang w:val="fr-FR"/>
        </w:rPr>
        <w:t xml:space="preserve"> </w:t>
      </w:r>
      <w:r w:rsidRPr="002F57E1">
        <w:rPr>
          <w:lang w:val="fr-FR"/>
        </w:rPr>
        <w:t>diagnostiqués et attribués à l’usage de drogue par</w:t>
      </w:r>
      <w:r w:rsidR="00412C93">
        <w:rPr>
          <w:lang w:val="fr-FR"/>
        </w:rPr>
        <w:t xml:space="preserve"> </w:t>
      </w:r>
      <w:r w:rsidR="000D5072" w:rsidRPr="002F57E1">
        <w:rPr>
          <w:lang w:val="fr-FR"/>
        </w:rPr>
        <w:t>injection</w:t>
      </w:r>
      <w:r w:rsidR="00412C93">
        <w:rPr>
          <w:lang w:val="fr-FR"/>
        </w:rPr>
        <w:t xml:space="preserve"> </w:t>
      </w:r>
      <w:r w:rsidR="000D5072" w:rsidRPr="002F57E1">
        <w:rPr>
          <w:lang w:val="fr-FR"/>
        </w:rPr>
        <w:t>était de 3,1</w:t>
      </w:r>
      <w:r w:rsidR="00AB76A2" w:rsidRPr="002F57E1">
        <w:rPr>
          <w:lang w:val="fr-FR"/>
        </w:rPr>
        <w:t> </w:t>
      </w:r>
      <w:r w:rsidRPr="002F57E1">
        <w:rPr>
          <w:lang w:val="fr-FR"/>
        </w:rPr>
        <w:t>cas</w:t>
      </w:r>
      <w:r w:rsidR="000D5072" w:rsidRPr="002F57E1">
        <w:rPr>
          <w:lang w:val="fr-FR"/>
        </w:rPr>
        <w:t xml:space="preserve"> pa</w:t>
      </w:r>
      <w:r w:rsidR="00AC31CE" w:rsidRPr="002F57E1">
        <w:rPr>
          <w:lang w:val="fr-FR"/>
        </w:rPr>
        <w:t xml:space="preserve">r million </w:t>
      </w:r>
      <w:r w:rsidR="004F3939" w:rsidRPr="002F57E1">
        <w:rPr>
          <w:lang w:val="fr-FR"/>
        </w:rPr>
        <w:t>d’habitants</w:t>
      </w:r>
      <w:r w:rsidR="000D5072" w:rsidRPr="002F57E1">
        <w:rPr>
          <w:lang w:val="fr-FR"/>
        </w:rPr>
        <w:t>. E</w:t>
      </w:r>
      <w:r w:rsidR="00AC31CE" w:rsidRPr="002F57E1">
        <w:rPr>
          <w:lang w:val="fr-FR"/>
        </w:rPr>
        <w:t xml:space="preserve">n </w:t>
      </w:r>
      <w:r w:rsidR="00AC31CE" w:rsidRPr="002F57E1">
        <w:rPr>
          <w:b/>
          <w:lang w:val="fr-FR"/>
        </w:rPr>
        <w:t>Estoni</w:t>
      </w:r>
      <w:r w:rsidR="000D5072" w:rsidRPr="002F57E1">
        <w:rPr>
          <w:b/>
          <w:lang w:val="fr-FR"/>
        </w:rPr>
        <w:t>e</w:t>
      </w:r>
      <w:r w:rsidR="00AC31CE" w:rsidRPr="002F57E1">
        <w:rPr>
          <w:lang w:val="fr-FR"/>
        </w:rPr>
        <w:t xml:space="preserve">, </w:t>
      </w:r>
      <w:r w:rsidR="000D5072" w:rsidRPr="002F57E1">
        <w:rPr>
          <w:lang w:val="fr-FR"/>
        </w:rPr>
        <w:t>l</w:t>
      </w:r>
      <w:r w:rsidR="00AC31CE" w:rsidRPr="002F57E1">
        <w:rPr>
          <w:lang w:val="fr-FR"/>
        </w:rPr>
        <w:t xml:space="preserve">e </w:t>
      </w:r>
      <w:r w:rsidR="000D5072" w:rsidRPr="002F57E1">
        <w:rPr>
          <w:lang w:val="fr-FR"/>
        </w:rPr>
        <w:t xml:space="preserve">taux de nouveaux </w:t>
      </w:r>
      <w:r w:rsidRPr="002F57E1">
        <w:rPr>
          <w:lang w:val="fr-FR"/>
        </w:rPr>
        <w:t>cas</w:t>
      </w:r>
      <w:r w:rsidR="00412C93">
        <w:rPr>
          <w:lang w:val="fr-FR"/>
        </w:rPr>
        <w:t xml:space="preserve"> </w:t>
      </w:r>
      <w:r w:rsidR="00AB76A2" w:rsidRPr="002F57E1">
        <w:rPr>
          <w:lang w:val="fr-FR"/>
        </w:rPr>
        <w:t>diagnostiqués demeure</w:t>
      </w:r>
      <w:r w:rsidR="00412C93">
        <w:rPr>
          <w:lang w:val="fr-FR"/>
        </w:rPr>
        <w:t xml:space="preserve"> </w:t>
      </w:r>
      <w:r w:rsidR="00AB76A2" w:rsidRPr="002F57E1">
        <w:rPr>
          <w:lang w:val="fr-FR"/>
        </w:rPr>
        <w:t>élevé</w:t>
      </w:r>
      <w:r w:rsidR="000D5072" w:rsidRPr="002F57E1">
        <w:rPr>
          <w:lang w:val="fr-FR"/>
        </w:rPr>
        <w:t xml:space="preserve"> (53,7</w:t>
      </w:r>
      <w:r w:rsidR="00AB76A2" w:rsidRPr="002F57E1">
        <w:rPr>
          <w:lang w:val="fr-FR"/>
        </w:rPr>
        <w:t> </w:t>
      </w:r>
      <w:r w:rsidR="000D5072" w:rsidRPr="002F57E1">
        <w:rPr>
          <w:lang w:val="fr-FR"/>
        </w:rPr>
        <w:t>cas pa</w:t>
      </w:r>
      <w:r w:rsidR="00AC31CE" w:rsidRPr="002F57E1">
        <w:rPr>
          <w:lang w:val="fr-FR"/>
        </w:rPr>
        <w:t>r million</w:t>
      </w:r>
      <w:r w:rsidR="00412C93">
        <w:rPr>
          <w:lang w:val="fr-FR"/>
        </w:rPr>
        <w:t xml:space="preserve"> </w:t>
      </w:r>
      <w:r w:rsidR="004F3939" w:rsidRPr="002F57E1">
        <w:rPr>
          <w:lang w:val="fr-FR"/>
        </w:rPr>
        <w:t>d’habitants</w:t>
      </w:r>
      <w:r w:rsidR="000D5072" w:rsidRPr="002F57E1">
        <w:rPr>
          <w:lang w:val="fr-FR"/>
        </w:rPr>
        <w:t xml:space="preserve"> en 2012)</w:t>
      </w:r>
      <w:r w:rsidR="00AB76A2"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0D5072" w:rsidRPr="002F57E1">
        <w:rPr>
          <w:lang w:val="fr-FR"/>
        </w:rPr>
        <w:t>alors qu’e</w:t>
      </w:r>
      <w:r w:rsidR="00AC31CE" w:rsidRPr="002F57E1">
        <w:rPr>
          <w:lang w:val="fr-FR"/>
        </w:rPr>
        <w:t xml:space="preserve">n </w:t>
      </w:r>
      <w:r w:rsidR="000D5072" w:rsidRPr="002F57E1">
        <w:rPr>
          <w:b/>
          <w:lang w:val="fr-FR"/>
        </w:rPr>
        <w:t>Let</w:t>
      </w:r>
      <w:r w:rsidR="00AC31CE" w:rsidRPr="002F57E1">
        <w:rPr>
          <w:b/>
          <w:lang w:val="fr-FR"/>
        </w:rPr>
        <w:t>t</w:t>
      </w:r>
      <w:r w:rsidR="000D5072" w:rsidRPr="002F57E1">
        <w:rPr>
          <w:b/>
          <w:lang w:val="fr-FR"/>
        </w:rPr>
        <w:t>on</w:t>
      </w:r>
      <w:r w:rsidR="00AC31CE" w:rsidRPr="002F57E1">
        <w:rPr>
          <w:b/>
          <w:lang w:val="fr-FR"/>
        </w:rPr>
        <w:t>i</w:t>
      </w:r>
      <w:r w:rsidR="000D5072" w:rsidRPr="002F57E1">
        <w:rPr>
          <w:b/>
          <w:lang w:val="fr-FR"/>
        </w:rPr>
        <w:t>e</w:t>
      </w:r>
      <w:r w:rsidR="00AC31CE" w:rsidRPr="002F57E1">
        <w:rPr>
          <w:b/>
          <w:lang w:val="fr-FR"/>
        </w:rPr>
        <w:t>,</w:t>
      </w:r>
      <w:r w:rsidR="00412C93">
        <w:rPr>
          <w:b/>
          <w:lang w:val="fr-FR"/>
        </w:rPr>
        <w:t xml:space="preserve"> </w:t>
      </w:r>
      <w:r w:rsidR="00D81F9D" w:rsidRPr="002F57E1">
        <w:rPr>
          <w:lang w:val="fr-FR"/>
        </w:rPr>
        <w:t>le taux annuel</w:t>
      </w:r>
      <w:r w:rsidR="00230CE5" w:rsidRPr="002F57E1">
        <w:rPr>
          <w:lang w:val="fr-FR"/>
        </w:rPr>
        <w:t xml:space="preserve"> augment</w:t>
      </w:r>
      <w:r w:rsidR="00AB76A2" w:rsidRPr="002F57E1">
        <w:rPr>
          <w:lang w:val="fr-FR"/>
        </w:rPr>
        <w:t>e</w:t>
      </w:r>
      <w:r w:rsidR="00230CE5" w:rsidRPr="002F57E1">
        <w:rPr>
          <w:lang w:val="fr-FR"/>
        </w:rPr>
        <w:t xml:space="preserve"> depuis </w:t>
      </w:r>
      <w:r w:rsidR="00AC31CE" w:rsidRPr="002F57E1">
        <w:rPr>
          <w:lang w:val="fr-FR"/>
        </w:rPr>
        <w:t>2009 (</w:t>
      </w:r>
      <w:r w:rsidR="005356FD" w:rsidRPr="002F57E1">
        <w:rPr>
          <w:lang w:val="fr-FR"/>
        </w:rPr>
        <w:t>de </w:t>
      </w:r>
      <w:r w:rsidR="00230CE5" w:rsidRPr="002F57E1">
        <w:rPr>
          <w:lang w:val="fr-FR"/>
        </w:rPr>
        <w:t>34,5</w:t>
      </w:r>
      <w:r w:rsidR="00AB76A2" w:rsidRPr="002F57E1">
        <w:rPr>
          <w:lang w:val="fr-FR"/>
        </w:rPr>
        <w:t> </w:t>
      </w:r>
      <w:r w:rsidR="00230CE5" w:rsidRPr="002F57E1">
        <w:rPr>
          <w:lang w:val="fr-FR"/>
        </w:rPr>
        <w:t>cas</w:t>
      </w:r>
      <w:r w:rsidR="00412C93">
        <w:rPr>
          <w:lang w:val="fr-FR"/>
        </w:rPr>
        <w:t xml:space="preserve"> </w:t>
      </w:r>
      <w:r w:rsidR="00230CE5" w:rsidRPr="002F57E1">
        <w:rPr>
          <w:lang w:val="fr-FR"/>
        </w:rPr>
        <w:t xml:space="preserve">par million </w:t>
      </w:r>
      <w:r w:rsidR="004F3939" w:rsidRPr="002F57E1">
        <w:rPr>
          <w:lang w:val="fr-FR"/>
        </w:rPr>
        <w:t>d’habitants</w:t>
      </w:r>
      <w:r w:rsidR="00230CE5" w:rsidRPr="002F57E1">
        <w:rPr>
          <w:lang w:val="fr-FR"/>
        </w:rPr>
        <w:t xml:space="preserve"> e</w:t>
      </w:r>
      <w:r w:rsidR="00AC31CE" w:rsidRPr="002F57E1">
        <w:rPr>
          <w:lang w:val="fr-FR"/>
        </w:rPr>
        <w:t xml:space="preserve">n 2009 </w:t>
      </w:r>
      <w:r w:rsidR="00230CE5" w:rsidRPr="002F57E1">
        <w:rPr>
          <w:lang w:val="fr-FR"/>
        </w:rPr>
        <w:t>à 46,0 e</w:t>
      </w:r>
      <w:r w:rsidR="00AC31CE" w:rsidRPr="002F57E1">
        <w:rPr>
          <w:lang w:val="fr-FR"/>
        </w:rPr>
        <w:t xml:space="preserve">n 2012). </w:t>
      </w:r>
      <w:r w:rsidR="00F95130">
        <w:rPr>
          <w:lang w:val="fr-FR"/>
        </w:rPr>
        <w:t xml:space="preserve">Conformément à la tendance observée depuis 2010, </w:t>
      </w:r>
      <w:r w:rsidR="0062088B" w:rsidRPr="002F57E1">
        <w:rPr>
          <w:lang w:val="fr-FR"/>
        </w:rPr>
        <w:t>1</w:t>
      </w:r>
      <w:r w:rsidR="008559FD" w:rsidRPr="002F57E1">
        <w:rPr>
          <w:lang w:val="fr-FR"/>
        </w:rPr>
        <w:t> </w:t>
      </w:r>
      <w:r w:rsidR="00AC31CE" w:rsidRPr="002F57E1">
        <w:rPr>
          <w:lang w:val="fr-FR"/>
        </w:rPr>
        <w:t>788</w:t>
      </w:r>
      <w:r w:rsidR="008559FD" w:rsidRPr="002F57E1">
        <w:rPr>
          <w:lang w:val="fr-FR"/>
        </w:rPr>
        <w:t> </w:t>
      </w:r>
      <w:r w:rsidR="0062088B" w:rsidRPr="002F57E1">
        <w:rPr>
          <w:lang w:val="fr-FR"/>
        </w:rPr>
        <w:t>nouveaux cas de VIH ont été</w:t>
      </w:r>
      <w:r w:rsidR="00412C93">
        <w:rPr>
          <w:lang w:val="fr-FR"/>
        </w:rPr>
        <w:t xml:space="preserve"> </w:t>
      </w:r>
      <w:r w:rsidR="00D81F9D" w:rsidRPr="002F57E1">
        <w:rPr>
          <w:lang w:val="fr-FR"/>
        </w:rPr>
        <w:t>signalés</w:t>
      </w:r>
      <w:r w:rsidR="008559FD" w:rsidRPr="002F57E1">
        <w:rPr>
          <w:lang w:val="fr-FR"/>
        </w:rPr>
        <w:t xml:space="preserve"> en 2012</w:t>
      </w:r>
      <w:r w:rsidR="00AC31CE" w:rsidRPr="002F57E1">
        <w:rPr>
          <w:lang w:val="fr-FR"/>
        </w:rPr>
        <w:t xml:space="preserve">, </w:t>
      </w:r>
      <w:r w:rsidR="005356FD" w:rsidRPr="002F57E1">
        <w:rPr>
          <w:lang w:val="fr-FR"/>
        </w:rPr>
        <w:t xml:space="preserve">soit une légère hausse par rapport </w:t>
      </w:r>
      <w:r w:rsidR="008559FD" w:rsidRPr="002F57E1">
        <w:rPr>
          <w:lang w:val="fr-FR"/>
        </w:rPr>
        <w:t>à</w:t>
      </w:r>
      <w:r w:rsidR="0062088B" w:rsidRPr="002F57E1">
        <w:rPr>
          <w:lang w:val="fr-FR"/>
        </w:rPr>
        <w:t xml:space="preserve"> 2011 (1 </w:t>
      </w:r>
      <w:r w:rsidR="00AC31CE" w:rsidRPr="002F57E1">
        <w:rPr>
          <w:lang w:val="fr-FR"/>
        </w:rPr>
        <w:t>732)</w:t>
      </w:r>
      <w:r w:rsidR="00E40F4B">
        <w:rPr>
          <w:lang w:val="fr-FR"/>
        </w:rPr>
        <w:t xml:space="preserve"> </w:t>
      </w:r>
      <w:r w:rsidR="00AC31CE" w:rsidRPr="002F57E1">
        <w:rPr>
          <w:lang w:val="fr-FR"/>
        </w:rPr>
        <w:t>(</w:t>
      </w:r>
      <w:r w:rsidR="007305B4" w:rsidRPr="002F57E1">
        <w:rPr>
          <w:lang w:val="fr-FR"/>
        </w:rPr>
        <w:t>figure</w:t>
      </w:r>
      <w:r w:rsidR="00C25937">
        <w:rPr>
          <w:lang w:val="fr-FR"/>
        </w:rPr>
        <w:t xml:space="preserve"> </w:t>
      </w:r>
      <w:r w:rsidR="00AC31CE" w:rsidRPr="002F57E1">
        <w:rPr>
          <w:lang w:val="fr-FR"/>
        </w:rPr>
        <w:t xml:space="preserve">2.11). </w:t>
      </w:r>
      <w:r w:rsidR="005356FD" w:rsidRPr="002F57E1">
        <w:rPr>
          <w:lang w:val="fr-FR"/>
        </w:rPr>
        <w:t xml:space="preserve">Alors </w:t>
      </w:r>
      <w:r w:rsidR="003C4F2C" w:rsidRPr="002F57E1">
        <w:rPr>
          <w:lang w:val="fr-FR"/>
        </w:rPr>
        <w:t>qu’en</w:t>
      </w:r>
      <w:r w:rsidR="00AC31CE" w:rsidRPr="002F57E1">
        <w:rPr>
          <w:lang w:val="fr-FR"/>
        </w:rPr>
        <w:t xml:space="preserve"> 2010,</w:t>
      </w:r>
      <w:r w:rsidR="003C4F2C" w:rsidRPr="002F57E1">
        <w:rPr>
          <w:lang w:val="fr-FR"/>
        </w:rPr>
        <w:t xml:space="preserve"> la</w:t>
      </w:r>
      <w:r w:rsidR="00412C93">
        <w:rPr>
          <w:lang w:val="fr-FR"/>
        </w:rPr>
        <w:t xml:space="preserve"> </w:t>
      </w:r>
      <w:r w:rsidR="00AC31CE" w:rsidRPr="002F57E1">
        <w:rPr>
          <w:b/>
          <w:lang w:val="fr-FR"/>
        </w:rPr>
        <w:t>Gr</w:t>
      </w:r>
      <w:r w:rsidR="003C4F2C" w:rsidRPr="002F57E1">
        <w:rPr>
          <w:b/>
          <w:lang w:val="fr-FR"/>
        </w:rPr>
        <w:t>è</w:t>
      </w:r>
      <w:r w:rsidR="00AC31CE" w:rsidRPr="002F57E1">
        <w:rPr>
          <w:b/>
          <w:lang w:val="fr-FR"/>
        </w:rPr>
        <w:t>ce</w:t>
      </w:r>
      <w:r w:rsidR="00412C93">
        <w:rPr>
          <w:b/>
          <w:lang w:val="fr-FR"/>
        </w:rPr>
        <w:t xml:space="preserve"> </w:t>
      </w:r>
      <w:r w:rsidR="003C4F2C" w:rsidRPr="002F57E1">
        <w:rPr>
          <w:lang w:val="fr-FR"/>
        </w:rPr>
        <w:t>et la</w:t>
      </w:r>
      <w:r w:rsidR="00412C93">
        <w:rPr>
          <w:lang w:val="fr-FR"/>
        </w:rPr>
        <w:t xml:space="preserve"> </w:t>
      </w:r>
      <w:r w:rsidR="00AC31CE" w:rsidRPr="002F57E1">
        <w:rPr>
          <w:b/>
          <w:lang w:val="fr-FR"/>
        </w:rPr>
        <w:t>Ro</w:t>
      </w:r>
      <w:r w:rsidR="003C4F2C" w:rsidRPr="002F57E1">
        <w:rPr>
          <w:b/>
          <w:lang w:val="fr-FR"/>
        </w:rPr>
        <w:t>u</w:t>
      </w:r>
      <w:r w:rsidR="00AC31CE" w:rsidRPr="002F57E1">
        <w:rPr>
          <w:b/>
          <w:lang w:val="fr-FR"/>
        </w:rPr>
        <w:t>mani</w:t>
      </w:r>
      <w:r w:rsidR="003C4F2C" w:rsidRPr="002F57E1">
        <w:rPr>
          <w:b/>
          <w:lang w:val="fr-FR"/>
        </w:rPr>
        <w:t>e</w:t>
      </w:r>
      <w:r w:rsidR="003C4F2C" w:rsidRPr="002F57E1">
        <w:rPr>
          <w:lang w:val="fr-FR"/>
        </w:rPr>
        <w:t xml:space="preserve"> cont</w:t>
      </w:r>
      <w:r w:rsidR="00AC31CE" w:rsidRPr="002F57E1">
        <w:rPr>
          <w:lang w:val="fr-FR"/>
        </w:rPr>
        <w:t>ribu</w:t>
      </w:r>
      <w:r w:rsidR="002F4080" w:rsidRPr="002F57E1">
        <w:rPr>
          <w:lang w:val="fr-FR"/>
        </w:rPr>
        <w:t>aient</w:t>
      </w:r>
      <w:r w:rsidR="00412C93">
        <w:rPr>
          <w:lang w:val="fr-FR"/>
        </w:rPr>
        <w:t xml:space="preserve"> </w:t>
      </w:r>
      <w:r w:rsidR="005356FD" w:rsidRPr="002F57E1">
        <w:rPr>
          <w:lang w:val="fr-FR"/>
        </w:rPr>
        <w:t>à hauteur de</w:t>
      </w:r>
      <w:r w:rsidR="003C4F2C" w:rsidRPr="002F57E1">
        <w:rPr>
          <w:lang w:val="fr-FR"/>
        </w:rPr>
        <w:t xml:space="preserve"> plus de 2 % au nombre</w:t>
      </w:r>
      <w:r w:rsidR="00AC31CE" w:rsidRPr="002F57E1">
        <w:rPr>
          <w:lang w:val="fr-FR"/>
        </w:rPr>
        <w:t xml:space="preserve"> total </w:t>
      </w:r>
      <w:r w:rsidR="003C4F2C" w:rsidRPr="002F57E1">
        <w:rPr>
          <w:lang w:val="fr-FR"/>
        </w:rPr>
        <w:t xml:space="preserve">de nouveaux </w:t>
      </w:r>
      <w:r w:rsidRPr="002F57E1">
        <w:rPr>
          <w:rStyle w:val="hps"/>
          <w:rFonts w:cs="Arial"/>
          <w:color w:val="222222"/>
          <w:lang w:val="fr-FR"/>
        </w:rPr>
        <w:t>cas diagnostiqués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5356FD" w:rsidRPr="002F57E1">
        <w:rPr>
          <w:rStyle w:val="hps"/>
          <w:rFonts w:cs="Arial"/>
          <w:color w:val="222222"/>
          <w:lang w:val="fr-FR"/>
        </w:rPr>
        <w:t>chez les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5356FD" w:rsidRPr="002F57E1">
        <w:rPr>
          <w:rStyle w:val="hps"/>
          <w:rFonts w:cs="Arial"/>
          <w:color w:val="222222"/>
          <w:lang w:val="fr-FR"/>
        </w:rPr>
        <w:t>personnes infectées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5356FD" w:rsidRPr="002F57E1">
        <w:rPr>
          <w:rStyle w:val="hps"/>
          <w:rFonts w:cs="Arial"/>
          <w:color w:val="222222"/>
          <w:lang w:val="fr-FR"/>
        </w:rPr>
        <w:t>par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Pr="002F57E1">
        <w:rPr>
          <w:rStyle w:val="hps"/>
          <w:rFonts w:cs="Arial"/>
          <w:color w:val="222222"/>
          <w:lang w:val="fr-FR"/>
        </w:rPr>
        <w:t>injection de drogue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E24E99" w:rsidRPr="002F57E1">
        <w:rPr>
          <w:lang w:val="fr-FR"/>
        </w:rPr>
        <w:t xml:space="preserve">au sein de l’UE, ce chiffre </w:t>
      </w:r>
      <w:r w:rsidR="00D81F9D" w:rsidRPr="002F57E1">
        <w:rPr>
          <w:lang w:val="fr-FR"/>
        </w:rPr>
        <w:t>a pratiquement atteint</w:t>
      </w:r>
      <w:r w:rsidR="00E24E99" w:rsidRPr="002F57E1">
        <w:rPr>
          <w:lang w:val="fr-FR"/>
        </w:rPr>
        <w:t xml:space="preserve"> 37 % en 2012</w:t>
      </w:r>
      <w:r w:rsidR="00AC31CE" w:rsidRPr="002F57E1">
        <w:rPr>
          <w:lang w:val="fr-FR"/>
        </w:rPr>
        <w:t xml:space="preserve"> (</w:t>
      </w:r>
      <w:r w:rsidR="00E24E99" w:rsidRPr="002F57E1">
        <w:rPr>
          <w:lang w:val="fr-FR"/>
        </w:rPr>
        <w:t>la</w:t>
      </w:r>
      <w:r w:rsidR="00412C93">
        <w:rPr>
          <w:lang w:val="fr-FR"/>
        </w:rPr>
        <w:t xml:space="preserve"> </w:t>
      </w:r>
      <w:r w:rsidR="00AC31CE" w:rsidRPr="002F57E1">
        <w:rPr>
          <w:b/>
          <w:lang w:val="fr-FR"/>
        </w:rPr>
        <w:t>Gr</w:t>
      </w:r>
      <w:r w:rsidR="00E24E99" w:rsidRPr="002F57E1">
        <w:rPr>
          <w:b/>
          <w:lang w:val="fr-FR"/>
        </w:rPr>
        <w:t>è</w:t>
      </w:r>
      <w:r w:rsidR="00AC31CE" w:rsidRPr="002F57E1">
        <w:rPr>
          <w:b/>
          <w:lang w:val="fr-FR"/>
        </w:rPr>
        <w:t>ce</w:t>
      </w:r>
      <w:r w:rsidR="00412C93">
        <w:rPr>
          <w:b/>
          <w:lang w:val="fr-FR"/>
        </w:rPr>
        <w:t xml:space="preserve"> </w:t>
      </w:r>
      <w:r w:rsidR="005356FD" w:rsidRPr="002F57E1">
        <w:rPr>
          <w:lang w:val="fr-FR"/>
        </w:rPr>
        <w:t xml:space="preserve">ayant déclaré </w:t>
      </w:r>
      <w:r w:rsidR="00E24E99" w:rsidRPr="002F57E1">
        <w:rPr>
          <w:lang w:val="fr-FR"/>
        </w:rPr>
        <w:t>un taux de 42,</w:t>
      </w:r>
      <w:r w:rsidR="00AC31CE" w:rsidRPr="002F57E1">
        <w:rPr>
          <w:lang w:val="fr-FR"/>
        </w:rPr>
        <w:t>9</w:t>
      </w:r>
      <w:r w:rsidR="002F4080" w:rsidRPr="002F57E1">
        <w:rPr>
          <w:lang w:val="fr-FR"/>
        </w:rPr>
        <w:t> </w:t>
      </w:r>
      <w:r w:rsidR="00AC31CE" w:rsidRPr="002F57E1">
        <w:rPr>
          <w:lang w:val="fr-FR"/>
        </w:rPr>
        <w:t>cas</w:t>
      </w:r>
      <w:r w:rsidR="00E24E99" w:rsidRPr="002F57E1">
        <w:rPr>
          <w:lang w:val="fr-FR"/>
        </w:rPr>
        <w:t xml:space="preserve"> pa</w:t>
      </w:r>
      <w:r w:rsidR="00AC31CE" w:rsidRPr="002F57E1">
        <w:rPr>
          <w:lang w:val="fr-FR"/>
        </w:rPr>
        <w:t>r million</w:t>
      </w:r>
      <w:r w:rsidR="00412C93">
        <w:rPr>
          <w:lang w:val="fr-FR"/>
        </w:rPr>
        <w:t xml:space="preserve"> </w:t>
      </w:r>
      <w:r w:rsidR="004F3939" w:rsidRPr="002F57E1">
        <w:rPr>
          <w:lang w:val="fr-FR"/>
        </w:rPr>
        <w:t>d’habitants</w:t>
      </w:r>
      <w:r w:rsidR="00AC7A28" w:rsidRPr="002F57E1">
        <w:rPr>
          <w:lang w:val="fr-FR"/>
        </w:rPr>
        <w:t>,</w:t>
      </w:r>
      <w:r w:rsidR="00E24E99" w:rsidRPr="002F57E1">
        <w:rPr>
          <w:lang w:val="fr-FR"/>
        </w:rPr>
        <w:t xml:space="preserve"> et la</w:t>
      </w:r>
      <w:r w:rsidR="00412C93">
        <w:rPr>
          <w:lang w:val="fr-FR"/>
        </w:rPr>
        <w:t xml:space="preserve"> </w:t>
      </w:r>
      <w:r w:rsidR="00AC31CE" w:rsidRPr="002F57E1">
        <w:rPr>
          <w:b/>
          <w:lang w:val="fr-FR"/>
        </w:rPr>
        <w:t>Ro</w:t>
      </w:r>
      <w:r w:rsidR="00E24E99" w:rsidRPr="002F57E1">
        <w:rPr>
          <w:b/>
          <w:lang w:val="fr-FR"/>
        </w:rPr>
        <w:t>u</w:t>
      </w:r>
      <w:r w:rsidR="00AC31CE" w:rsidRPr="002F57E1">
        <w:rPr>
          <w:b/>
          <w:lang w:val="fr-FR"/>
        </w:rPr>
        <w:t>mani</w:t>
      </w:r>
      <w:r w:rsidR="00E24E99" w:rsidRPr="002F57E1">
        <w:rPr>
          <w:b/>
          <w:lang w:val="fr-FR"/>
        </w:rPr>
        <w:t>e</w:t>
      </w:r>
      <w:r w:rsidR="00E24E99" w:rsidRPr="002F57E1">
        <w:rPr>
          <w:lang w:val="fr-FR"/>
        </w:rPr>
        <w:t xml:space="preserve"> 8</w:t>
      </w:r>
      <w:r w:rsidR="00A11438">
        <w:rPr>
          <w:lang w:val="fr-FR"/>
        </w:rPr>
        <w:t>,</w:t>
      </w:r>
      <w:r w:rsidR="00E24E99" w:rsidRPr="002F57E1">
        <w:rPr>
          <w:lang w:val="fr-FR"/>
        </w:rPr>
        <w:t>0</w:t>
      </w:r>
      <w:r w:rsidR="004D040C">
        <w:rPr>
          <w:lang w:val="fr-FR"/>
        </w:rPr>
        <w:t> </w:t>
      </w:r>
      <w:r w:rsidR="00E24E99" w:rsidRPr="002F57E1">
        <w:rPr>
          <w:lang w:val="fr-FR"/>
        </w:rPr>
        <w:t>cas</w:t>
      </w:r>
      <w:r w:rsidR="00AC31CE" w:rsidRPr="002F57E1">
        <w:rPr>
          <w:lang w:val="fr-FR"/>
        </w:rPr>
        <w:t>).</w:t>
      </w:r>
      <w:bookmarkStart w:id="0" w:name="_GoBack"/>
      <w:bookmarkEnd w:id="0"/>
    </w:p>
    <w:p w:rsidR="00A16B77" w:rsidRPr="002F57E1" w:rsidRDefault="007278E3" w:rsidP="003C2E9B">
      <w:pPr>
        <w:pStyle w:val="newsContent"/>
        <w:rPr>
          <w:lang w:val="fr-FR"/>
        </w:rPr>
      </w:pPr>
      <w:r w:rsidRPr="002F57E1">
        <w:rPr>
          <w:lang w:val="fr-FR"/>
        </w:rPr>
        <w:t xml:space="preserve">Malgré les succès </w:t>
      </w:r>
      <w:r w:rsidR="002F4080" w:rsidRPr="002F57E1">
        <w:rPr>
          <w:lang w:val="fr-FR"/>
        </w:rPr>
        <w:t xml:space="preserve">remportés </w:t>
      </w:r>
      <w:r w:rsidR="00A25624">
        <w:rPr>
          <w:lang w:val="fr-FR"/>
        </w:rPr>
        <w:t>en</w:t>
      </w:r>
      <w:r w:rsidR="00A25624" w:rsidRPr="002F57E1">
        <w:rPr>
          <w:lang w:val="fr-FR"/>
        </w:rPr>
        <w:t xml:space="preserve"> </w:t>
      </w:r>
      <w:r w:rsidR="00C53151" w:rsidRPr="002F57E1">
        <w:rPr>
          <w:lang w:val="fr-FR"/>
        </w:rPr>
        <w:t>Europe</w:t>
      </w:r>
      <w:r w:rsidR="00412C93">
        <w:rPr>
          <w:lang w:val="fr-FR"/>
        </w:rPr>
        <w:t xml:space="preserve"> </w:t>
      </w:r>
      <w:r w:rsidRPr="002F57E1">
        <w:rPr>
          <w:lang w:val="fr-FR"/>
        </w:rPr>
        <w:t xml:space="preserve">dans la lutte contre la transmission du VIH </w:t>
      </w:r>
      <w:r w:rsidR="00FA3185" w:rsidRPr="002F57E1">
        <w:rPr>
          <w:lang w:val="fr-FR"/>
        </w:rPr>
        <w:t>parmi</w:t>
      </w:r>
      <w:r w:rsidR="00987007" w:rsidRPr="002F57E1">
        <w:rPr>
          <w:lang w:val="fr-FR"/>
        </w:rPr>
        <w:t xml:space="preserve"> les usagers de drogues</w:t>
      </w:r>
      <w:r w:rsidRPr="002F57E1">
        <w:rPr>
          <w:lang w:val="fr-FR"/>
        </w:rPr>
        <w:t xml:space="preserve">, le virus </w:t>
      </w:r>
      <w:r w:rsidR="00987007" w:rsidRPr="002F57E1">
        <w:rPr>
          <w:lang w:val="fr-FR"/>
        </w:rPr>
        <w:t>conserve son</w:t>
      </w:r>
      <w:r w:rsidRPr="002F57E1">
        <w:rPr>
          <w:lang w:val="fr-FR"/>
        </w:rPr>
        <w:t xml:space="preserve"> potentiel de propagation </w:t>
      </w:r>
      <w:r w:rsidR="00987007" w:rsidRPr="002F57E1">
        <w:rPr>
          <w:lang w:val="fr-FR"/>
        </w:rPr>
        <w:t xml:space="preserve">rapide </w:t>
      </w:r>
      <w:r w:rsidRPr="002F57E1">
        <w:rPr>
          <w:lang w:val="fr-FR"/>
        </w:rPr>
        <w:t>au sein de certains groupes</w:t>
      </w:r>
      <w:r w:rsidR="00AC31CE" w:rsidRPr="002F57E1">
        <w:rPr>
          <w:lang w:val="fr-FR"/>
        </w:rPr>
        <w:t xml:space="preserve">. </w:t>
      </w:r>
      <w:r w:rsidR="00A06C9D" w:rsidRPr="002F57E1">
        <w:rPr>
          <w:lang w:val="fr-FR"/>
        </w:rPr>
        <w:t>Un exercice d’évaluation de</w:t>
      </w:r>
      <w:r w:rsidR="001439BA" w:rsidRPr="002F57E1">
        <w:rPr>
          <w:lang w:val="fr-FR"/>
        </w:rPr>
        <w:t>s</w:t>
      </w:r>
      <w:r w:rsidR="00A06C9D" w:rsidRPr="002F57E1">
        <w:rPr>
          <w:lang w:val="fr-FR"/>
        </w:rPr>
        <w:t xml:space="preserve"> risque</w:t>
      </w:r>
      <w:r w:rsidR="001439BA" w:rsidRPr="002F57E1">
        <w:rPr>
          <w:lang w:val="fr-FR"/>
        </w:rPr>
        <w:t>s</w:t>
      </w:r>
      <w:r w:rsidR="00A06C9D" w:rsidRPr="002F57E1">
        <w:rPr>
          <w:lang w:val="fr-FR"/>
        </w:rPr>
        <w:t xml:space="preserve"> de l’</w:t>
      </w:r>
      <w:r w:rsidR="00AC31CE" w:rsidRPr="002F57E1">
        <w:rPr>
          <w:b/>
          <w:lang w:val="fr-FR"/>
        </w:rPr>
        <w:t>EMCDDA</w:t>
      </w:r>
      <w:r w:rsidR="009C740B">
        <w:rPr>
          <w:b/>
          <w:lang w:val="fr-FR"/>
        </w:rPr>
        <w:t xml:space="preserve"> </w:t>
      </w:r>
      <w:r w:rsidR="009C740B" w:rsidRPr="00C25937">
        <w:rPr>
          <w:lang w:val="fr-FR"/>
        </w:rPr>
        <w:t>et de</w:t>
      </w:r>
      <w:r w:rsidR="009C740B">
        <w:rPr>
          <w:b/>
          <w:lang w:val="fr-FR"/>
        </w:rPr>
        <w:t xml:space="preserve"> l’</w:t>
      </w:r>
      <w:r w:rsidR="00AC31CE" w:rsidRPr="002F57E1">
        <w:rPr>
          <w:b/>
          <w:lang w:val="fr-FR"/>
        </w:rPr>
        <w:t>ECDC</w:t>
      </w:r>
      <w:r w:rsidR="00E40F4B">
        <w:rPr>
          <w:b/>
          <w:lang w:val="fr-FR"/>
        </w:rPr>
        <w:t xml:space="preserve"> </w:t>
      </w:r>
      <w:r w:rsidR="00E40F4B" w:rsidRPr="00E40F4B">
        <w:rPr>
          <w:lang w:val="fr-FR"/>
        </w:rPr>
        <w:t xml:space="preserve">(le </w:t>
      </w:r>
      <w:r w:rsidR="00E40F4B" w:rsidRPr="00C25937">
        <w:rPr>
          <w:b/>
          <w:lang w:val="fr-FR"/>
        </w:rPr>
        <w:t>Centre européen de prévention et de contrôle des maladies</w:t>
      </w:r>
      <w:r w:rsidR="00E40F4B" w:rsidRPr="00E40F4B">
        <w:rPr>
          <w:lang w:val="fr-FR"/>
        </w:rPr>
        <w:t>)</w:t>
      </w:r>
      <w:r w:rsidR="00412C93">
        <w:rPr>
          <w:b/>
          <w:lang w:val="fr-FR"/>
        </w:rPr>
        <w:t xml:space="preserve"> </w:t>
      </w:r>
      <w:r w:rsidR="001439BA" w:rsidRPr="002F57E1">
        <w:rPr>
          <w:lang w:val="fr-FR"/>
        </w:rPr>
        <w:t>e</w:t>
      </w:r>
      <w:r w:rsidR="009C740B">
        <w:rPr>
          <w:lang w:val="fr-FR"/>
        </w:rPr>
        <w:t>n</w:t>
      </w:r>
      <w:r w:rsidR="001439BA" w:rsidRPr="002F57E1">
        <w:rPr>
          <w:lang w:val="fr-FR"/>
        </w:rPr>
        <w:t xml:space="preserve"> 2013</w:t>
      </w:r>
      <w:r w:rsidR="00412C93">
        <w:rPr>
          <w:lang w:val="fr-FR"/>
        </w:rPr>
        <w:t xml:space="preserve"> </w:t>
      </w:r>
      <w:r w:rsidR="00A06C9D" w:rsidRPr="002F57E1">
        <w:rPr>
          <w:lang w:val="fr-FR"/>
        </w:rPr>
        <w:t>a révélé</w:t>
      </w:r>
      <w:r w:rsidR="00412C93">
        <w:rPr>
          <w:lang w:val="fr-FR"/>
        </w:rPr>
        <w:t xml:space="preserve"> </w:t>
      </w:r>
      <w:r w:rsidR="00E40F4B">
        <w:rPr>
          <w:lang w:val="fr-FR"/>
        </w:rPr>
        <w:t>la présence d</w:t>
      </w:r>
      <w:r w:rsidR="00E40F4B" w:rsidRPr="002F57E1">
        <w:rPr>
          <w:lang w:val="fr-FR"/>
        </w:rPr>
        <w:t>’un</w:t>
      </w:r>
      <w:r w:rsidR="00A06C9D" w:rsidRPr="002F57E1">
        <w:rPr>
          <w:lang w:val="fr-FR"/>
        </w:rPr>
        <w:t xml:space="preserve"> ou plusieurs indicateurs de risque</w:t>
      </w:r>
      <w:r w:rsidR="001439BA" w:rsidRPr="002F57E1">
        <w:rPr>
          <w:lang w:val="fr-FR"/>
        </w:rPr>
        <w:t>s</w:t>
      </w:r>
      <w:r w:rsidR="00A06C9D" w:rsidRPr="002F57E1">
        <w:rPr>
          <w:lang w:val="fr-FR"/>
        </w:rPr>
        <w:t xml:space="preserve"> dans environ un tiers des 30 pays étudiés</w:t>
      </w:r>
      <w:r w:rsidR="001F6362" w:rsidRPr="002F57E1">
        <w:rPr>
          <w:lang w:val="fr-FR"/>
        </w:rPr>
        <w:t xml:space="preserve"> (</w:t>
      </w:r>
      <w:r w:rsidR="001F6362" w:rsidRPr="002F57E1">
        <w:rPr>
          <w:vertAlign w:val="superscript"/>
          <w:lang w:val="fr-FR"/>
        </w:rPr>
        <w:t>3</w:t>
      </w:r>
      <w:r w:rsidR="001F6362" w:rsidRPr="002F57E1">
        <w:rPr>
          <w:lang w:val="fr-FR"/>
        </w:rPr>
        <w:t>)</w:t>
      </w:r>
      <w:r w:rsidR="00F61D5F">
        <w:rPr>
          <w:lang w:val="fr-FR"/>
        </w:rPr>
        <w:t xml:space="preserve">. Ces éléments prouvent </w:t>
      </w:r>
      <w:r w:rsidR="00523CC0" w:rsidRPr="002F57E1">
        <w:rPr>
          <w:lang w:val="fr-FR"/>
        </w:rPr>
        <w:t>la nécessité d’une</w:t>
      </w:r>
      <w:r w:rsidR="00412C93">
        <w:rPr>
          <w:lang w:val="fr-FR"/>
        </w:rPr>
        <w:t xml:space="preserve"> </w:t>
      </w:r>
      <w:r w:rsidR="00B60263" w:rsidRPr="002F57E1">
        <w:rPr>
          <w:lang w:val="fr-FR"/>
        </w:rPr>
        <w:t>vigilance</w:t>
      </w:r>
      <w:r w:rsidR="00412C93">
        <w:rPr>
          <w:lang w:val="fr-FR"/>
        </w:rPr>
        <w:t xml:space="preserve"> </w:t>
      </w:r>
      <w:r w:rsidR="00523CC0" w:rsidRPr="002F57E1">
        <w:rPr>
          <w:lang w:val="fr-FR"/>
        </w:rPr>
        <w:t>soutenue</w:t>
      </w:r>
      <w:r w:rsidR="00B60263" w:rsidRPr="002F57E1">
        <w:rPr>
          <w:lang w:val="fr-FR"/>
        </w:rPr>
        <w:t xml:space="preserve"> et </w:t>
      </w:r>
      <w:r w:rsidR="00523CC0" w:rsidRPr="002F57E1">
        <w:rPr>
          <w:lang w:val="fr-FR"/>
        </w:rPr>
        <w:t>d’</w:t>
      </w:r>
      <w:r w:rsidR="00B60263" w:rsidRPr="002F57E1">
        <w:rPr>
          <w:lang w:val="fr-FR"/>
        </w:rPr>
        <w:t xml:space="preserve">une meilleure couverture des mesures de prévention du VIH </w:t>
      </w:r>
      <w:r w:rsidR="00AC31CE" w:rsidRPr="002F57E1">
        <w:rPr>
          <w:lang w:val="fr-FR"/>
        </w:rPr>
        <w:t>(</w:t>
      </w:r>
      <w:r w:rsidR="00A4654D" w:rsidRPr="002F57E1">
        <w:rPr>
          <w:lang w:val="fr-FR"/>
        </w:rPr>
        <w:t xml:space="preserve">figure </w:t>
      </w:r>
      <w:r w:rsidR="00AC31CE" w:rsidRPr="002F57E1">
        <w:rPr>
          <w:lang w:val="fr-FR"/>
        </w:rPr>
        <w:t>3</w:t>
      </w:r>
      <w:r w:rsidR="001F6362" w:rsidRPr="002F57E1">
        <w:rPr>
          <w:lang w:val="fr-FR"/>
        </w:rPr>
        <w:t>.5).</w:t>
      </w:r>
    </w:p>
    <w:p w:rsidR="00AC31CE" w:rsidRPr="002F57E1" w:rsidRDefault="004C6C4D" w:rsidP="003C2E9B">
      <w:pPr>
        <w:pStyle w:val="newsContent"/>
        <w:rPr>
          <w:lang w:val="fr-FR"/>
        </w:rPr>
      </w:pPr>
      <w:r w:rsidRPr="002F57E1">
        <w:rPr>
          <w:b/>
          <w:lang w:val="fr-FR"/>
        </w:rPr>
        <w:t>Stimulants</w:t>
      </w:r>
      <w:r w:rsidR="00412C93">
        <w:rPr>
          <w:b/>
          <w:lang w:val="fr-FR"/>
        </w:rPr>
        <w:t xml:space="preserve"> </w:t>
      </w:r>
      <w:r w:rsidR="00157767" w:rsidRPr="002F57E1">
        <w:rPr>
          <w:b/>
          <w:lang w:val="fr-FR"/>
        </w:rPr>
        <w:t>:</w:t>
      </w:r>
      <w:r w:rsidR="003C2E9B" w:rsidRPr="002F57E1">
        <w:rPr>
          <w:b/>
          <w:lang w:val="fr-FR"/>
        </w:rPr>
        <w:t xml:space="preserve"> c</w:t>
      </w:r>
      <w:r w:rsidRPr="002F57E1">
        <w:rPr>
          <w:b/>
          <w:lang w:val="fr-FR"/>
        </w:rPr>
        <w:t xml:space="preserve">ocaïne stable ou en </w:t>
      </w:r>
      <w:r w:rsidR="002357E6" w:rsidRPr="002F57E1">
        <w:rPr>
          <w:b/>
          <w:lang w:val="fr-FR"/>
        </w:rPr>
        <w:t>baisse</w:t>
      </w:r>
      <w:r w:rsidR="00351483" w:rsidRPr="002F57E1">
        <w:rPr>
          <w:b/>
          <w:lang w:val="fr-FR"/>
        </w:rPr>
        <w:t>,</w:t>
      </w:r>
      <w:r w:rsidR="00412C93">
        <w:rPr>
          <w:b/>
          <w:lang w:val="fr-FR"/>
        </w:rPr>
        <w:t xml:space="preserve"> </w:t>
      </w:r>
      <w:r w:rsidR="00B633BE" w:rsidRPr="002F57E1">
        <w:rPr>
          <w:b/>
          <w:lang w:val="fr-FR"/>
        </w:rPr>
        <w:t>mais inquiétude</w:t>
      </w:r>
      <w:r w:rsidR="00351483" w:rsidRPr="002F57E1">
        <w:rPr>
          <w:b/>
          <w:lang w:val="fr-FR"/>
        </w:rPr>
        <w:t>s</w:t>
      </w:r>
      <w:r w:rsidR="00B633BE" w:rsidRPr="002F57E1">
        <w:rPr>
          <w:b/>
          <w:lang w:val="fr-FR"/>
        </w:rPr>
        <w:t xml:space="preserve"> concernant l</w:t>
      </w:r>
      <w:r w:rsidR="00F61D5F">
        <w:rPr>
          <w:b/>
          <w:lang w:val="fr-FR"/>
        </w:rPr>
        <w:t>a</w:t>
      </w:r>
      <w:r w:rsidRPr="002F57E1">
        <w:rPr>
          <w:b/>
          <w:lang w:val="fr-FR"/>
        </w:rPr>
        <w:t xml:space="preserve"> méthamphé</w:t>
      </w:r>
      <w:r w:rsidR="00AC31CE" w:rsidRPr="002F57E1">
        <w:rPr>
          <w:b/>
          <w:lang w:val="fr-FR"/>
        </w:rPr>
        <w:t>tamine</w:t>
      </w:r>
      <w:r w:rsidR="00412C93">
        <w:rPr>
          <w:b/>
          <w:lang w:val="fr-FR"/>
        </w:rPr>
        <w:t xml:space="preserve"> </w:t>
      </w:r>
      <w:r w:rsidRPr="002F57E1">
        <w:rPr>
          <w:b/>
          <w:lang w:val="fr-FR"/>
        </w:rPr>
        <w:t>et</w:t>
      </w:r>
      <w:r w:rsidR="00412C93">
        <w:rPr>
          <w:b/>
          <w:lang w:val="fr-FR"/>
        </w:rPr>
        <w:t xml:space="preserve"> </w:t>
      </w:r>
      <w:r w:rsidR="00D64FB5" w:rsidRPr="002F57E1">
        <w:rPr>
          <w:b/>
          <w:lang w:val="fr-FR"/>
        </w:rPr>
        <w:t>la MDMA</w:t>
      </w:r>
    </w:p>
    <w:p w:rsidR="00AC31CE" w:rsidRPr="002F57E1" w:rsidRDefault="00923991" w:rsidP="003C2E9B">
      <w:pPr>
        <w:pStyle w:val="newsNotes"/>
        <w:rPr>
          <w:lang w:val="fr-FR"/>
        </w:rPr>
      </w:pPr>
      <w:r w:rsidRPr="002F57E1">
        <w:rPr>
          <w:lang w:val="fr-FR"/>
        </w:rPr>
        <w:t>La cocaï</w:t>
      </w:r>
      <w:r w:rsidR="00AC31CE" w:rsidRPr="002F57E1">
        <w:rPr>
          <w:lang w:val="fr-FR"/>
        </w:rPr>
        <w:t xml:space="preserve">ne </w:t>
      </w:r>
      <w:r w:rsidRPr="002F57E1">
        <w:rPr>
          <w:lang w:val="fr-FR"/>
        </w:rPr>
        <w:t xml:space="preserve">reste </w:t>
      </w:r>
      <w:r w:rsidR="00F61D5F">
        <w:rPr>
          <w:lang w:val="fr-FR"/>
        </w:rPr>
        <w:t>le</w:t>
      </w:r>
      <w:r w:rsidRPr="002F57E1">
        <w:rPr>
          <w:lang w:val="fr-FR"/>
        </w:rPr>
        <w:t xml:space="preserve"> stimulant</w:t>
      </w:r>
      <w:r w:rsidR="00F61D5F">
        <w:rPr>
          <w:lang w:val="fr-FR"/>
        </w:rPr>
        <w:t xml:space="preserve"> illicite</w:t>
      </w:r>
      <w:r w:rsidRPr="002F57E1">
        <w:rPr>
          <w:lang w:val="fr-FR"/>
        </w:rPr>
        <w:t xml:space="preserve"> l</w:t>
      </w:r>
      <w:r w:rsidR="00F61D5F">
        <w:rPr>
          <w:lang w:val="fr-FR"/>
        </w:rPr>
        <w:t>e</w:t>
      </w:r>
      <w:r w:rsidRPr="002F57E1">
        <w:rPr>
          <w:lang w:val="fr-FR"/>
        </w:rPr>
        <w:t xml:space="preserve"> plus communément consommé e</w:t>
      </w:r>
      <w:r w:rsidR="00AC31CE" w:rsidRPr="002F57E1">
        <w:rPr>
          <w:lang w:val="fr-FR"/>
        </w:rPr>
        <w:t xml:space="preserve">n Europe, </w:t>
      </w:r>
      <w:r w:rsidR="00F61D5F">
        <w:rPr>
          <w:lang w:val="fr-FR"/>
        </w:rPr>
        <w:t>même si</w:t>
      </w:r>
      <w:r w:rsidR="00351483" w:rsidRPr="002F57E1">
        <w:rPr>
          <w:lang w:val="fr-FR"/>
        </w:rPr>
        <w:t xml:space="preserve"> la plupart </w:t>
      </w:r>
      <w:r w:rsidR="00F00AD2">
        <w:rPr>
          <w:lang w:val="fr-FR"/>
        </w:rPr>
        <w:t xml:space="preserve">         </w:t>
      </w:r>
      <w:r w:rsidR="00351483" w:rsidRPr="002F57E1">
        <w:rPr>
          <w:lang w:val="fr-FR"/>
        </w:rPr>
        <w:t>des</w:t>
      </w:r>
      <w:r w:rsidR="004A7E06" w:rsidRPr="002F57E1">
        <w:rPr>
          <w:lang w:val="fr-FR"/>
        </w:rPr>
        <w:t xml:space="preserve"> consommateurs </w:t>
      </w:r>
      <w:r w:rsidR="00F61D5F">
        <w:rPr>
          <w:lang w:val="fr-FR"/>
        </w:rPr>
        <w:t>sont concentrés</w:t>
      </w:r>
      <w:r w:rsidR="00D53B37" w:rsidRPr="002F57E1">
        <w:rPr>
          <w:lang w:val="fr-FR"/>
        </w:rPr>
        <w:t xml:space="preserve"> dans un petit nombre </w:t>
      </w:r>
      <w:r w:rsidR="002357E6" w:rsidRPr="002F57E1">
        <w:rPr>
          <w:lang w:val="fr-FR"/>
        </w:rPr>
        <w:t xml:space="preserve">de pays </w:t>
      </w:r>
      <w:r w:rsidR="00F61D5F">
        <w:rPr>
          <w:lang w:val="fr-FR"/>
        </w:rPr>
        <w:t>d</w:t>
      </w:r>
      <w:r w:rsidR="00A25624">
        <w:rPr>
          <w:lang w:val="fr-FR"/>
        </w:rPr>
        <w:t>e</w:t>
      </w:r>
      <w:r w:rsidR="00F61D5F">
        <w:rPr>
          <w:lang w:val="fr-FR"/>
        </w:rPr>
        <w:t xml:space="preserve"> l’ouest</w:t>
      </w:r>
      <w:r w:rsidR="00F61D5F" w:rsidRPr="002F57E1">
        <w:rPr>
          <w:lang w:val="fr-FR"/>
        </w:rPr>
        <w:t xml:space="preserve"> </w:t>
      </w:r>
      <w:r w:rsidR="002357E6" w:rsidRPr="002F57E1">
        <w:rPr>
          <w:lang w:val="fr-FR"/>
        </w:rPr>
        <w:t>de l’Union européenne</w:t>
      </w:r>
      <w:r w:rsidR="00AC31CE" w:rsidRPr="002F57E1">
        <w:rPr>
          <w:lang w:val="fr-FR"/>
        </w:rPr>
        <w:t xml:space="preserve">. </w:t>
      </w:r>
      <w:r w:rsidR="00F00AD2">
        <w:rPr>
          <w:lang w:val="fr-FR"/>
        </w:rPr>
        <w:t xml:space="preserve">       </w:t>
      </w:r>
      <w:r w:rsidR="00D53B37" w:rsidRPr="002F57E1">
        <w:rPr>
          <w:lang w:val="fr-FR"/>
        </w:rPr>
        <w:t>On estime à 14,</w:t>
      </w:r>
      <w:r w:rsidR="00AC31CE" w:rsidRPr="002F57E1">
        <w:rPr>
          <w:lang w:val="fr-FR"/>
        </w:rPr>
        <w:t>1</w:t>
      </w:r>
      <w:r w:rsidR="00351483" w:rsidRPr="002F57E1">
        <w:rPr>
          <w:lang w:val="fr-FR"/>
        </w:rPr>
        <w:t> </w:t>
      </w:r>
      <w:r w:rsidR="00AC31CE" w:rsidRPr="002F57E1">
        <w:rPr>
          <w:lang w:val="fr-FR"/>
        </w:rPr>
        <w:t>million</w:t>
      </w:r>
      <w:r w:rsidR="00D53B37" w:rsidRPr="002F57E1">
        <w:rPr>
          <w:lang w:val="fr-FR"/>
        </w:rPr>
        <w:t>s le nombre d’Europée</w:t>
      </w:r>
      <w:r w:rsidR="00AC31CE" w:rsidRPr="002F57E1">
        <w:rPr>
          <w:lang w:val="fr-FR"/>
        </w:rPr>
        <w:t>n</w:t>
      </w:r>
      <w:r w:rsidR="00D53B37" w:rsidRPr="002F57E1">
        <w:rPr>
          <w:lang w:val="fr-FR"/>
        </w:rPr>
        <w:t>s</w:t>
      </w:r>
      <w:r w:rsidR="00D250E2"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2357E6" w:rsidRPr="002F57E1">
        <w:rPr>
          <w:lang w:val="fr-FR"/>
        </w:rPr>
        <w:t xml:space="preserve">âgés </w:t>
      </w:r>
      <w:r w:rsidR="00D53B37" w:rsidRPr="002F57E1">
        <w:rPr>
          <w:lang w:val="fr-FR"/>
        </w:rPr>
        <w:t>de 15 à 64</w:t>
      </w:r>
      <w:r w:rsidR="00351483" w:rsidRPr="002F57E1">
        <w:rPr>
          <w:lang w:val="fr-FR"/>
        </w:rPr>
        <w:t> </w:t>
      </w:r>
      <w:r w:rsidR="00D53B37" w:rsidRPr="002F57E1">
        <w:rPr>
          <w:lang w:val="fr-FR"/>
        </w:rPr>
        <w:t>ans</w:t>
      </w:r>
      <w:r w:rsidR="00D250E2" w:rsidRPr="002F57E1">
        <w:rPr>
          <w:lang w:val="fr-FR"/>
        </w:rPr>
        <w:t xml:space="preserve">, </w:t>
      </w:r>
      <w:r w:rsidR="00D53B37" w:rsidRPr="002F57E1">
        <w:rPr>
          <w:lang w:val="fr-FR"/>
        </w:rPr>
        <w:t>ayant déjà consommé cette drogue</w:t>
      </w:r>
      <w:r w:rsidR="00163E6A"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163E6A" w:rsidRPr="002F57E1">
        <w:rPr>
          <w:lang w:val="fr-FR"/>
        </w:rPr>
        <w:t>dont</w:t>
      </w:r>
      <w:r w:rsidR="002357E6" w:rsidRPr="002F57E1">
        <w:rPr>
          <w:lang w:val="fr-FR"/>
        </w:rPr>
        <w:t> </w:t>
      </w:r>
      <w:r w:rsidR="00163E6A" w:rsidRPr="002F57E1">
        <w:rPr>
          <w:lang w:val="fr-FR"/>
        </w:rPr>
        <w:t>3,</w:t>
      </w:r>
      <w:r w:rsidR="00AC31CE" w:rsidRPr="002F57E1">
        <w:rPr>
          <w:lang w:val="fr-FR"/>
        </w:rPr>
        <w:t>1 million</w:t>
      </w:r>
      <w:r w:rsidR="00163E6A" w:rsidRPr="002F57E1">
        <w:rPr>
          <w:lang w:val="fr-FR"/>
        </w:rPr>
        <w:t>s</w:t>
      </w:r>
      <w:r w:rsidR="00412C93">
        <w:rPr>
          <w:lang w:val="fr-FR"/>
        </w:rPr>
        <w:t xml:space="preserve"> </w:t>
      </w:r>
      <w:r w:rsidR="00163E6A" w:rsidRPr="002F57E1">
        <w:rPr>
          <w:lang w:val="fr-FR"/>
        </w:rPr>
        <w:t>au cours de l’année écoulée</w:t>
      </w:r>
      <w:r w:rsidR="00AC31CE" w:rsidRPr="002F57E1">
        <w:rPr>
          <w:lang w:val="fr-FR"/>
        </w:rPr>
        <w:t xml:space="preserve"> (</w:t>
      </w:r>
      <w:r w:rsidR="00163E6A" w:rsidRPr="002F57E1">
        <w:rPr>
          <w:lang w:val="fr-FR"/>
        </w:rPr>
        <w:t xml:space="preserve">voir le tableau </w:t>
      </w:r>
      <w:r w:rsidR="00351483" w:rsidRPr="002F57E1">
        <w:rPr>
          <w:lang w:val="fr-FR"/>
        </w:rPr>
        <w:t>«</w:t>
      </w:r>
      <w:r w:rsidR="004D040C">
        <w:rPr>
          <w:lang w:val="fr-FR"/>
        </w:rPr>
        <w:t> </w:t>
      </w:r>
      <w:r w:rsidR="00351483" w:rsidRPr="002F57E1">
        <w:rPr>
          <w:lang w:val="fr-FR"/>
        </w:rPr>
        <w:t>Aperçu</w:t>
      </w:r>
      <w:r w:rsidR="004D040C">
        <w:rPr>
          <w:lang w:val="fr-FR"/>
        </w:rPr>
        <w:t> </w:t>
      </w:r>
      <w:r w:rsidR="00351483" w:rsidRPr="002F57E1">
        <w:rPr>
          <w:lang w:val="fr-FR"/>
        </w:rPr>
        <w:t>»</w:t>
      </w:r>
      <w:r w:rsidR="002357E6" w:rsidRPr="002F57E1">
        <w:rPr>
          <w:lang w:val="fr-FR"/>
        </w:rPr>
        <w:t>).</w:t>
      </w:r>
      <w:r w:rsidR="00412C93">
        <w:rPr>
          <w:lang w:val="fr-FR"/>
        </w:rPr>
        <w:t xml:space="preserve"> </w:t>
      </w:r>
      <w:r w:rsidR="00E07AC9" w:rsidRPr="002F57E1">
        <w:rPr>
          <w:lang w:val="fr-FR"/>
        </w:rPr>
        <w:t xml:space="preserve">Des données récentes </w:t>
      </w:r>
      <w:r w:rsidR="00F56448" w:rsidRPr="002F57E1">
        <w:rPr>
          <w:lang w:val="fr-FR"/>
        </w:rPr>
        <w:t>suggèrent</w:t>
      </w:r>
      <w:r w:rsidR="002357E6" w:rsidRPr="002F57E1">
        <w:rPr>
          <w:lang w:val="fr-FR"/>
        </w:rPr>
        <w:t xml:space="preserve"> une baisse</w:t>
      </w:r>
      <w:r w:rsidR="00E07AC9" w:rsidRPr="002F57E1">
        <w:rPr>
          <w:lang w:val="fr-FR"/>
        </w:rPr>
        <w:t xml:space="preserve"> de la consommation de cocaïne</w:t>
      </w:r>
      <w:r w:rsidR="00412C93">
        <w:rPr>
          <w:lang w:val="fr-FR"/>
        </w:rPr>
        <w:t xml:space="preserve"> </w:t>
      </w:r>
      <w:r w:rsidR="00157767" w:rsidRPr="002F57E1">
        <w:rPr>
          <w:lang w:val="fr-FR"/>
        </w:rPr>
        <w:t>:</w:t>
      </w:r>
      <w:r w:rsidR="00AC31CE" w:rsidRPr="002F57E1">
        <w:rPr>
          <w:lang w:val="fr-FR"/>
        </w:rPr>
        <w:t xml:space="preserve"> 11</w:t>
      </w:r>
      <w:r w:rsidR="00141073">
        <w:rPr>
          <w:lang w:val="fr-FR"/>
        </w:rPr>
        <w:t xml:space="preserve"> des 12</w:t>
      </w:r>
      <w:r w:rsidR="00F56448" w:rsidRPr="002F57E1">
        <w:rPr>
          <w:lang w:val="fr-FR"/>
        </w:rPr>
        <w:t> </w:t>
      </w:r>
      <w:r w:rsidR="00E07AC9" w:rsidRPr="002F57E1">
        <w:rPr>
          <w:lang w:val="fr-FR"/>
        </w:rPr>
        <w:t xml:space="preserve">pays </w:t>
      </w:r>
      <w:r w:rsidR="00141073">
        <w:rPr>
          <w:lang w:val="fr-FR"/>
        </w:rPr>
        <w:t>ayant</w:t>
      </w:r>
      <w:r w:rsidR="00E07AC9" w:rsidRPr="002F57E1">
        <w:rPr>
          <w:lang w:val="fr-FR"/>
        </w:rPr>
        <w:t xml:space="preserve"> </w:t>
      </w:r>
      <w:r w:rsidR="002357E6" w:rsidRPr="002F57E1">
        <w:rPr>
          <w:lang w:val="fr-FR"/>
        </w:rPr>
        <w:t xml:space="preserve">réalisé </w:t>
      </w:r>
      <w:r w:rsidR="00141073">
        <w:rPr>
          <w:lang w:val="fr-FR"/>
        </w:rPr>
        <w:t>une</w:t>
      </w:r>
      <w:r w:rsidR="00C25937">
        <w:rPr>
          <w:lang w:val="fr-FR"/>
        </w:rPr>
        <w:t xml:space="preserve"> enquête</w:t>
      </w:r>
      <w:r w:rsidR="00141073" w:rsidRPr="002F57E1">
        <w:rPr>
          <w:lang w:val="fr-FR"/>
        </w:rPr>
        <w:t xml:space="preserve"> </w:t>
      </w:r>
      <w:r w:rsidR="00AC31CE" w:rsidRPr="002F57E1">
        <w:rPr>
          <w:lang w:val="fr-FR"/>
        </w:rPr>
        <w:t>en</w:t>
      </w:r>
      <w:r w:rsidR="00E07AC9" w:rsidRPr="002F57E1">
        <w:rPr>
          <w:lang w:val="fr-FR"/>
        </w:rPr>
        <w:t>tre</w:t>
      </w:r>
      <w:r w:rsidR="00AC31CE" w:rsidRPr="002F57E1">
        <w:rPr>
          <w:lang w:val="fr-FR"/>
        </w:rPr>
        <w:t xml:space="preserve"> 2011 </w:t>
      </w:r>
      <w:r w:rsidR="00E07AC9" w:rsidRPr="002F57E1">
        <w:rPr>
          <w:lang w:val="fr-FR"/>
        </w:rPr>
        <w:t>et</w:t>
      </w:r>
      <w:r w:rsidR="00AC31CE" w:rsidRPr="002F57E1">
        <w:rPr>
          <w:lang w:val="fr-FR"/>
        </w:rPr>
        <w:t xml:space="preserve"> 2013</w:t>
      </w:r>
      <w:r w:rsidR="00E07AC9" w:rsidRPr="002F57E1">
        <w:rPr>
          <w:lang w:val="fr-FR"/>
        </w:rPr>
        <w:t xml:space="preserve"> </w:t>
      </w:r>
      <w:r w:rsidR="00F56448" w:rsidRPr="002F57E1">
        <w:rPr>
          <w:lang w:val="fr-FR"/>
        </w:rPr>
        <w:t>signal</w:t>
      </w:r>
      <w:r w:rsidR="00141073">
        <w:rPr>
          <w:lang w:val="fr-FR"/>
        </w:rPr>
        <w:t>e</w:t>
      </w:r>
      <w:r w:rsidR="00F56448" w:rsidRPr="002F57E1">
        <w:rPr>
          <w:lang w:val="fr-FR"/>
        </w:rPr>
        <w:t>nt</w:t>
      </w:r>
      <w:r w:rsidR="002357E6" w:rsidRPr="002F57E1">
        <w:rPr>
          <w:lang w:val="fr-FR"/>
        </w:rPr>
        <w:t xml:space="preserve"> une chute </w:t>
      </w:r>
      <w:r w:rsidR="00E07AC9" w:rsidRPr="002F57E1">
        <w:rPr>
          <w:lang w:val="fr-FR"/>
        </w:rPr>
        <w:t xml:space="preserve">de la prévalence </w:t>
      </w:r>
      <w:r w:rsidR="008145C0" w:rsidRPr="002F57E1">
        <w:rPr>
          <w:lang w:val="fr-FR"/>
        </w:rPr>
        <w:t>parmi</w:t>
      </w:r>
      <w:r w:rsidR="002357E6" w:rsidRPr="002F57E1">
        <w:rPr>
          <w:lang w:val="fr-FR"/>
        </w:rPr>
        <w:t xml:space="preserve"> les </w:t>
      </w:r>
      <w:r w:rsidR="00E07AC9" w:rsidRPr="002F57E1">
        <w:rPr>
          <w:lang w:val="fr-FR"/>
        </w:rPr>
        <w:t>jeunes adultes</w:t>
      </w:r>
      <w:r w:rsidR="00412C93">
        <w:rPr>
          <w:lang w:val="fr-FR"/>
        </w:rPr>
        <w:t xml:space="preserve"> </w:t>
      </w:r>
      <w:r w:rsidR="002357E6" w:rsidRPr="002F57E1">
        <w:rPr>
          <w:lang w:val="fr-FR"/>
        </w:rPr>
        <w:t xml:space="preserve">âgés </w:t>
      </w:r>
      <w:r w:rsidR="00E07AC9" w:rsidRPr="002F57E1">
        <w:rPr>
          <w:lang w:val="fr-FR"/>
        </w:rPr>
        <w:t>de 15 à 34</w:t>
      </w:r>
      <w:r w:rsidR="00F56448" w:rsidRPr="002F57E1">
        <w:rPr>
          <w:lang w:val="fr-FR"/>
        </w:rPr>
        <w:t> </w:t>
      </w:r>
      <w:r w:rsidR="00AC31CE" w:rsidRPr="002F57E1">
        <w:rPr>
          <w:lang w:val="fr-FR"/>
        </w:rPr>
        <w:t>a</w:t>
      </w:r>
      <w:r w:rsidR="00E07AC9" w:rsidRPr="002F57E1">
        <w:rPr>
          <w:lang w:val="fr-FR"/>
        </w:rPr>
        <w:t>n</w:t>
      </w:r>
      <w:r w:rsidR="00AC31CE" w:rsidRPr="002F57E1">
        <w:rPr>
          <w:lang w:val="fr-FR"/>
        </w:rPr>
        <w:t xml:space="preserve">s. </w:t>
      </w:r>
      <w:r w:rsidR="00A8012E" w:rsidRPr="002F57E1">
        <w:rPr>
          <w:rStyle w:val="hps"/>
          <w:rFonts w:cs="Arial"/>
          <w:color w:val="222222"/>
          <w:lang w:val="fr-FR"/>
        </w:rPr>
        <w:t>Dans le cadre de l'analyse des tendances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A8012E" w:rsidRPr="002F57E1">
        <w:rPr>
          <w:rStyle w:val="hps"/>
          <w:rFonts w:cs="Arial"/>
          <w:color w:val="222222"/>
          <w:lang w:val="fr-FR"/>
        </w:rPr>
        <w:t>à long terme de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A8012E" w:rsidRPr="002F57E1">
        <w:rPr>
          <w:rStyle w:val="hps"/>
          <w:rFonts w:cs="Arial"/>
          <w:color w:val="222222"/>
          <w:lang w:val="fr-FR"/>
        </w:rPr>
        <w:t>la consommation de cocaïne</w:t>
      </w:r>
      <w:r w:rsidR="00A8012E" w:rsidRPr="002F57E1">
        <w:rPr>
          <w:rFonts w:cs="Arial"/>
          <w:color w:val="222222"/>
          <w:lang w:val="fr-FR"/>
        </w:rPr>
        <w:t xml:space="preserve">, </w:t>
      </w:r>
      <w:r w:rsidR="00D250E2" w:rsidRPr="002F57E1">
        <w:rPr>
          <w:lang w:val="fr-FR"/>
        </w:rPr>
        <w:t xml:space="preserve">une </w:t>
      </w:r>
      <w:r w:rsidR="008E3EEA" w:rsidRPr="002F57E1">
        <w:rPr>
          <w:lang w:val="fr-FR"/>
        </w:rPr>
        <w:t xml:space="preserve">baisse </w:t>
      </w:r>
      <w:r w:rsidR="00D250E2" w:rsidRPr="002F57E1">
        <w:rPr>
          <w:lang w:val="fr-FR"/>
        </w:rPr>
        <w:t xml:space="preserve">a </w:t>
      </w:r>
      <w:r w:rsidR="008E3EEA" w:rsidRPr="002F57E1">
        <w:rPr>
          <w:lang w:val="fr-FR"/>
        </w:rPr>
        <w:t>été constatée au</w:t>
      </w:r>
      <w:r w:rsidR="00412C93">
        <w:rPr>
          <w:lang w:val="fr-FR"/>
        </w:rPr>
        <w:t xml:space="preserve"> </w:t>
      </w:r>
      <w:r w:rsidR="008E3EEA" w:rsidRPr="002F57E1">
        <w:rPr>
          <w:b/>
          <w:lang w:val="fr-FR"/>
        </w:rPr>
        <w:t>Da</w:t>
      </w:r>
      <w:r w:rsidR="00AC31CE" w:rsidRPr="002F57E1">
        <w:rPr>
          <w:b/>
          <w:lang w:val="fr-FR"/>
        </w:rPr>
        <w:t>n</w:t>
      </w:r>
      <w:r w:rsidR="008E3EEA" w:rsidRPr="002F57E1">
        <w:rPr>
          <w:b/>
          <w:lang w:val="fr-FR"/>
        </w:rPr>
        <w:t>e</w:t>
      </w:r>
      <w:r w:rsidR="00AC31CE" w:rsidRPr="002F57E1">
        <w:rPr>
          <w:b/>
          <w:lang w:val="fr-FR"/>
        </w:rPr>
        <w:t>mark</w:t>
      </w:r>
      <w:r w:rsidR="00AC31CE" w:rsidRPr="002F57E1">
        <w:rPr>
          <w:lang w:val="fr-FR"/>
        </w:rPr>
        <w:t xml:space="preserve">, </w:t>
      </w:r>
      <w:r w:rsidR="008E3EEA" w:rsidRPr="002F57E1">
        <w:rPr>
          <w:lang w:val="fr-FR"/>
        </w:rPr>
        <w:t>en</w:t>
      </w:r>
      <w:r w:rsidR="008E3EEA" w:rsidRPr="002F57E1">
        <w:rPr>
          <w:b/>
          <w:lang w:val="fr-FR"/>
        </w:rPr>
        <w:t xml:space="preserve"> Espag</w:t>
      </w:r>
      <w:r w:rsidR="00AC31CE" w:rsidRPr="002F57E1">
        <w:rPr>
          <w:b/>
          <w:lang w:val="fr-FR"/>
        </w:rPr>
        <w:t>n</w:t>
      </w:r>
      <w:r w:rsidR="008E3EEA" w:rsidRPr="002F57E1">
        <w:rPr>
          <w:b/>
          <w:lang w:val="fr-FR"/>
        </w:rPr>
        <w:t>e</w:t>
      </w:r>
      <w:r w:rsidR="00412C93">
        <w:rPr>
          <w:b/>
          <w:lang w:val="fr-FR"/>
        </w:rPr>
        <w:t xml:space="preserve"> </w:t>
      </w:r>
      <w:r w:rsidR="00AC31CE" w:rsidRPr="002F57E1">
        <w:rPr>
          <w:lang w:val="fr-FR"/>
        </w:rPr>
        <w:t>e</w:t>
      </w:r>
      <w:r w:rsidR="008E3EEA" w:rsidRPr="002F57E1">
        <w:rPr>
          <w:lang w:val="fr-FR"/>
        </w:rPr>
        <w:t>t au</w:t>
      </w:r>
      <w:r w:rsidR="008E3EEA" w:rsidRPr="002F57E1">
        <w:rPr>
          <w:b/>
          <w:lang w:val="fr-FR"/>
        </w:rPr>
        <w:t xml:space="preserve"> Royaume-Uni</w:t>
      </w:r>
      <w:r w:rsidR="00AC31CE" w:rsidRPr="002F57E1">
        <w:rPr>
          <w:lang w:val="fr-FR"/>
        </w:rPr>
        <w:t xml:space="preserve"> (</w:t>
      </w:r>
      <w:r w:rsidR="00632560" w:rsidRPr="002F57E1">
        <w:rPr>
          <w:lang w:val="fr-FR"/>
        </w:rPr>
        <w:t>où l</w:t>
      </w:r>
      <w:r w:rsidR="004A3583" w:rsidRPr="002F57E1">
        <w:rPr>
          <w:lang w:val="fr-FR"/>
        </w:rPr>
        <w:t>es taux de pré</w:t>
      </w:r>
      <w:r w:rsidR="00AC31CE" w:rsidRPr="002F57E1">
        <w:rPr>
          <w:lang w:val="fr-FR"/>
        </w:rPr>
        <w:t>valence</w:t>
      </w:r>
      <w:r w:rsidR="00412C93">
        <w:rPr>
          <w:lang w:val="fr-FR"/>
        </w:rPr>
        <w:t xml:space="preserve"> </w:t>
      </w:r>
      <w:r w:rsidR="00E44A3E" w:rsidRPr="002F57E1">
        <w:rPr>
          <w:lang w:val="fr-FR"/>
        </w:rPr>
        <w:t>déclarés</w:t>
      </w:r>
      <w:r w:rsidR="00632560" w:rsidRPr="002F57E1">
        <w:rPr>
          <w:lang w:val="fr-FR"/>
        </w:rPr>
        <w:t xml:space="preserve"> étaient relativement </w:t>
      </w:r>
      <w:r w:rsidR="00D250E2" w:rsidRPr="002F57E1">
        <w:rPr>
          <w:lang w:val="fr-FR"/>
        </w:rPr>
        <w:t>élevés</w:t>
      </w:r>
      <w:r w:rsidR="00AC31CE" w:rsidRPr="002F57E1">
        <w:rPr>
          <w:lang w:val="fr-FR"/>
        </w:rPr>
        <w:t xml:space="preserve">), </w:t>
      </w:r>
      <w:r w:rsidR="004A3583" w:rsidRPr="002F57E1">
        <w:rPr>
          <w:lang w:val="fr-FR"/>
        </w:rPr>
        <w:t>après un pic e</w:t>
      </w:r>
      <w:r w:rsidR="00AC31CE" w:rsidRPr="002F57E1">
        <w:rPr>
          <w:lang w:val="fr-FR"/>
        </w:rPr>
        <w:t>n 2008 (</w:t>
      </w:r>
      <w:r w:rsidR="00A4654D" w:rsidRPr="002F57E1">
        <w:rPr>
          <w:lang w:val="fr-FR"/>
        </w:rPr>
        <w:t xml:space="preserve">figure </w:t>
      </w:r>
      <w:r w:rsidR="00AC31CE" w:rsidRPr="002F57E1">
        <w:rPr>
          <w:lang w:val="fr-FR"/>
        </w:rPr>
        <w:t xml:space="preserve">2.5). </w:t>
      </w:r>
      <w:r w:rsidR="007E5748" w:rsidRPr="002F57E1">
        <w:rPr>
          <w:lang w:val="fr-FR"/>
        </w:rPr>
        <w:t xml:space="preserve">La plupart des autres </w:t>
      </w:r>
      <w:r w:rsidR="004A3583" w:rsidRPr="002F57E1">
        <w:rPr>
          <w:lang w:val="fr-FR"/>
        </w:rPr>
        <w:t xml:space="preserve">pays </w:t>
      </w:r>
      <w:r w:rsidR="007E5748" w:rsidRPr="002F57E1">
        <w:rPr>
          <w:lang w:val="fr-FR"/>
        </w:rPr>
        <w:t>affichent des tendances</w:t>
      </w:r>
      <w:r w:rsidR="00412C93">
        <w:rPr>
          <w:lang w:val="fr-FR"/>
        </w:rPr>
        <w:t xml:space="preserve"> </w:t>
      </w:r>
      <w:r w:rsidR="007E5748" w:rsidRPr="002F57E1">
        <w:rPr>
          <w:rStyle w:val="hps"/>
          <w:rFonts w:cs="Arial"/>
          <w:color w:val="222222"/>
          <w:lang w:val="fr-FR"/>
        </w:rPr>
        <w:t>stables ou à la baisse</w:t>
      </w:r>
      <w:r w:rsidR="007E5748" w:rsidRPr="002F57E1">
        <w:rPr>
          <w:rFonts w:cs="Arial"/>
          <w:color w:val="222222"/>
          <w:lang w:val="fr-FR"/>
        </w:rPr>
        <w:t>.</w:t>
      </w:r>
    </w:p>
    <w:p w:rsidR="00AC31CE" w:rsidRPr="002F57E1" w:rsidRDefault="00EA287E" w:rsidP="003C2E9B">
      <w:pPr>
        <w:pStyle w:val="newsNotes"/>
        <w:rPr>
          <w:lang w:val="fr-FR"/>
        </w:rPr>
      </w:pPr>
      <w:r w:rsidRPr="002F57E1">
        <w:rPr>
          <w:lang w:val="fr-FR"/>
        </w:rPr>
        <w:t>En Europe, la consommation d’amphé</w:t>
      </w:r>
      <w:r w:rsidR="00AC31CE" w:rsidRPr="002F57E1">
        <w:rPr>
          <w:lang w:val="fr-FR"/>
        </w:rPr>
        <w:t>tamines (</w:t>
      </w:r>
      <w:r w:rsidRPr="002F57E1">
        <w:rPr>
          <w:lang w:val="fr-FR"/>
        </w:rPr>
        <w:t>amphé</w:t>
      </w:r>
      <w:r w:rsidR="00AC31CE" w:rsidRPr="002F57E1">
        <w:rPr>
          <w:lang w:val="fr-FR"/>
        </w:rPr>
        <w:t>tamine</w:t>
      </w:r>
      <w:r w:rsidR="00412C93">
        <w:rPr>
          <w:lang w:val="fr-FR"/>
        </w:rPr>
        <w:t xml:space="preserve"> </w:t>
      </w:r>
      <w:r w:rsidR="00141073">
        <w:rPr>
          <w:lang w:val="fr-FR"/>
        </w:rPr>
        <w:t>ou</w:t>
      </w:r>
      <w:r w:rsidRPr="002F57E1">
        <w:rPr>
          <w:lang w:val="fr-FR"/>
        </w:rPr>
        <w:t xml:space="preserve"> méthamphé</w:t>
      </w:r>
      <w:r w:rsidR="00AC31CE" w:rsidRPr="002F57E1">
        <w:rPr>
          <w:lang w:val="fr-FR"/>
        </w:rPr>
        <w:t xml:space="preserve">tamine) </w:t>
      </w:r>
      <w:r w:rsidR="007C01E6" w:rsidRPr="002F57E1">
        <w:rPr>
          <w:lang w:val="fr-FR"/>
        </w:rPr>
        <w:t>reste globa</w:t>
      </w:r>
      <w:r w:rsidRPr="002F57E1">
        <w:rPr>
          <w:lang w:val="fr-FR"/>
        </w:rPr>
        <w:t xml:space="preserve">lement </w:t>
      </w:r>
      <w:r w:rsidR="00F61D5F">
        <w:rPr>
          <w:lang w:val="fr-FR"/>
        </w:rPr>
        <w:t>inférieure à</w:t>
      </w:r>
      <w:r w:rsidRPr="002F57E1">
        <w:rPr>
          <w:lang w:val="fr-FR"/>
        </w:rPr>
        <w:t xml:space="preserve"> celle de </w:t>
      </w:r>
      <w:r w:rsidR="00141073">
        <w:rPr>
          <w:lang w:val="fr-FR"/>
        </w:rPr>
        <w:t xml:space="preserve">la </w:t>
      </w:r>
      <w:r w:rsidRPr="002F57E1">
        <w:rPr>
          <w:lang w:val="fr-FR"/>
        </w:rPr>
        <w:t xml:space="preserve">cocaïne, </w:t>
      </w:r>
      <w:r w:rsidR="00F61D5F">
        <w:rPr>
          <w:lang w:val="fr-FR"/>
        </w:rPr>
        <w:t>avec</w:t>
      </w:r>
      <w:r w:rsidR="00F30E17">
        <w:rPr>
          <w:lang w:val="fr-FR"/>
        </w:rPr>
        <w:t xml:space="preserve"> </w:t>
      </w:r>
      <w:r w:rsidRPr="002F57E1">
        <w:rPr>
          <w:lang w:val="fr-FR"/>
        </w:rPr>
        <w:t>environ 11,</w:t>
      </w:r>
      <w:r w:rsidR="00AC31CE" w:rsidRPr="002F57E1">
        <w:rPr>
          <w:lang w:val="fr-FR"/>
        </w:rPr>
        <w:t>4</w:t>
      </w:r>
      <w:r w:rsidR="00B97E8E" w:rsidRPr="002F57E1">
        <w:rPr>
          <w:lang w:val="fr-FR"/>
        </w:rPr>
        <w:t> </w:t>
      </w:r>
      <w:r w:rsidR="00AC31CE" w:rsidRPr="002F57E1">
        <w:rPr>
          <w:lang w:val="fr-FR"/>
        </w:rPr>
        <w:t>million</w:t>
      </w:r>
      <w:r w:rsidRPr="002F57E1">
        <w:rPr>
          <w:lang w:val="fr-FR"/>
        </w:rPr>
        <w:t>s</w:t>
      </w:r>
      <w:r w:rsidR="00412C93">
        <w:rPr>
          <w:lang w:val="fr-FR"/>
        </w:rPr>
        <w:t xml:space="preserve"> </w:t>
      </w:r>
      <w:r w:rsidRPr="002F57E1">
        <w:rPr>
          <w:lang w:val="fr-FR"/>
        </w:rPr>
        <w:t>d’</w:t>
      </w:r>
      <w:r w:rsidR="00AC31CE" w:rsidRPr="002F57E1">
        <w:rPr>
          <w:lang w:val="fr-FR"/>
        </w:rPr>
        <w:t>adult</w:t>
      </w:r>
      <w:r w:rsidRPr="002F57E1">
        <w:rPr>
          <w:lang w:val="fr-FR"/>
        </w:rPr>
        <w:t>e</w:t>
      </w:r>
      <w:r w:rsidR="00AC31CE" w:rsidRPr="002F57E1">
        <w:rPr>
          <w:lang w:val="fr-FR"/>
        </w:rPr>
        <w:t xml:space="preserve">s </w:t>
      </w:r>
      <w:r w:rsidR="00F61D5F">
        <w:rPr>
          <w:lang w:val="fr-FR"/>
        </w:rPr>
        <w:t>concernés par l’expérimentation</w:t>
      </w:r>
      <w:r w:rsidRPr="002F57E1">
        <w:rPr>
          <w:lang w:val="fr-FR"/>
        </w:rPr>
        <w:t xml:space="preserve"> et 1,</w:t>
      </w:r>
      <w:r w:rsidR="00AC31CE" w:rsidRPr="002F57E1">
        <w:rPr>
          <w:lang w:val="fr-FR"/>
        </w:rPr>
        <w:t>5</w:t>
      </w:r>
      <w:r w:rsidR="00B97E8E" w:rsidRPr="002F57E1">
        <w:rPr>
          <w:lang w:val="fr-FR"/>
        </w:rPr>
        <w:t> </w:t>
      </w:r>
      <w:r w:rsidR="00AC31CE" w:rsidRPr="002F57E1">
        <w:rPr>
          <w:lang w:val="fr-FR"/>
        </w:rPr>
        <w:t xml:space="preserve">million </w:t>
      </w:r>
      <w:r w:rsidR="00F61D5F">
        <w:rPr>
          <w:lang w:val="fr-FR"/>
        </w:rPr>
        <w:t xml:space="preserve">par une consommation </w:t>
      </w:r>
      <w:r w:rsidR="007E5748" w:rsidRPr="002F57E1">
        <w:rPr>
          <w:lang w:val="fr-FR"/>
        </w:rPr>
        <w:t>au cours de</w:t>
      </w:r>
      <w:r w:rsidR="00412C93">
        <w:rPr>
          <w:lang w:val="fr-FR"/>
        </w:rPr>
        <w:t xml:space="preserve"> </w:t>
      </w:r>
      <w:r w:rsidRPr="002F57E1">
        <w:rPr>
          <w:lang w:val="fr-FR"/>
        </w:rPr>
        <w:t>l’année écoulée</w:t>
      </w:r>
      <w:r w:rsidR="00AC31CE" w:rsidRPr="002F57E1">
        <w:rPr>
          <w:lang w:val="fr-FR"/>
        </w:rPr>
        <w:t xml:space="preserve">. </w:t>
      </w:r>
      <w:r w:rsidR="00141073">
        <w:rPr>
          <w:lang w:val="fr-FR"/>
        </w:rPr>
        <w:t>De</w:t>
      </w:r>
      <w:r w:rsidR="00141073" w:rsidRPr="002F57E1">
        <w:rPr>
          <w:lang w:val="fr-FR"/>
        </w:rPr>
        <w:t xml:space="preserve"> </w:t>
      </w:r>
      <w:r w:rsidR="007E5748" w:rsidRPr="002F57E1">
        <w:rPr>
          <w:lang w:val="fr-FR"/>
        </w:rPr>
        <w:t>ces deux substances</w:t>
      </w:r>
      <w:r w:rsidR="007C01E6" w:rsidRPr="002F57E1">
        <w:rPr>
          <w:lang w:val="fr-FR"/>
        </w:rPr>
        <w:t xml:space="preserve">, </w:t>
      </w:r>
      <w:r w:rsidR="00C25937">
        <w:rPr>
          <w:lang w:val="fr-FR"/>
        </w:rPr>
        <w:t>l’</w:t>
      </w:r>
      <w:r w:rsidR="007C01E6" w:rsidRPr="002F57E1">
        <w:rPr>
          <w:lang w:val="fr-FR"/>
        </w:rPr>
        <w:t>amphé</w:t>
      </w:r>
      <w:r w:rsidR="00AC31CE" w:rsidRPr="002F57E1">
        <w:rPr>
          <w:lang w:val="fr-FR"/>
        </w:rPr>
        <w:t>tamine</w:t>
      </w:r>
      <w:r w:rsidR="00C25937">
        <w:rPr>
          <w:lang w:val="fr-FR"/>
        </w:rPr>
        <w:t xml:space="preserve"> est</w:t>
      </w:r>
      <w:r w:rsidR="007C01E6" w:rsidRPr="002F57E1">
        <w:rPr>
          <w:lang w:val="fr-FR"/>
        </w:rPr>
        <w:t xml:space="preserve"> </w:t>
      </w:r>
      <w:r w:rsidR="00141073">
        <w:rPr>
          <w:lang w:val="fr-FR"/>
        </w:rPr>
        <w:t>l</w:t>
      </w:r>
      <w:r w:rsidR="00C25937">
        <w:rPr>
          <w:lang w:val="fr-FR"/>
        </w:rPr>
        <w:t>a</w:t>
      </w:r>
      <w:r w:rsidR="00141073">
        <w:rPr>
          <w:lang w:val="fr-FR"/>
        </w:rPr>
        <w:t xml:space="preserve"> </w:t>
      </w:r>
      <w:r w:rsidR="007C01E6" w:rsidRPr="002F57E1">
        <w:rPr>
          <w:lang w:val="fr-FR"/>
        </w:rPr>
        <w:t xml:space="preserve">plus </w:t>
      </w:r>
      <w:r w:rsidR="0036351A" w:rsidRPr="002F57E1">
        <w:rPr>
          <w:lang w:val="fr-FR"/>
        </w:rPr>
        <w:t>couramment</w:t>
      </w:r>
      <w:r w:rsidR="007C01E6" w:rsidRPr="002F57E1">
        <w:rPr>
          <w:lang w:val="fr-FR"/>
        </w:rPr>
        <w:t xml:space="preserve"> consommée</w:t>
      </w:r>
      <w:r w:rsidR="00B97E8E"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7E5748" w:rsidRPr="002F57E1">
        <w:rPr>
          <w:lang w:val="fr-FR"/>
        </w:rPr>
        <w:t xml:space="preserve">mais </w:t>
      </w:r>
      <w:r w:rsidR="00B97E8E" w:rsidRPr="002F57E1">
        <w:rPr>
          <w:lang w:val="fr-FR"/>
        </w:rPr>
        <w:t>ce sont</w:t>
      </w:r>
      <w:r w:rsidR="007E5748" w:rsidRPr="002F57E1">
        <w:rPr>
          <w:lang w:val="fr-FR"/>
        </w:rPr>
        <w:t xml:space="preserve"> la disponibilité</w:t>
      </w:r>
      <w:r w:rsidR="0056347B" w:rsidRPr="002F57E1">
        <w:rPr>
          <w:lang w:val="fr-FR"/>
        </w:rPr>
        <w:t xml:space="preserve"> et la consommation de</w:t>
      </w:r>
      <w:r w:rsidR="00F61D5F">
        <w:rPr>
          <w:lang w:val="fr-FR"/>
        </w:rPr>
        <w:t xml:space="preserve"> la</w:t>
      </w:r>
      <w:r w:rsidR="0056347B" w:rsidRPr="002F57E1">
        <w:rPr>
          <w:lang w:val="fr-FR"/>
        </w:rPr>
        <w:t xml:space="preserve"> méthamphé</w:t>
      </w:r>
      <w:r w:rsidR="00AC31CE" w:rsidRPr="002F57E1">
        <w:rPr>
          <w:lang w:val="fr-FR"/>
        </w:rPr>
        <w:t>tamine</w:t>
      </w:r>
      <w:r w:rsidR="0056347B" w:rsidRPr="002F57E1">
        <w:rPr>
          <w:lang w:val="fr-FR"/>
        </w:rPr>
        <w:t xml:space="preserve"> e</w:t>
      </w:r>
      <w:r w:rsidR="00AC31CE" w:rsidRPr="002F57E1">
        <w:rPr>
          <w:lang w:val="fr-FR"/>
        </w:rPr>
        <w:t>n Europe</w:t>
      </w:r>
      <w:r w:rsidR="007E5748" w:rsidRPr="002F57E1">
        <w:rPr>
          <w:lang w:val="fr-FR"/>
        </w:rPr>
        <w:t xml:space="preserve"> qui </w:t>
      </w:r>
      <w:r w:rsidR="00B97E8E" w:rsidRPr="002F57E1">
        <w:rPr>
          <w:lang w:val="fr-FR"/>
        </w:rPr>
        <w:t>suscitent</w:t>
      </w:r>
      <w:r w:rsidR="007E5748" w:rsidRPr="002F57E1">
        <w:rPr>
          <w:lang w:val="fr-FR"/>
        </w:rPr>
        <w:t xml:space="preserve"> de plus en plus de préoccupations</w:t>
      </w:r>
      <w:r w:rsidR="00AC31CE" w:rsidRPr="002F57E1">
        <w:rPr>
          <w:lang w:val="fr-FR"/>
        </w:rPr>
        <w:t xml:space="preserve">. </w:t>
      </w:r>
      <w:r w:rsidR="00F61D5F">
        <w:rPr>
          <w:lang w:val="fr-FR"/>
        </w:rPr>
        <w:t>M</w:t>
      </w:r>
      <w:r w:rsidR="00F61D5F" w:rsidRPr="002F57E1">
        <w:rPr>
          <w:lang w:val="fr-FR"/>
        </w:rPr>
        <w:t>ême si le nombre de saisies et les quantités restent modestes</w:t>
      </w:r>
      <w:r w:rsidR="00F61D5F">
        <w:rPr>
          <w:lang w:val="fr-FR"/>
        </w:rPr>
        <w:t xml:space="preserve"> </w:t>
      </w:r>
      <w:r w:rsidR="00F61D5F" w:rsidRPr="002F57E1">
        <w:rPr>
          <w:lang w:val="fr-FR"/>
        </w:rPr>
        <w:t>(figure 1.10)</w:t>
      </w:r>
      <w:r w:rsidR="00F61D5F">
        <w:rPr>
          <w:lang w:val="fr-FR"/>
        </w:rPr>
        <w:t>, l</w:t>
      </w:r>
      <w:r w:rsidR="004D7ED8" w:rsidRPr="002F57E1">
        <w:rPr>
          <w:lang w:val="fr-FR"/>
        </w:rPr>
        <w:t xml:space="preserve">e rapport </w:t>
      </w:r>
      <w:r w:rsidR="007E5748" w:rsidRPr="002F57E1">
        <w:rPr>
          <w:lang w:val="fr-FR"/>
        </w:rPr>
        <w:t xml:space="preserve">publié </w:t>
      </w:r>
      <w:r w:rsidR="004D7ED8" w:rsidRPr="002F57E1">
        <w:rPr>
          <w:lang w:val="fr-FR"/>
        </w:rPr>
        <w:t>aujourd’hui</w:t>
      </w:r>
      <w:r w:rsidR="00412C93">
        <w:rPr>
          <w:lang w:val="fr-FR"/>
        </w:rPr>
        <w:t xml:space="preserve"> </w:t>
      </w:r>
      <w:r w:rsidR="007E5748" w:rsidRPr="002F57E1">
        <w:rPr>
          <w:lang w:val="fr-FR"/>
        </w:rPr>
        <w:t xml:space="preserve">fait état </w:t>
      </w:r>
      <w:r w:rsidR="00F61D5F">
        <w:rPr>
          <w:lang w:val="fr-FR"/>
        </w:rPr>
        <w:t xml:space="preserve">de leur </w:t>
      </w:r>
      <w:r w:rsidR="007E5748" w:rsidRPr="002F57E1">
        <w:rPr>
          <w:lang w:val="fr-FR"/>
        </w:rPr>
        <w:t>augmentation</w:t>
      </w:r>
      <w:r w:rsidR="00F61D5F">
        <w:rPr>
          <w:lang w:val="fr-FR"/>
        </w:rPr>
        <w:t xml:space="preserve"> au cours de</w:t>
      </w:r>
      <w:r w:rsidR="00F30E17">
        <w:rPr>
          <w:lang w:val="fr-FR"/>
        </w:rPr>
        <w:t xml:space="preserve"> </w:t>
      </w:r>
      <w:r w:rsidR="00F61D5F">
        <w:rPr>
          <w:lang w:val="fr-FR"/>
        </w:rPr>
        <w:t>s</w:t>
      </w:r>
      <w:r w:rsidR="004D41B3" w:rsidRPr="002F57E1">
        <w:rPr>
          <w:lang w:val="fr-FR"/>
        </w:rPr>
        <w:t>es</w:t>
      </w:r>
      <w:r w:rsidR="00712CBC" w:rsidRPr="002F57E1">
        <w:rPr>
          <w:lang w:val="fr-FR"/>
        </w:rPr>
        <w:t xml:space="preserve"> dix dernières années,</w:t>
      </w:r>
      <w:r w:rsidR="007E5748" w:rsidRPr="002F57E1">
        <w:rPr>
          <w:lang w:val="fr-FR"/>
        </w:rPr>
        <w:t xml:space="preserve"> </w:t>
      </w:r>
      <w:r w:rsidR="00186A94" w:rsidRPr="002F57E1">
        <w:rPr>
          <w:lang w:val="fr-FR"/>
        </w:rPr>
        <w:t>signe d’une</w:t>
      </w:r>
      <w:r w:rsidR="00412C93">
        <w:rPr>
          <w:lang w:val="fr-FR"/>
        </w:rPr>
        <w:t xml:space="preserve"> </w:t>
      </w:r>
      <w:r w:rsidR="00712CBC" w:rsidRPr="002F57E1">
        <w:rPr>
          <w:lang w:val="fr-FR"/>
        </w:rPr>
        <w:t xml:space="preserve">disponibilité </w:t>
      </w:r>
      <w:r w:rsidR="00186A94" w:rsidRPr="002F57E1">
        <w:rPr>
          <w:lang w:val="fr-FR"/>
        </w:rPr>
        <w:t xml:space="preserve">accrue </w:t>
      </w:r>
      <w:r w:rsidR="00712CBC" w:rsidRPr="002F57E1">
        <w:rPr>
          <w:lang w:val="fr-FR"/>
        </w:rPr>
        <w:t>de cette drogue</w:t>
      </w:r>
      <w:r w:rsidR="002742B9" w:rsidRPr="002F57E1">
        <w:rPr>
          <w:lang w:val="fr-FR"/>
        </w:rPr>
        <w:t xml:space="preserve">. </w:t>
      </w:r>
      <w:r w:rsidR="00C25937">
        <w:rPr>
          <w:lang w:val="fr-FR"/>
        </w:rPr>
        <w:t xml:space="preserve">          </w:t>
      </w:r>
      <w:r w:rsidR="002742B9" w:rsidRPr="002F57E1">
        <w:rPr>
          <w:lang w:val="fr-FR"/>
        </w:rPr>
        <w:t>En 2012, 7 </w:t>
      </w:r>
      <w:r w:rsidR="00AC31CE" w:rsidRPr="002F57E1">
        <w:rPr>
          <w:lang w:val="fr-FR"/>
        </w:rPr>
        <w:t>000 s</w:t>
      </w:r>
      <w:r w:rsidR="002742B9" w:rsidRPr="002F57E1">
        <w:rPr>
          <w:lang w:val="fr-FR"/>
        </w:rPr>
        <w:t>aisi</w:t>
      </w:r>
      <w:r w:rsidR="00AC31CE" w:rsidRPr="002F57E1">
        <w:rPr>
          <w:lang w:val="fr-FR"/>
        </w:rPr>
        <w:t>es</w:t>
      </w:r>
      <w:r w:rsidR="00B97E8E" w:rsidRPr="002F57E1">
        <w:rPr>
          <w:lang w:val="fr-FR"/>
        </w:rPr>
        <w:t xml:space="preserve"> </w:t>
      </w:r>
      <w:r w:rsidR="0098261D">
        <w:rPr>
          <w:lang w:val="fr-FR"/>
        </w:rPr>
        <w:t xml:space="preserve">pour un total de </w:t>
      </w:r>
      <w:r w:rsidR="00AC31CE" w:rsidRPr="002F57E1">
        <w:rPr>
          <w:lang w:val="fr-FR"/>
        </w:rPr>
        <w:t>343</w:t>
      </w:r>
      <w:r w:rsidR="00B97E8E" w:rsidRPr="002F57E1">
        <w:rPr>
          <w:lang w:val="fr-FR"/>
        </w:rPr>
        <w:t> </w:t>
      </w:r>
      <w:r w:rsidR="00AC31CE" w:rsidRPr="002F57E1">
        <w:rPr>
          <w:lang w:val="fr-FR"/>
        </w:rPr>
        <w:t xml:space="preserve">kg </w:t>
      </w:r>
      <w:r w:rsidR="00512DAF" w:rsidRPr="002F57E1">
        <w:rPr>
          <w:lang w:val="fr-FR"/>
        </w:rPr>
        <w:t xml:space="preserve">ont été </w:t>
      </w:r>
      <w:r w:rsidR="00141073">
        <w:rPr>
          <w:lang w:val="fr-FR"/>
        </w:rPr>
        <w:t>recensées</w:t>
      </w:r>
      <w:r w:rsidR="00141073" w:rsidRPr="002F57E1">
        <w:rPr>
          <w:lang w:val="fr-FR"/>
        </w:rPr>
        <w:t xml:space="preserve"> </w:t>
      </w:r>
      <w:r w:rsidR="00512DAF" w:rsidRPr="002F57E1">
        <w:rPr>
          <w:lang w:val="fr-FR"/>
        </w:rPr>
        <w:t>au sein de l’</w:t>
      </w:r>
      <w:r w:rsidR="00AC31CE" w:rsidRPr="002F57E1">
        <w:rPr>
          <w:b/>
          <w:lang w:val="fr-FR"/>
        </w:rPr>
        <w:t>U</w:t>
      </w:r>
      <w:r w:rsidR="00512DAF" w:rsidRPr="002F57E1">
        <w:rPr>
          <w:b/>
          <w:lang w:val="fr-FR"/>
        </w:rPr>
        <w:t>E</w:t>
      </w:r>
      <w:r w:rsidR="00AC31CE" w:rsidRPr="002F57E1">
        <w:rPr>
          <w:lang w:val="fr-FR"/>
        </w:rPr>
        <w:t xml:space="preserve">. </w:t>
      </w:r>
      <w:r w:rsidR="00F61D5F">
        <w:rPr>
          <w:lang w:val="fr-FR"/>
        </w:rPr>
        <w:t xml:space="preserve">Par ailleurs, </w:t>
      </w:r>
      <w:r w:rsidR="000B172C" w:rsidRPr="002F57E1">
        <w:rPr>
          <w:lang w:val="fr-FR"/>
        </w:rPr>
        <w:t>4 </w:t>
      </w:r>
      <w:r w:rsidR="00AC31CE" w:rsidRPr="002F57E1">
        <w:rPr>
          <w:lang w:val="fr-FR"/>
        </w:rPr>
        <w:t>000</w:t>
      </w:r>
      <w:r w:rsidR="000B172C" w:rsidRPr="002F57E1">
        <w:rPr>
          <w:lang w:val="fr-FR"/>
        </w:rPr>
        <w:t xml:space="preserve"> </w:t>
      </w:r>
      <w:r w:rsidR="00AC31CE" w:rsidRPr="002F57E1">
        <w:rPr>
          <w:lang w:val="fr-FR"/>
        </w:rPr>
        <w:t>s</w:t>
      </w:r>
      <w:r w:rsidR="000B172C" w:rsidRPr="002F57E1">
        <w:rPr>
          <w:lang w:val="fr-FR"/>
        </w:rPr>
        <w:t>aisi</w:t>
      </w:r>
      <w:r w:rsidR="00AC31CE" w:rsidRPr="002F57E1">
        <w:rPr>
          <w:lang w:val="fr-FR"/>
        </w:rPr>
        <w:t>es</w:t>
      </w:r>
      <w:r w:rsidR="00712CBC" w:rsidRPr="002F57E1">
        <w:rPr>
          <w:lang w:val="fr-FR"/>
        </w:rPr>
        <w:t xml:space="preserve"> </w:t>
      </w:r>
      <w:r w:rsidR="0098261D">
        <w:rPr>
          <w:lang w:val="fr-FR"/>
        </w:rPr>
        <w:t xml:space="preserve">pour un total </w:t>
      </w:r>
      <w:r w:rsidR="00712CBC" w:rsidRPr="002F57E1">
        <w:rPr>
          <w:lang w:val="fr-FR"/>
        </w:rPr>
        <w:t>de</w:t>
      </w:r>
      <w:r w:rsidR="00412C93">
        <w:rPr>
          <w:lang w:val="fr-FR"/>
        </w:rPr>
        <w:t xml:space="preserve"> </w:t>
      </w:r>
      <w:r w:rsidR="00AC31CE" w:rsidRPr="002F57E1">
        <w:rPr>
          <w:lang w:val="fr-FR"/>
        </w:rPr>
        <w:t>637</w:t>
      </w:r>
      <w:r w:rsidR="00B97E8E" w:rsidRPr="002F57E1">
        <w:rPr>
          <w:lang w:val="fr-FR"/>
        </w:rPr>
        <w:t> kg</w:t>
      </w:r>
      <w:r w:rsidR="00412C93">
        <w:rPr>
          <w:lang w:val="fr-FR"/>
        </w:rPr>
        <w:t xml:space="preserve"> </w:t>
      </w:r>
      <w:r w:rsidR="000B172C" w:rsidRPr="002F57E1">
        <w:rPr>
          <w:lang w:val="fr-FR"/>
        </w:rPr>
        <w:t>ont été déclarées par la</w:t>
      </w:r>
      <w:r w:rsidR="000B172C" w:rsidRPr="002F57E1">
        <w:rPr>
          <w:b/>
          <w:lang w:val="fr-FR"/>
        </w:rPr>
        <w:t xml:space="preserve"> Turquie</w:t>
      </w:r>
      <w:r w:rsidR="00412C93">
        <w:rPr>
          <w:b/>
          <w:lang w:val="fr-FR"/>
        </w:rPr>
        <w:t xml:space="preserve"> </w:t>
      </w:r>
      <w:r w:rsidR="000B172C" w:rsidRPr="002F57E1">
        <w:rPr>
          <w:lang w:val="fr-FR"/>
        </w:rPr>
        <w:t>et la</w:t>
      </w:r>
      <w:r w:rsidR="00AC31CE" w:rsidRPr="002F57E1">
        <w:rPr>
          <w:b/>
          <w:lang w:val="fr-FR"/>
        </w:rPr>
        <w:t xml:space="preserve"> Nor</w:t>
      </w:r>
      <w:r w:rsidR="000B172C" w:rsidRPr="002F57E1">
        <w:rPr>
          <w:b/>
          <w:lang w:val="fr-FR"/>
        </w:rPr>
        <w:t>vège</w:t>
      </w:r>
      <w:r w:rsidR="00AC31CE" w:rsidRPr="002F57E1">
        <w:rPr>
          <w:lang w:val="fr-FR"/>
        </w:rPr>
        <w:t xml:space="preserve"> (</w:t>
      </w:r>
      <w:r w:rsidR="00BE5FD4" w:rsidRPr="002F57E1">
        <w:rPr>
          <w:lang w:val="fr-FR"/>
        </w:rPr>
        <w:t xml:space="preserve">presque deux fois </w:t>
      </w:r>
      <w:r w:rsidR="005A4A3C" w:rsidRPr="002F57E1">
        <w:rPr>
          <w:lang w:val="fr-FR"/>
        </w:rPr>
        <w:t>la quantité saisie</w:t>
      </w:r>
      <w:r w:rsidR="00BE5FD4" w:rsidRPr="002F57E1">
        <w:rPr>
          <w:lang w:val="fr-FR"/>
        </w:rPr>
        <w:t xml:space="preserve"> dans </w:t>
      </w:r>
      <w:r w:rsidR="00B97E8E" w:rsidRPr="002F57E1">
        <w:rPr>
          <w:lang w:val="fr-FR"/>
        </w:rPr>
        <w:t>l’ensemble de</w:t>
      </w:r>
      <w:r w:rsidR="00BE5FD4" w:rsidRPr="002F57E1">
        <w:rPr>
          <w:lang w:val="fr-FR"/>
        </w:rPr>
        <w:t xml:space="preserve"> l’</w:t>
      </w:r>
      <w:r w:rsidR="00AC31CE" w:rsidRPr="002F57E1">
        <w:rPr>
          <w:b/>
          <w:lang w:val="fr-FR"/>
        </w:rPr>
        <w:t>U</w:t>
      </w:r>
      <w:r w:rsidR="00BE5FD4" w:rsidRPr="002F57E1">
        <w:rPr>
          <w:b/>
          <w:lang w:val="fr-FR"/>
        </w:rPr>
        <w:t>E</w:t>
      </w:r>
      <w:r w:rsidR="00AC31CE" w:rsidRPr="002F57E1">
        <w:rPr>
          <w:lang w:val="fr-FR"/>
        </w:rPr>
        <w:t>).</w:t>
      </w:r>
    </w:p>
    <w:p w:rsidR="00AC31CE" w:rsidRPr="002F57E1" w:rsidRDefault="00701D16" w:rsidP="008216AB">
      <w:pPr>
        <w:pStyle w:val="newsNotes"/>
        <w:ind w:right="-285"/>
        <w:rPr>
          <w:lang w:val="fr-FR"/>
        </w:rPr>
      </w:pPr>
      <w:r w:rsidRPr="002F57E1">
        <w:rPr>
          <w:lang w:val="fr-FR"/>
        </w:rPr>
        <w:t>La consommation de méthamphétamine</w:t>
      </w:r>
      <w:r w:rsidR="00AC31CE" w:rsidRPr="002F57E1">
        <w:rPr>
          <w:lang w:val="fr-FR"/>
        </w:rPr>
        <w:t>, histori</w:t>
      </w:r>
      <w:r w:rsidRPr="002F57E1">
        <w:rPr>
          <w:lang w:val="fr-FR"/>
        </w:rPr>
        <w:t>quement basse en Europe et principalement limitée à la</w:t>
      </w:r>
      <w:r w:rsidR="00412C93">
        <w:rPr>
          <w:lang w:val="fr-FR"/>
        </w:rPr>
        <w:t xml:space="preserve"> </w:t>
      </w:r>
      <w:r w:rsidRPr="002F57E1">
        <w:rPr>
          <w:b/>
          <w:lang w:val="fr-FR"/>
        </w:rPr>
        <w:t>République tc</w:t>
      </w:r>
      <w:r w:rsidR="00AC31CE" w:rsidRPr="002F57E1">
        <w:rPr>
          <w:b/>
          <w:lang w:val="fr-FR"/>
        </w:rPr>
        <w:t>h</w:t>
      </w:r>
      <w:r w:rsidRPr="002F57E1">
        <w:rPr>
          <w:b/>
          <w:lang w:val="fr-FR"/>
        </w:rPr>
        <w:t>èque</w:t>
      </w:r>
      <w:r w:rsidR="00412C93">
        <w:rPr>
          <w:b/>
          <w:lang w:val="fr-FR"/>
        </w:rPr>
        <w:t xml:space="preserve"> </w:t>
      </w:r>
      <w:r w:rsidRPr="002F57E1">
        <w:rPr>
          <w:lang w:val="fr-FR"/>
        </w:rPr>
        <w:t>et à la</w:t>
      </w:r>
      <w:r w:rsidR="00412C93">
        <w:rPr>
          <w:lang w:val="fr-FR"/>
        </w:rPr>
        <w:t xml:space="preserve"> </w:t>
      </w:r>
      <w:r w:rsidR="00AC31CE" w:rsidRPr="002F57E1">
        <w:rPr>
          <w:b/>
          <w:lang w:val="fr-FR"/>
        </w:rPr>
        <w:t>Slova</w:t>
      </w:r>
      <w:r w:rsidRPr="002F57E1">
        <w:rPr>
          <w:b/>
          <w:lang w:val="fr-FR"/>
        </w:rPr>
        <w:t>quie</w:t>
      </w:r>
      <w:r w:rsidR="00AC31CE" w:rsidRPr="002F57E1">
        <w:rPr>
          <w:lang w:val="fr-FR"/>
        </w:rPr>
        <w:t xml:space="preserve">, </w:t>
      </w:r>
      <w:r w:rsidRPr="002F57E1">
        <w:rPr>
          <w:lang w:val="fr-FR"/>
        </w:rPr>
        <w:t xml:space="preserve">semble à présent </w:t>
      </w:r>
      <w:r w:rsidR="00F61D5F">
        <w:rPr>
          <w:lang w:val="fr-FR"/>
        </w:rPr>
        <w:t>s’étendre</w:t>
      </w:r>
      <w:r w:rsidR="00AF25E9" w:rsidRPr="002F57E1">
        <w:rPr>
          <w:lang w:val="fr-FR"/>
        </w:rPr>
        <w:t xml:space="preserve"> (par exemple en </w:t>
      </w:r>
      <w:r w:rsidR="00AF25E9" w:rsidRPr="002F57E1">
        <w:rPr>
          <w:b/>
          <w:lang w:val="fr-FR"/>
        </w:rPr>
        <w:t>Allemagne</w:t>
      </w:r>
      <w:r w:rsidR="00AF25E9" w:rsidRPr="002F57E1">
        <w:rPr>
          <w:lang w:val="fr-FR"/>
        </w:rPr>
        <w:t>).</w:t>
      </w:r>
      <w:r w:rsidR="00412C93">
        <w:rPr>
          <w:lang w:val="fr-FR"/>
        </w:rPr>
        <w:t xml:space="preserve"> </w:t>
      </w:r>
      <w:r w:rsidR="002A2233" w:rsidRPr="002F57E1">
        <w:rPr>
          <w:lang w:val="fr-FR"/>
        </w:rPr>
        <w:t xml:space="preserve">Des </w:t>
      </w:r>
      <w:r w:rsidR="00F61D5F">
        <w:rPr>
          <w:lang w:val="fr-FR"/>
        </w:rPr>
        <w:t>signalements</w:t>
      </w:r>
      <w:r w:rsidR="00F61D5F" w:rsidRPr="002F57E1">
        <w:rPr>
          <w:lang w:val="fr-FR"/>
        </w:rPr>
        <w:t xml:space="preserve"> </w:t>
      </w:r>
      <w:r w:rsidR="002A2233" w:rsidRPr="002F57E1">
        <w:rPr>
          <w:lang w:val="fr-FR"/>
        </w:rPr>
        <w:t>inquiétants en provenance du sud-est de l’</w:t>
      </w:r>
      <w:r w:rsidR="00AC31CE" w:rsidRPr="002F57E1">
        <w:rPr>
          <w:lang w:val="fr-FR"/>
        </w:rPr>
        <w:t>Europe (</w:t>
      </w:r>
      <w:r w:rsidR="002A2233" w:rsidRPr="002F57E1">
        <w:rPr>
          <w:b/>
          <w:lang w:val="fr-FR"/>
        </w:rPr>
        <w:t>Grè</w:t>
      </w:r>
      <w:r w:rsidR="00AC31CE" w:rsidRPr="002F57E1">
        <w:rPr>
          <w:b/>
          <w:lang w:val="fr-FR"/>
        </w:rPr>
        <w:t>ce, C</w:t>
      </w:r>
      <w:r w:rsidR="002A2233" w:rsidRPr="002F57E1">
        <w:rPr>
          <w:b/>
          <w:lang w:val="fr-FR"/>
        </w:rPr>
        <w:t>h</w:t>
      </w:r>
      <w:r w:rsidR="00AC31CE" w:rsidRPr="002F57E1">
        <w:rPr>
          <w:b/>
          <w:lang w:val="fr-FR"/>
        </w:rPr>
        <w:t>ypr</w:t>
      </w:r>
      <w:r w:rsidR="002A2233" w:rsidRPr="002F57E1">
        <w:rPr>
          <w:b/>
          <w:lang w:val="fr-FR"/>
        </w:rPr>
        <w:t>e</w:t>
      </w:r>
      <w:r w:rsidR="00AF25E9" w:rsidRPr="002F57E1">
        <w:rPr>
          <w:b/>
          <w:lang w:val="fr-FR"/>
        </w:rPr>
        <w:t>,</w:t>
      </w:r>
      <w:r w:rsidR="00AC31CE" w:rsidRPr="002F57E1">
        <w:rPr>
          <w:b/>
          <w:lang w:val="fr-FR"/>
        </w:rPr>
        <w:t xml:space="preserve"> Tur</w:t>
      </w:r>
      <w:r w:rsidR="002A2233" w:rsidRPr="002F57E1">
        <w:rPr>
          <w:b/>
          <w:lang w:val="fr-FR"/>
        </w:rPr>
        <w:t>quie</w:t>
      </w:r>
      <w:r w:rsidR="00AC31CE" w:rsidRPr="002F57E1">
        <w:rPr>
          <w:lang w:val="fr-FR"/>
        </w:rPr>
        <w:t xml:space="preserve">) </w:t>
      </w:r>
      <w:r w:rsidR="002A2233" w:rsidRPr="002F57E1">
        <w:rPr>
          <w:lang w:val="fr-FR"/>
        </w:rPr>
        <w:t xml:space="preserve">indiquent </w:t>
      </w:r>
      <w:r w:rsidR="006351CF">
        <w:rPr>
          <w:lang w:val="fr-FR"/>
        </w:rPr>
        <w:t xml:space="preserve">que le fait de </w:t>
      </w:r>
      <w:r w:rsidR="006351CF" w:rsidRPr="00C25937">
        <w:rPr>
          <w:i/>
          <w:lang w:val="fr-FR"/>
        </w:rPr>
        <w:t>fumer</w:t>
      </w:r>
      <w:r w:rsidR="006351CF">
        <w:rPr>
          <w:lang w:val="fr-FR"/>
        </w:rPr>
        <w:t xml:space="preserve"> de la </w:t>
      </w:r>
      <w:r w:rsidR="002A2233" w:rsidRPr="002F57E1">
        <w:rPr>
          <w:lang w:val="fr-FR"/>
        </w:rPr>
        <w:t>méthamphé</w:t>
      </w:r>
      <w:r w:rsidR="00AC31CE" w:rsidRPr="002F57E1">
        <w:rPr>
          <w:lang w:val="fr-FR"/>
        </w:rPr>
        <w:t>tamine</w:t>
      </w:r>
      <w:r w:rsidR="006351CF">
        <w:rPr>
          <w:lang w:val="fr-FR"/>
        </w:rPr>
        <w:t xml:space="preserve"> sous sa forme crystal </w:t>
      </w:r>
      <w:r w:rsidR="002A2233" w:rsidRPr="002F57E1">
        <w:rPr>
          <w:lang w:val="fr-FR"/>
        </w:rPr>
        <w:t>est</w:t>
      </w:r>
      <w:r w:rsidR="00412C93">
        <w:rPr>
          <w:lang w:val="fr-FR"/>
        </w:rPr>
        <w:t xml:space="preserve"> </w:t>
      </w:r>
      <w:r w:rsidR="002A2233" w:rsidRPr="002F57E1">
        <w:rPr>
          <w:lang w:val="fr-FR"/>
        </w:rPr>
        <w:t>un problème limité mais émergent</w:t>
      </w:r>
      <w:r w:rsidR="00AC31CE" w:rsidRPr="002F57E1">
        <w:rPr>
          <w:lang w:val="fr-FR"/>
        </w:rPr>
        <w:t xml:space="preserve">, </w:t>
      </w:r>
      <w:r w:rsidR="00712CBC" w:rsidRPr="002F57E1">
        <w:rPr>
          <w:lang w:val="fr-FR"/>
        </w:rPr>
        <w:t xml:space="preserve">qui risque </w:t>
      </w:r>
      <w:r w:rsidR="002A2233" w:rsidRPr="002F57E1">
        <w:rPr>
          <w:lang w:val="fr-FR"/>
        </w:rPr>
        <w:t xml:space="preserve">de </w:t>
      </w:r>
      <w:r w:rsidR="006351CF">
        <w:rPr>
          <w:lang w:val="fr-FR"/>
        </w:rPr>
        <w:t>s'étendre</w:t>
      </w:r>
      <w:r w:rsidR="002A2233" w:rsidRPr="002F57E1">
        <w:rPr>
          <w:lang w:val="fr-FR"/>
        </w:rPr>
        <w:t xml:space="preserve"> </w:t>
      </w:r>
      <w:r w:rsidR="006351CF">
        <w:rPr>
          <w:lang w:val="fr-FR"/>
        </w:rPr>
        <w:t>dans les</w:t>
      </w:r>
      <w:r w:rsidR="002A2233" w:rsidRPr="002F57E1">
        <w:rPr>
          <w:lang w:val="fr-FR"/>
        </w:rPr>
        <w:t xml:space="preserve"> populations vulnérables</w:t>
      </w:r>
      <w:r w:rsidR="00AC31CE" w:rsidRPr="002F57E1">
        <w:rPr>
          <w:lang w:val="fr-FR"/>
        </w:rPr>
        <w:t xml:space="preserve">. </w:t>
      </w:r>
      <w:r w:rsidR="00463CF1" w:rsidRPr="002F57E1">
        <w:rPr>
          <w:lang w:val="fr-FR"/>
        </w:rPr>
        <w:t>L’</w:t>
      </w:r>
      <w:r w:rsidR="00463CF1" w:rsidRPr="002F57E1">
        <w:rPr>
          <w:i/>
          <w:lang w:val="fr-FR"/>
        </w:rPr>
        <w:t>injection</w:t>
      </w:r>
      <w:r w:rsidR="00463CF1" w:rsidRPr="002F57E1">
        <w:rPr>
          <w:lang w:val="fr-FR"/>
        </w:rPr>
        <w:t xml:space="preserve"> de méthamphé</w:t>
      </w:r>
      <w:r w:rsidR="00AC31CE" w:rsidRPr="002F57E1">
        <w:rPr>
          <w:lang w:val="fr-FR"/>
        </w:rPr>
        <w:t>tamine</w:t>
      </w:r>
      <w:r w:rsidR="00463CF1" w:rsidRPr="002F57E1">
        <w:rPr>
          <w:lang w:val="fr-FR"/>
        </w:rPr>
        <w:t xml:space="preserve"> </w:t>
      </w:r>
      <w:r w:rsidR="00AC31CE" w:rsidRPr="002F57E1">
        <w:rPr>
          <w:lang w:val="fr-FR"/>
        </w:rPr>
        <w:t>a</w:t>
      </w:r>
      <w:r w:rsidR="006351CF">
        <w:rPr>
          <w:lang w:val="fr-FR"/>
        </w:rPr>
        <w:t xml:space="preserve"> par ailleurs </w:t>
      </w:r>
      <w:r w:rsidR="003A63B5" w:rsidRPr="002F57E1">
        <w:rPr>
          <w:lang w:val="fr-FR"/>
        </w:rPr>
        <w:t xml:space="preserve">été </w:t>
      </w:r>
      <w:r w:rsidR="00712CBC" w:rsidRPr="002F57E1">
        <w:rPr>
          <w:lang w:val="fr-FR"/>
        </w:rPr>
        <w:t xml:space="preserve">signalée </w:t>
      </w:r>
      <w:r w:rsidR="003A63B5" w:rsidRPr="002F57E1">
        <w:rPr>
          <w:lang w:val="fr-FR"/>
        </w:rPr>
        <w:t xml:space="preserve">comme </w:t>
      </w:r>
      <w:r w:rsidR="00AF25E9" w:rsidRPr="002F57E1">
        <w:rPr>
          <w:lang w:val="fr-FR"/>
        </w:rPr>
        <w:t>une</w:t>
      </w:r>
      <w:r w:rsidR="003A63B5" w:rsidRPr="002F57E1">
        <w:rPr>
          <w:lang w:val="fr-FR"/>
        </w:rPr>
        <w:t xml:space="preserve"> tendance </w:t>
      </w:r>
      <w:r w:rsidR="006351CF">
        <w:rPr>
          <w:lang w:val="fr-FR"/>
        </w:rPr>
        <w:t>émergente au sein de</w:t>
      </w:r>
      <w:r w:rsidR="003A63B5" w:rsidRPr="002F57E1">
        <w:rPr>
          <w:lang w:val="fr-FR"/>
        </w:rPr>
        <w:t xml:space="preserve"> petits groupes d’hommes </w:t>
      </w:r>
      <w:r w:rsidR="00D3693D" w:rsidRPr="00D3693D">
        <w:rPr>
          <w:lang w:val="fr-FR"/>
        </w:rPr>
        <w:t xml:space="preserve">ayant des relations </w:t>
      </w:r>
      <w:r w:rsidR="006351CF">
        <w:rPr>
          <w:lang w:val="fr-FR"/>
        </w:rPr>
        <w:t>homosexuel</w:t>
      </w:r>
      <w:r w:rsidR="00D3693D">
        <w:rPr>
          <w:lang w:val="fr-FR"/>
        </w:rPr>
        <w:t>le</w:t>
      </w:r>
      <w:r w:rsidR="006351CF">
        <w:rPr>
          <w:lang w:val="fr-FR"/>
        </w:rPr>
        <w:t>s</w:t>
      </w:r>
      <w:r w:rsidR="003A63B5" w:rsidRPr="002F57E1">
        <w:rPr>
          <w:lang w:val="fr-FR"/>
        </w:rPr>
        <w:t xml:space="preserve"> dans certaines grandes villes européennes</w:t>
      </w:r>
      <w:r w:rsidR="00AC31CE" w:rsidRPr="002F57E1">
        <w:rPr>
          <w:lang w:val="fr-FR"/>
        </w:rPr>
        <w:t xml:space="preserve"> (</w:t>
      </w:r>
      <w:r w:rsidR="008A6F08" w:rsidRPr="002F57E1">
        <w:rPr>
          <w:vertAlign w:val="superscript"/>
          <w:lang w:val="fr-FR"/>
        </w:rPr>
        <w:t>4</w:t>
      </w:r>
      <w:r w:rsidR="00AC31CE" w:rsidRPr="002F57E1">
        <w:rPr>
          <w:lang w:val="fr-FR"/>
        </w:rPr>
        <w:t xml:space="preserve">). </w:t>
      </w:r>
    </w:p>
    <w:p w:rsidR="00AC31CE" w:rsidRPr="002F57E1" w:rsidRDefault="00141073" w:rsidP="003C2E9B">
      <w:pPr>
        <w:pStyle w:val="newsNotes"/>
        <w:rPr>
          <w:lang w:val="fr-FR"/>
        </w:rPr>
      </w:pPr>
      <w:r>
        <w:rPr>
          <w:lang w:val="fr-FR"/>
        </w:rPr>
        <w:t>La réémergence</w:t>
      </w:r>
      <w:r w:rsidR="005873DF" w:rsidRPr="002F57E1">
        <w:rPr>
          <w:lang w:val="fr-FR"/>
        </w:rPr>
        <w:t xml:space="preserve"> de poudres et pilules d’ecstasy </w:t>
      </w:r>
      <w:r w:rsidR="00A936B1">
        <w:rPr>
          <w:lang w:val="fr-FR"/>
        </w:rPr>
        <w:t>fortement dosées en</w:t>
      </w:r>
      <w:r w:rsidR="00C95989" w:rsidRPr="002F57E1">
        <w:rPr>
          <w:lang w:val="fr-FR"/>
        </w:rPr>
        <w:t xml:space="preserve"> </w:t>
      </w:r>
      <w:r w:rsidR="005873DF" w:rsidRPr="002F57E1">
        <w:rPr>
          <w:lang w:val="fr-FR"/>
        </w:rPr>
        <w:t>MDMA</w:t>
      </w:r>
      <w:r w:rsidR="00777B2A" w:rsidRPr="002F57E1">
        <w:rPr>
          <w:lang w:val="fr-FR"/>
        </w:rPr>
        <w:t xml:space="preserve"> suscite également des inquiétudes</w:t>
      </w:r>
      <w:r w:rsidR="00AC31CE" w:rsidRPr="002F57E1">
        <w:rPr>
          <w:lang w:val="fr-FR"/>
        </w:rPr>
        <w:t xml:space="preserve">. </w:t>
      </w:r>
      <w:r w:rsidR="009E6BDE" w:rsidRPr="002F57E1">
        <w:rPr>
          <w:lang w:val="fr-FR"/>
        </w:rPr>
        <w:t xml:space="preserve">Les saisies </w:t>
      </w:r>
      <w:r w:rsidR="00EA3D6D">
        <w:rPr>
          <w:lang w:val="fr-FR"/>
        </w:rPr>
        <w:t>puis</w:t>
      </w:r>
      <w:r w:rsidR="00EA3D6D" w:rsidRPr="002F57E1">
        <w:rPr>
          <w:lang w:val="fr-FR"/>
        </w:rPr>
        <w:t xml:space="preserve"> </w:t>
      </w:r>
      <w:r w:rsidR="009E6BDE" w:rsidRPr="002F57E1">
        <w:rPr>
          <w:lang w:val="fr-FR"/>
        </w:rPr>
        <w:t xml:space="preserve">les </w:t>
      </w:r>
      <w:r w:rsidR="00D4315A" w:rsidRPr="002F57E1">
        <w:rPr>
          <w:lang w:val="fr-FR"/>
        </w:rPr>
        <w:t>signalements</w:t>
      </w:r>
      <w:r w:rsidR="009E6BDE" w:rsidRPr="002F57E1">
        <w:rPr>
          <w:lang w:val="fr-FR"/>
        </w:rPr>
        <w:t xml:space="preserve"> d’effets indésirables sur la santé </w:t>
      </w:r>
      <w:r w:rsidR="00014545" w:rsidRPr="002F57E1">
        <w:rPr>
          <w:lang w:val="fr-FR"/>
        </w:rPr>
        <w:t xml:space="preserve">ont </w:t>
      </w:r>
      <w:r w:rsidR="00656A05" w:rsidRPr="002F57E1">
        <w:rPr>
          <w:lang w:val="fr-FR"/>
        </w:rPr>
        <w:t xml:space="preserve">conduit </w:t>
      </w:r>
      <w:r w:rsidR="00AC31CE" w:rsidRPr="002F57E1">
        <w:rPr>
          <w:b/>
          <w:lang w:val="fr-FR"/>
        </w:rPr>
        <w:t>Europol</w:t>
      </w:r>
      <w:r w:rsidR="00AC31CE" w:rsidRPr="002F57E1">
        <w:rPr>
          <w:lang w:val="fr-FR"/>
        </w:rPr>
        <w:t xml:space="preserve"> e</w:t>
      </w:r>
      <w:r w:rsidR="00014545" w:rsidRPr="002F57E1">
        <w:rPr>
          <w:lang w:val="fr-FR"/>
        </w:rPr>
        <w:t xml:space="preserve">t </w:t>
      </w:r>
      <w:r w:rsidR="00014545" w:rsidRPr="002F57E1">
        <w:rPr>
          <w:lang w:val="fr-FR"/>
        </w:rPr>
        <w:lastRenderedPageBreak/>
        <w:t>l’</w:t>
      </w:r>
      <w:r w:rsidR="00AC31CE" w:rsidRPr="002F57E1">
        <w:rPr>
          <w:b/>
          <w:lang w:val="fr-FR"/>
        </w:rPr>
        <w:t>EMCDDA</w:t>
      </w:r>
      <w:r w:rsidR="00014545" w:rsidRPr="002F57E1">
        <w:rPr>
          <w:lang w:val="fr-FR"/>
        </w:rPr>
        <w:t xml:space="preserve"> à publier une mise en garde commune sur la disponibilité de produits très puissants contenant de la </w:t>
      </w:r>
      <w:r w:rsidR="00AC31CE" w:rsidRPr="002F57E1">
        <w:rPr>
          <w:lang w:val="fr-FR"/>
        </w:rPr>
        <w:t>MDMA</w:t>
      </w:r>
      <w:r w:rsidR="00D4315A" w:rsidRPr="002F57E1">
        <w:rPr>
          <w:lang w:val="fr-FR"/>
        </w:rPr>
        <w:t> </w:t>
      </w:r>
      <w:r w:rsidR="00AC31CE" w:rsidRPr="002F57E1">
        <w:rPr>
          <w:lang w:val="fr-FR"/>
        </w:rPr>
        <w:t>(</w:t>
      </w:r>
      <w:r w:rsidR="008A6F08" w:rsidRPr="002F57E1">
        <w:rPr>
          <w:vertAlign w:val="superscript"/>
          <w:lang w:val="fr-FR"/>
        </w:rPr>
        <w:t>5</w:t>
      </w:r>
      <w:r w:rsidR="00AC31CE" w:rsidRPr="002F57E1">
        <w:rPr>
          <w:lang w:val="fr-FR"/>
        </w:rPr>
        <w:t xml:space="preserve">). </w:t>
      </w:r>
      <w:r w:rsidR="00AC31CE" w:rsidRPr="002F57E1">
        <w:rPr>
          <w:b/>
          <w:lang w:val="fr-FR"/>
        </w:rPr>
        <w:t>Europol</w:t>
      </w:r>
      <w:r w:rsidR="00014545" w:rsidRPr="002F57E1">
        <w:rPr>
          <w:lang w:val="fr-FR"/>
        </w:rPr>
        <w:t xml:space="preserve"> signale le démantèlement en </w:t>
      </w:r>
      <w:r w:rsidR="003630DB" w:rsidRPr="002F57E1">
        <w:rPr>
          <w:b/>
          <w:lang w:val="fr-FR"/>
        </w:rPr>
        <w:t>Belgique</w:t>
      </w:r>
      <w:r w:rsidR="00014545" w:rsidRPr="002F57E1">
        <w:rPr>
          <w:lang w:val="fr-FR"/>
        </w:rPr>
        <w:t xml:space="preserve"> e</w:t>
      </w:r>
      <w:r w:rsidR="00AC31CE" w:rsidRPr="002F57E1">
        <w:rPr>
          <w:lang w:val="fr-FR"/>
        </w:rPr>
        <w:t>n 2013</w:t>
      </w:r>
      <w:r w:rsidR="00A936B1">
        <w:rPr>
          <w:lang w:val="fr-FR"/>
        </w:rPr>
        <w:t xml:space="preserve"> </w:t>
      </w:r>
      <w:r w:rsidR="00014545" w:rsidRPr="002F57E1">
        <w:rPr>
          <w:lang w:val="fr-FR"/>
        </w:rPr>
        <w:t xml:space="preserve">des deux plus grands sites de </w:t>
      </w:r>
      <w:r w:rsidR="00AC31CE" w:rsidRPr="002F57E1">
        <w:rPr>
          <w:lang w:val="fr-FR"/>
        </w:rPr>
        <w:t xml:space="preserve">production </w:t>
      </w:r>
      <w:r w:rsidR="00014545" w:rsidRPr="002F57E1">
        <w:rPr>
          <w:lang w:val="fr-FR"/>
        </w:rPr>
        <w:t xml:space="preserve">de drogues jamais découverts </w:t>
      </w:r>
      <w:r w:rsidR="00D937D8" w:rsidRPr="002F57E1">
        <w:rPr>
          <w:lang w:val="fr-FR"/>
        </w:rPr>
        <w:t>sur le territoire de</w:t>
      </w:r>
      <w:r w:rsidR="00014545" w:rsidRPr="002F57E1">
        <w:rPr>
          <w:lang w:val="fr-FR"/>
        </w:rPr>
        <w:t xml:space="preserve"> l’</w:t>
      </w:r>
      <w:r w:rsidR="00AC31CE" w:rsidRPr="002F57E1">
        <w:rPr>
          <w:b/>
          <w:lang w:val="fr-FR"/>
        </w:rPr>
        <w:t>U</w:t>
      </w:r>
      <w:r w:rsidR="00014545" w:rsidRPr="002F57E1">
        <w:rPr>
          <w:b/>
          <w:lang w:val="fr-FR"/>
        </w:rPr>
        <w:t>E</w:t>
      </w:r>
      <w:r w:rsidR="00656A05" w:rsidRPr="002F57E1">
        <w:rPr>
          <w:lang w:val="fr-FR"/>
        </w:rPr>
        <w:t>,</w:t>
      </w:r>
      <w:r w:rsidR="00412C93">
        <w:rPr>
          <w:lang w:val="fr-FR"/>
        </w:rPr>
        <w:t xml:space="preserve"> </w:t>
      </w:r>
      <w:r w:rsidR="00D937D8" w:rsidRPr="002F57E1">
        <w:rPr>
          <w:lang w:val="fr-FR"/>
        </w:rPr>
        <w:t>à même de produire</w:t>
      </w:r>
      <w:r w:rsidR="00412C93">
        <w:rPr>
          <w:lang w:val="fr-FR"/>
        </w:rPr>
        <w:t xml:space="preserve"> </w:t>
      </w:r>
      <w:r w:rsidR="003630DB" w:rsidRPr="002F57E1">
        <w:rPr>
          <w:lang w:val="fr-FR"/>
        </w:rPr>
        <w:t>rapidement de la MDMA en grandes quantités</w:t>
      </w:r>
      <w:r w:rsidR="00AC31CE" w:rsidRPr="002F57E1">
        <w:rPr>
          <w:lang w:val="fr-FR"/>
        </w:rPr>
        <w:t>.</w:t>
      </w:r>
    </w:p>
    <w:p w:rsidR="00AC31CE" w:rsidRPr="002F57E1" w:rsidRDefault="003C2E9B" w:rsidP="003C2E9B">
      <w:pPr>
        <w:pStyle w:val="newsNotes"/>
        <w:rPr>
          <w:lang w:val="fr-FR"/>
        </w:rPr>
      </w:pPr>
      <w:r w:rsidRPr="002F57E1">
        <w:rPr>
          <w:b/>
          <w:lang w:val="fr-FR"/>
        </w:rPr>
        <w:t>N</w:t>
      </w:r>
      <w:r w:rsidR="00257329" w:rsidRPr="002F57E1">
        <w:rPr>
          <w:b/>
          <w:lang w:val="fr-FR"/>
        </w:rPr>
        <w:t>ouv</w:t>
      </w:r>
      <w:r w:rsidRPr="002F57E1">
        <w:rPr>
          <w:b/>
          <w:lang w:val="fr-FR"/>
        </w:rPr>
        <w:t>e</w:t>
      </w:r>
      <w:r w:rsidR="00257329" w:rsidRPr="002F57E1">
        <w:rPr>
          <w:b/>
          <w:lang w:val="fr-FR"/>
        </w:rPr>
        <w:t>lles substances</w:t>
      </w:r>
      <w:r w:rsidR="00412C93">
        <w:rPr>
          <w:b/>
          <w:lang w:val="fr-FR"/>
        </w:rPr>
        <w:t xml:space="preserve"> </w:t>
      </w:r>
      <w:r w:rsidR="007E5B97" w:rsidRPr="002F57E1">
        <w:rPr>
          <w:b/>
          <w:lang w:val="fr-FR"/>
        </w:rPr>
        <w:t>psychoactives</w:t>
      </w:r>
      <w:r w:rsidR="00412C93">
        <w:rPr>
          <w:b/>
          <w:lang w:val="fr-FR"/>
        </w:rPr>
        <w:t xml:space="preserve"> </w:t>
      </w:r>
      <w:r w:rsidR="00157767" w:rsidRPr="002F57E1">
        <w:rPr>
          <w:b/>
          <w:lang w:val="fr-FR"/>
        </w:rPr>
        <w:t>:</w:t>
      </w:r>
      <w:r w:rsidR="00412C93">
        <w:rPr>
          <w:b/>
          <w:lang w:val="fr-FR"/>
        </w:rPr>
        <w:t xml:space="preserve"> </w:t>
      </w:r>
      <w:r w:rsidR="00BC1F8A" w:rsidRPr="002F57E1">
        <w:rPr>
          <w:b/>
          <w:lang w:val="fr-FR"/>
        </w:rPr>
        <w:t xml:space="preserve">le système d’alerte </w:t>
      </w:r>
      <w:r w:rsidR="00C242C1">
        <w:rPr>
          <w:b/>
          <w:lang w:val="fr-FR"/>
        </w:rPr>
        <w:t>précoce</w:t>
      </w:r>
      <w:r w:rsidR="00F430F4" w:rsidRPr="002F57E1">
        <w:rPr>
          <w:b/>
          <w:lang w:val="fr-FR"/>
        </w:rPr>
        <w:t xml:space="preserve"> de l’Union européenne</w:t>
      </w:r>
      <w:r w:rsidR="00412C93">
        <w:rPr>
          <w:b/>
          <w:lang w:val="fr-FR"/>
        </w:rPr>
        <w:t xml:space="preserve"> </w:t>
      </w:r>
      <w:r w:rsidR="003470DE" w:rsidRPr="002F57E1">
        <w:rPr>
          <w:b/>
          <w:lang w:val="fr-FR"/>
        </w:rPr>
        <w:t>«</w:t>
      </w:r>
      <w:r w:rsidR="00D04044">
        <w:rPr>
          <w:b/>
          <w:lang w:val="fr-FR"/>
        </w:rPr>
        <w:t xml:space="preserve"> </w:t>
      </w:r>
      <w:r w:rsidR="00BC1F8A" w:rsidRPr="002F57E1">
        <w:rPr>
          <w:b/>
          <w:lang w:val="fr-FR"/>
        </w:rPr>
        <w:t>sous pression accrue</w:t>
      </w:r>
      <w:r w:rsidR="00D04044">
        <w:rPr>
          <w:b/>
          <w:lang w:val="fr-FR"/>
        </w:rPr>
        <w:t xml:space="preserve"> </w:t>
      </w:r>
      <w:r w:rsidR="003470DE" w:rsidRPr="002F57E1">
        <w:rPr>
          <w:b/>
          <w:lang w:val="fr-FR"/>
        </w:rPr>
        <w:t>»</w:t>
      </w:r>
    </w:p>
    <w:p w:rsidR="00214415" w:rsidRPr="002F57E1" w:rsidRDefault="00F86466" w:rsidP="003C2E9B">
      <w:pPr>
        <w:pStyle w:val="newsNotes"/>
        <w:rPr>
          <w:lang w:val="fr-FR"/>
        </w:rPr>
      </w:pPr>
      <w:r>
        <w:rPr>
          <w:lang w:val="fr-FR"/>
        </w:rPr>
        <w:t>L</w:t>
      </w:r>
      <w:r w:rsidR="003E2A0F" w:rsidRPr="002F57E1">
        <w:rPr>
          <w:lang w:val="fr-FR"/>
        </w:rPr>
        <w:t>’</w:t>
      </w:r>
      <w:r w:rsidR="003E2A0F" w:rsidRPr="002F57E1">
        <w:rPr>
          <w:b/>
          <w:lang w:val="fr-FR"/>
        </w:rPr>
        <w:t>EMCDDA</w:t>
      </w:r>
      <w:r>
        <w:rPr>
          <w:b/>
          <w:lang w:val="fr-FR"/>
        </w:rPr>
        <w:t xml:space="preserve"> </w:t>
      </w:r>
      <w:r w:rsidR="002037AE" w:rsidRPr="00034840">
        <w:rPr>
          <w:lang w:val="fr-FR"/>
        </w:rPr>
        <w:t>ne</w:t>
      </w:r>
      <w:r w:rsidR="002037AE">
        <w:rPr>
          <w:b/>
          <w:lang w:val="fr-FR"/>
        </w:rPr>
        <w:t xml:space="preserve"> </w:t>
      </w:r>
      <w:r w:rsidRPr="00F86466">
        <w:rPr>
          <w:lang w:val="fr-FR"/>
        </w:rPr>
        <w:t>constate</w:t>
      </w:r>
      <w:r w:rsidR="00D46498" w:rsidRPr="002F57E1">
        <w:rPr>
          <w:lang w:val="fr-FR"/>
        </w:rPr>
        <w:t xml:space="preserve"> aucun </w:t>
      </w:r>
      <w:r w:rsidR="00A25624" w:rsidRPr="00A25624">
        <w:rPr>
          <w:lang w:val="fr-FR"/>
        </w:rPr>
        <w:t>ralentissement</w:t>
      </w:r>
      <w:r w:rsidR="00A25624" w:rsidRPr="00A25624" w:rsidDel="00F86466">
        <w:rPr>
          <w:lang w:val="fr-FR"/>
        </w:rPr>
        <w:t xml:space="preserve"> </w:t>
      </w:r>
      <w:r>
        <w:rPr>
          <w:lang w:val="fr-FR"/>
        </w:rPr>
        <w:t>d</w:t>
      </w:r>
      <w:r w:rsidR="002037AE">
        <w:rPr>
          <w:lang w:val="fr-FR"/>
        </w:rPr>
        <w:t>e</w:t>
      </w:r>
      <w:r w:rsidR="00D46498" w:rsidRPr="002F57E1">
        <w:rPr>
          <w:lang w:val="fr-FR"/>
        </w:rPr>
        <w:t xml:space="preserve"> l’augmentation du</w:t>
      </w:r>
      <w:r w:rsidR="00994B9D" w:rsidRPr="002F57E1">
        <w:rPr>
          <w:lang w:val="fr-FR"/>
        </w:rPr>
        <w:t xml:space="preserve"> nombre, d</w:t>
      </w:r>
      <w:r w:rsidR="00D46498" w:rsidRPr="002F57E1">
        <w:rPr>
          <w:lang w:val="fr-FR"/>
        </w:rPr>
        <w:t>es</w:t>
      </w:r>
      <w:r w:rsidR="00994B9D" w:rsidRPr="002F57E1">
        <w:rPr>
          <w:lang w:val="fr-FR"/>
        </w:rPr>
        <w:t xml:space="preserve"> </w:t>
      </w:r>
      <w:r w:rsidR="002037AE">
        <w:rPr>
          <w:lang w:val="fr-FR"/>
        </w:rPr>
        <w:t>variétés</w:t>
      </w:r>
      <w:r w:rsidR="002037AE" w:rsidRPr="002F57E1">
        <w:rPr>
          <w:lang w:val="fr-FR"/>
        </w:rPr>
        <w:t xml:space="preserve"> </w:t>
      </w:r>
      <w:r w:rsidR="002037AE">
        <w:rPr>
          <w:lang w:val="fr-FR"/>
        </w:rPr>
        <w:t>ou</w:t>
      </w:r>
      <w:r w:rsidR="00994B9D" w:rsidRPr="002F57E1">
        <w:rPr>
          <w:lang w:val="fr-FR"/>
        </w:rPr>
        <w:t xml:space="preserve"> de la disponibilité des nouvelles substances </w:t>
      </w:r>
      <w:r w:rsidR="006351CF" w:rsidRPr="002F57E1">
        <w:rPr>
          <w:lang w:val="fr-FR"/>
        </w:rPr>
        <w:t>psycho</w:t>
      </w:r>
      <w:r w:rsidR="006351CF">
        <w:rPr>
          <w:lang w:val="fr-FR"/>
        </w:rPr>
        <w:t>actives</w:t>
      </w:r>
      <w:r w:rsidR="006351CF" w:rsidRPr="002F57E1">
        <w:rPr>
          <w:lang w:val="fr-FR"/>
        </w:rPr>
        <w:t xml:space="preserve"> </w:t>
      </w:r>
      <w:r w:rsidR="00994B9D" w:rsidRPr="002F57E1">
        <w:rPr>
          <w:lang w:val="fr-FR"/>
        </w:rPr>
        <w:t xml:space="preserve">(NPS ou </w:t>
      </w:r>
      <w:r w:rsidR="003470DE" w:rsidRPr="002F57E1">
        <w:rPr>
          <w:lang w:val="fr-FR"/>
        </w:rPr>
        <w:t>«</w:t>
      </w:r>
      <w:r w:rsidR="00884331">
        <w:rPr>
          <w:lang w:val="fr-FR"/>
        </w:rPr>
        <w:t> </w:t>
      </w:r>
      <w:r w:rsidR="00994B9D" w:rsidRPr="002F57E1">
        <w:rPr>
          <w:lang w:val="fr-FR"/>
        </w:rPr>
        <w:t>nouvelles drogues</w:t>
      </w:r>
      <w:r w:rsidR="00884331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994B9D" w:rsidRPr="002F57E1">
        <w:rPr>
          <w:lang w:val="fr-FR"/>
        </w:rPr>
        <w:t>) e</w:t>
      </w:r>
      <w:r w:rsidR="00214415" w:rsidRPr="002F57E1">
        <w:rPr>
          <w:lang w:val="fr-FR"/>
        </w:rPr>
        <w:t>n Europe</w:t>
      </w:r>
      <w:r w:rsidR="00696C90" w:rsidRPr="002F57E1">
        <w:rPr>
          <w:lang w:val="fr-FR"/>
        </w:rPr>
        <w:t>. E</w:t>
      </w:r>
      <w:r w:rsidR="00214415" w:rsidRPr="002F57E1">
        <w:rPr>
          <w:lang w:val="fr-FR"/>
        </w:rPr>
        <w:t>n 2013, 81</w:t>
      </w:r>
      <w:r w:rsidR="00BE646F" w:rsidRPr="002F57E1">
        <w:rPr>
          <w:lang w:val="fr-FR"/>
        </w:rPr>
        <w:t> </w:t>
      </w:r>
      <w:r w:rsidR="00214415" w:rsidRPr="002F57E1">
        <w:rPr>
          <w:lang w:val="fr-FR"/>
        </w:rPr>
        <w:t>n</w:t>
      </w:r>
      <w:r w:rsidR="00BD2782" w:rsidRPr="002F57E1">
        <w:rPr>
          <w:lang w:val="fr-FR"/>
        </w:rPr>
        <w:t>ouv</w:t>
      </w:r>
      <w:r w:rsidR="00214415" w:rsidRPr="002F57E1">
        <w:rPr>
          <w:lang w:val="fr-FR"/>
        </w:rPr>
        <w:t>e</w:t>
      </w:r>
      <w:r w:rsidR="00BD2782" w:rsidRPr="002F57E1">
        <w:rPr>
          <w:lang w:val="fr-FR"/>
        </w:rPr>
        <w:t xml:space="preserve">lles drogues ont été signalées pour la première fois </w:t>
      </w:r>
      <w:r w:rsidR="00C95989" w:rsidRPr="002F57E1">
        <w:rPr>
          <w:lang w:val="fr-FR"/>
        </w:rPr>
        <w:t xml:space="preserve">par le biais du </w:t>
      </w:r>
      <w:r w:rsidR="00BD2782" w:rsidRPr="002F57E1">
        <w:rPr>
          <w:b/>
          <w:lang w:val="fr-FR"/>
        </w:rPr>
        <w:t>système d’alerte</w:t>
      </w:r>
      <w:r w:rsidR="00F430F4" w:rsidRPr="002F57E1">
        <w:rPr>
          <w:b/>
          <w:lang w:val="fr-FR"/>
        </w:rPr>
        <w:t xml:space="preserve"> </w:t>
      </w:r>
      <w:r w:rsidR="00C242C1">
        <w:rPr>
          <w:b/>
          <w:lang w:val="fr-FR"/>
        </w:rPr>
        <w:t>précoce</w:t>
      </w:r>
      <w:r w:rsidR="00C242C1" w:rsidRPr="002F57E1">
        <w:rPr>
          <w:b/>
          <w:lang w:val="fr-FR"/>
        </w:rPr>
        <w:t xml:space="preserve"> </w:t>
      </w:r>
      <w:r w:rsidR="00AF37DC" w:rsidRPr="002F57E1">
        <w:rPr>
          <w:b/>
          <w:lang w:val="fr-FR"/>
        </w:rPr>
        <w:t>de l’U</w:t>
      </w:r>
      <w:r w:rsidR="00F430F4" w:rsidRPr="002F57E1">
        <w:rPr>
          <w:b/>
          <w:lang w:val="fr-FR"/>
        </w:rPr>
        <w:t>nion européenne</w:t>
      </w:r>
      <w:r w:rsidR="00214415" w:rsidRPr="002F57E1">
        <w:rPr>
          <w:lang w:val="fr-FR"/>
        </w:rPr>
        <w:t xml:space="preserve"> (</w:t>
      </w:r>
      <w:r w:rsidR="008A6F08" w:rsidRPr="002F57E1">
        <w:rPr>
          <w:vertAlign w:val="superscript"/>
          <w:lang w:val="fr-FR"/>
        </w:rPr>
        <w:t>6</w:t>
      </w:r>
      <w:r w:rsidR="00BE646F" w:rsidRPr="002F57E1">
        <w:rPr>
          <w:lang w:val="fr-FR"/>
        </w:rPr>
        <w:t>), ce qui</w:t>
      </w:r>
      <w:r w:rsidR="00656A05" w:rsidRPr="002F57E1">
        <w:rPr>
          <w:rStyle w:val="hps"/>
          <w:rFonts w:cs="Arial"/>
          <w:color w:val="222222"/>
          <w:lang w:val="fr-FR"/>
        </w:rPr>
        <w:t xml:space="preserve"> porte </w:t>
      </w:r>
      <w:r w:rsidR="00BE646F" w:rsidRPr="002F57E1">
        <w:rPr>
          <w:rStyle w:val="hps"/>
          <w:rFonts w:cs="Arial"/>
          <w:color w:val="222222"/>
          <w:lang w:val="fr-FR"/>
        </w:rPr>
        <w:t>à plus de</w:t>
      </w:r>
      <w:r w:rsidR="00AE68CC" w:rsidRPr="002F57E1">
        <w:rPr>
          <w:rStyle w:val="hps"/>
          <w:rFonts w:cs="Arial"/>
          <w:color w:val="222222"/>
          <w:lang w:val="fr-FR"/>
        </w:rPr>
        <w:t> </w:t>
      </w:r>
      <w:r w:rsidR="00BE646F" w:rsidRPr="002F57E1">
        <w:rPr>
          <w:rStyle w:val="hps"/>
          <w:rFonts w:cs="Arial"/>
          <w:color w:val="222222"/>
          <w:lang w:val="fr-FR"/>
        </w:rPr>
        <w:t xml:space="preserve">350 </w:t>
      </w:r>
      <w:r w:rsidR="00656A05" w:rsidRPr="002F57E1">
        <w:rPr>
          <w:rStyle w:val="hps"/>
          <w:rFonts w:cs="Arial"/>
          <w:color w:val="222222"/>
          <w:lang w:val="fr-FR"/>
        </w:rPr>
        <w:t>le nombre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656A05" w:rsidRPr="002F57E1">
        <w:rPr>
          <w:rStyle w:val="hps"/>
          <w:rFonts w:cs="Arial"/>
          <w:color w:val="222222"/>
          <w:lang w:val="fr-FR"/>
        </w:rPr>
        <w:t>de nouvelles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656A05" w:rsidRPr="002F57E1">
        <w:rPr>
          <w:rStyle w:val="hps"/>
          <w:rFonts w:cs="Arial"/>
          <w:color w:val="222222"/>
          <w:lang w:val="fr-FR"/>
        </w:rPr>
        <w:t>substances surveillées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656A05" w:rsidRPr="002F57E1">
        <w:rPr>
          <w:rStyle w:val="hps"/>
          <w:rFonts w:cs="Arial"/>
          <w:color w:val="222222"/>
          <w:lang w:val="fr-FR"/>
        </w:rPr>
        <w:t>par l'agence</w:t>
      </w:r>
      <w:r w:rsidR="00214415" w:rsidRPr="002F57E1">
        <w:rPr>
          <w:lang w:val="fr-FR"/>
        </w:rPr>
        <w:t xml:space="preserve">. </w:t>
      </w:r>
      <w:r w:rsidR="00D423FF" w:rsidRPr="002F57E1">
        <w:rPr>
          <w:lang w:val="fr-FR"/>
        </w:rPr>
        <w:t>Selon le rapport publié aujourd’hui</w:t>
      </w:r>
      <w:r w:rsidR="00214415" w:rsidRPr="002F57E1">
        <w:rPr>
          <w:lang w:val="fr-FR"/>
        </w:rPr>
        <w:t xml:space="preserve">, </w:t>
      </w:r>
      <w:r w:rsidR="00D423FF" w:rsidRPr="002F57E1">
        <w:rPr>
          <w:lang w:val="fr-FR"/>
        </w:rPr>
        <w:t>le systè</w:t>
      </w:r>
      <w:r w:rsidR="00214415" w:rsidRPr="002F57E1">
        <w:rPr>
          <w:lang w:val="fr-FR"/>
        </w:rPr>
        <w:t>m</w:t>
      </w:r>
      <w:r w:rsidR="00D423FF" w:rsidRPr="002F57E1">
        <w:rPr>
          <w:lang w:val="fr-FR"/>
        </w:rPr>
        <w:t>e</w:t>
      </w:r>
      <w:r w:rsidR="00D04044">
        <w:rPr>
          <w:lang w:val="fr-FR"/>
        </w:rPr>
        <w:t xml:space="preserve"> </w:t>
      </w:r>
      <w:r w:rsidR="00D35FE7" w:rsidRPr="002F57E1">
        <w:rPr>
          <w:lang w:val="fr-FR"/>
        </w:rPr>
        <w:t xml:space="preserve">subit </w:t>
      </w:r>
      <w:r w:rsidR="003470DE" w:rsidRPr="002F57E1">
        <w:rPr>
          <w:lang w:val="fr-FR"/>
        </w:rPr>
        <w:t>«</w:t>
      </w:r>
      <w:r w:rsidR="00884331">
        <w:rPr>
          <w:lang w:val="fr-FR"/>
        </w:rPr>
        <w:t> </w:t>
      </w:r>
      <w:r w:rsidR="00D423FF" w:rsidRPr="002F57E1">
        <w:rPr>
          <w:lang w:val="fr-FR"/>
        </w:rPr>
        <w:t xml:space="preserve">une pression </w:t>
      </w:r>
      <w:r w:rsidRPr="00F86466">
        <w:rPr>
          <w:lang w:val="fr-FR"/>
        </w:rPr>
        <w:t xml:space="preserve">croissante, due au volume et à la diversité des substances apparaissant </w:t>
      </w:r>
      <w:r w:rsidR="00D423FF" w:rsidRPr="002F57E1">
        <w:rPr>
          <w:lang w:val="fr-FR"/>
        </w:rPr>
        <w:t>sur le marché</w:t>
      </w:r>
      <w:r w:rsidR="00884331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214415" w:rsidRPr="002F57E1">
        <w:rPr>
          <w:lang w:val="fr-FR"/>
        </w:rPr>
        <w:t xml:space="preserve">. </w:t>
      </w:r>
      <w:r w:rsidR="00AE68CC" w:rsidRPr="002F57E1">
        <w:rPr>
          <w:lang w:val="fr-FR"/>
        </w:rPr>
        <w:t>Près de</w:t>
      </w:r>
      <w:r w:rsidR="00214415" w:rsidRPr="002F57E1">
        <w:rPr>
          <w:lang w:val="fr-FR"/>
        </w:rPr>
        <w:t xml:space="preserve"> 250</w:t>
      </w:r>
      <w:r w:rsidR="00AE68CC" w:rsidRPr="002F57E1">
        <w:rPr>
          <w:lang w:val="fr-FR"/>
        </w:rPr>
        <w:t> </w:t>
      </w:r>
      <w:r w:rsidR="00214415" w:rsidRPr="002F57E1">
        <w:rPr>
          <w:lang w:val="fr-FR"/>
        </w:rPr>
        <w:t xml:space="preserve">substances </w:t>
      </w:r>
      <w:r w:rsidR="00D423FF" w:rsidRPr="002F57E1">
        <w:rPr>
          <w:lang w:val="fr-FR"/>
        </w:rPr>
        <w:t>ont été identifiées au cours des quatre dernières années.</w:t>
      </w:r>
    </w:p>
    <w:p w:rsidR="00214415" w:rsidRPr="002F57E1" w:rsidRDefault="00615379" w:rsidP="003C2E9B">
      <w:pPr>
        <w:pStyle w:val="newsNotes"/>
        <w:rPr>
          <w:lang w:val="fr-FR"/>
        </w:rPr>
      </w:pPr>
      <w:r w:rsidRPr="002F57E1">
        <w:rPr>
          <w:lang w:val="fr-FR"/>
        </w:rPr>
        <w:t>Les nouvelles substances</w:t>
      </w:r>
      <w:r w:rsidR="00412C93">
        <w:rPr>
          <w:lang w:val="fr-FR"/>
        </w:rPr>
        <w:t xml:space="preserve"> </w:t>
      </w:r>
      <w:r w:rsidR="00AE68CC" w:rsidRPr="002F57E1">
        <w:rPr>
          <w:lang w:val="fr-FR"/>
        </w:rPr>
        <w:t>psychoactives</w:t>
      </w:r>
      <w:r w:rsidR="00214415" w:rsidRPr="002F57E1">
        <w:rPr>
          <w:lang w:val="fr-FR"/>
        </w:rPr>
        <w:t xml:space="preserve"> </w:t>
      </w:r>
      <w:r w:rsidR="00C95989" w:rsidRPr="002F57E1">
        <w:rPr>
          <w:lang w:val="fr-FR"/>
        </w:rPr>
        <w:t xml:space="preserve">non </w:t>
      </w:r>
      <w:r w:rsidR="00E44A3E" w:rsidRPr="002F57E1">
        <w:rPr>
          <w:lang w:val="fr-FR"/>
        </w:rPr>
        <w:t>réglementées</w:t>
      </w:r>
      <w:r w:rsidR="00C95989" w:rsidRPr="002F57E1">
        <w:rPr>
          <w:lang w:val="fr-FR"/>
        </w:rPr>
        <w:t xml:space="preserve"> par le</w:t>
      </w:r>
      <w:r w:rsidR="00727154" w:rsidRPr="002F57E1">
        <w:rPr>
          <w:lang w:val="fr-FR"/>
        </w:rPr>
        <w:t xml:space="preserve"> droit international</w:t>
      </w:r>
      <w:r w:rsidR="00193E4C" w:rsidRPr="002F57E1">
        <w:rPr>
          <w:lang w:val="fr-FR"/>
        </w:rPr>
        <w:t xml:space="preserve"> </w:t>
      </w:r>
      <w:r w:rsidR="00727154" w:rsidRPr="002F57E1">
        <w:rPr>
          <w:lang w:val="fr-FR"/>
        </w:rPr>
        <w:t>sont</w:t>
      </w:r>
      <w:r w:rsidR="00193E4C" w:rsidRPr="002F57E1">
        <w:rPr>
          <w:lang w:val="fr-FR"/>
        </w:rPr>
        <w:t xml:space="preserve"> souvent </w:t>
      </w:r>
      <w:r w:rsidR="00727154" w:rsidRPr="002F57E1">
        <w:rPr>
          <w:lang w:val="fr-FR"/>
        </w:rPr>
        <w:t>vendues</w:t>
      </w:r>
      <w:r w:rsidR="00193E4C" w:rsidRPr="002F57E1">
        <w:rPr>
          <w:lang w:val="fr-FR"/>
        </w:rPr>
        <w:t xml:space="preserve"> sur le marché </w:t>
      </w:r>
      <w:r w:rsidR="00727154" w:rsidRPr="002F57E1">
        <w:rPr>
          <w:lang w:val="fr-FR"/>
        </w:rPr>
        <w:t>en tant que</w:t>
      </w:r>
      <w:r w:rsidR="00412C93">
        <w:rPr>
          <w:lang w:val="fr-FR"/>
        </w:rPr>
        <w:t xml:space="preserve"> </w:t>
      </w:r>
      <w:r w:rsidR="003470DE" w:rsidRPr="002F57E1">
        <w:rPr>
          <w:lang w:val="fr-FR"/>
        </w:rPr>
        <w:t>«</w:t>
      </w:r>
      <w:r w:rsidR="00884331">
        <w:rPr>
          <w:lang w:val="fr-FR"/>
        </w:rPr>
        <w:t> </w:t>
      </w:r>
      <w:r w:rsidR="00193E4C" w:rsidRPr="007D697D">
        <w:rPr>
          <w:i/>
          <w:lang w:val="fr-FR"/>
        </w:rPr>
        <w:t>legal highs</w:t>
      </w:r>
      <w:r w:rsidR="00884331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193E4C" w:rsidRPr="002F57E1">
        <w:rPr>
          <w:lang w:val="fr-FR"/>
        </w:rPr>
        <w:t xml:space="preserve"> (</w:t>
      </w:r>
      <w:r w:rsidR="00727154" w:rsidRPr="002F57E1">
        <w:rPr>
          <w:lang w:val="fr-FR"/>
        </w:rPr>
        <w:t>euphorisants légaux</w:t>
      </w:r>
      <w:r w:rsidR="00193E4C" w:rsidRPr="002F57E1">
        <w:rPr>
          <w:lang w:val="fr-FR"/>
        </w:rPr>
        <w:t xml:space="preserve">), produits dans le but de </w:t>
      </w:r>
      <w:r w:rsidR="00727154" w:rsidRPr="002F57E1">
        <w:rPr>
          <w:lang w:val="fr-FR"/>
        </w:rPr>
        <w:t xml:space="preserve">reproduire </w:t>
      </w:r>
      <w:r w:rsidR="005352F5" w:rsidRPr="002F57E1">
        <w:rPr>
          <w:lang w:val="fr-FR"/>
        </w:rPr>
        <w:t xml:space="preserve">les effets des drogues </w:t>
      </w:r>
      <w:r w:rsidR="009406A3" w:rsidRPr="009406A3">
        <w:rPr>
          <w:lang w:val="fr-FR"/>
        </w:rPr>
        <w:t>contrôlées</w:t>
      </w:r>
      <w:r w:rsidR="00214415" w:rsidRPr="002F57E1">
        <w:rPr>
          <w:lang w:val="fr-FR"/>
        </w:rPr>
        <w:t xml:space="preserve">. </w:t>
      </w:r>
      <w:r w:rsidR="00D87450" w:rsidRPr="002F57E1">
        <w:rPr>
          <w:lang w:val="fr-FR"/>
        </w:rPr>
        <w:t>Parmi les</w:t>
      </w:r>
      <w:r w:rsidR="005D07AA" w:rsidRPr="002F57E1">
        <w:rPr>
          <w:lang w:val="fr-FR"/>
        </w:rPr>
        <w:t xml:space="preserve"> drogues </w:t>
      </w:r>
      <w:r w:rsidR="00AE68CC" w:rsidRPr="002F57E1">
        <w:rPr>
          <w:lang w:val="fr-FR"/>
        </w:rPr>
        <w:t>identifiées</w:t>
      </w:r>
      <w:r w:rsidR="005D07AA" w:rsidRPr="002F57E1">
        <w:rPr>
          <w:lang w:val="fr-FR"/>
        </w:rPr>
        <w:t xml:space="preserve"> l’an dernier</w:t>
      </w:r>
      <w:r w:rsidR="00D87450" w:rsidRPr="002F57E1">
        <w:rPr>
          <w:lang w:val="fr-FR"/>
        </w:rPr>
        <w:t xml:space="preserve">, </w:t>
      </w:r>
      <w:r w:rsidR="006351CF">
        <w:rPr>
          <w:lang w:val="fr-FR"/>
        </w:rPr>
        <w:t>29</w:t>
      </w:r>
      <w:r w:rsidR="005D07AA" w:rsidRPr="002F57E1">
        <w:rPr>
          <w:lang w:val="fr-FR"/>
        </w:rPr>
        <w:t xml:space="preserve"> étaient des cannabinoïdes de synthèse</w:t>
      </w:r>
      <w:r w:rsidR="00AE68CC" w:rsidRPr="002F57E1">
        <w:rPr>
          <w:lang w:val="fr-FR"/>
        </w:rPr>
        <w:t>,</w:t>
      </w:r>
      <w:r w:rsidR="005D07AA" w:rsidRPr="002F57E1">
        <w:rPr>
          <w:lang w:val="fr-FR"/>
        </w:rPr>
        <w:t xml:space="preserve"> </w:t>
      </w:r>
      <w:r w:rsidR="006351CF">
        <w:rPr>
          <w:lang w:val="fr-FR"/>
        </w:rPr>
        <w:t>catégorie la</w:t>
      </w:r>
      <w:r w:rsidR="005D07AA" w:rsidRPr="002F57E1">
        <w:rPr>
          <w:lang w:val="fr-FR"/>
        </w:rPr>
        <w:t xml:space="preserve"> plus important</w:t>
      </w:r>
      <w:r w:rsidR="006351CF">
        <w:rPr>
          <w:lang w:val="fr-FR"/>
        </w:rPr>
        <w:t>e</w:t>
      </w:r>
      <w:r w:rsidR="005D07AA" w:rsidRPr="002F57E1">
        <w:rPr>
          <w:lang w:val="fr-FR"/>
        </w:rPr>
        <w:t xml:space="preserve"> </w:t>
      </w:r>
      <w:r w:rsidR="00C95989" w:rsidRPr="002F57E1">
        <w:rPr>
          <w:lang w:val="fr-FR"/>
        </w:rPr>
        <w:t xml:space="preserve">faisant </w:t>
      </w:r>
      <w:r w:rsidR="005D07AA" w:rsidRPr="002F57E1">
        <w:rPr>
          <w:lang w:val="fr-FR"/>
        </w:rPr>
        <w:t xml:space="preserve">actuellement </w:t>
      </w:r>
      <w:r w:rsidR="00C95989" w:rsidRPr="002F57E1">
        <w:rPr>
          <w:lang w:val="fr-FR"/>
        </w:rPr>
        <w:t xml:space="preserve">l’objet </w:t>
      </w:r>
      <w:r w:rsidR="00AE68CC" w:rsidRPr="002F57E1">
        <w:rPr>
          <w:lang w:val="fr-FR"/>
        </w:rPr>
        <w:t>d’une surveillance</w:t>
      </w:r>
      <w:r w:rsidR="00412C93">
        <w:rPr>
          <w:lang w:val="fr-FR"/>
        </w:rPr>
        <w:t xml:space="preserve"> </w:t>
      </w:r>
      <w:r w:rsidR="005D07AA" w:rsidRPr="002F57E1">
        <w:rPr>
          <w:lang w:val="fr-FR"/>
        </w:rPr>
        <w:t>par le</w:t>
      </w:r>
      <w:r w:rsidR="00DB58F8" w:rsidRPr="002F57E1">
        <w:rPr>
          <w:lang w:val="fr-FR"/>
        </w:rPr>
        <w:t xml:space="preserve"> biais du</w:t>
      </w:r>
      <w:r w:rsidR="005D07AA" w:rsidRPr="002F57E1">
        <w:rPr>
          <w:lang w:val="fr-FR"/>
        </w:rPr>
        <w:t xml:space="preserve"> </w:t>
      </w:r>
      <w:r w:rsidR="005D07AA" w:rsidRPr="00C25937">
        <w:rPr>
          <w:b/>
          <w:lang w:val="fr-FR"/>
        </w:rPr>
        <w:t xml:space="preserve">système d’alerte </w:t>
      </w:r>
      <w:r w:rsidR="00C242C1" w:rsidRPr="00C25937">
        <w:rPr>
          <w:b/>
          <w:lang w:val="fr-FR"/>
        </w:rPr>
        <w:t>précoce</w:t>
      </w:r>
      <w:r w:rsidR="00A23945" w:rsidRPr="00C25937">
        <w:rPr>
          <w:b/>
          <w:lang w:val="fr-FR"/>
        </w:rPr>
        <w:t xml:space="preserve"> de l’Union européenne</w:t>
      </w:r>
      <w:r w:rsidR="00214415" w:rsidRPr="002F57E1">
        <w:rPr>
          <w:lang w:val="fr-FR"/>
        </w:rPr>
        <w:t xml:space="preserve">. </w:t>
      </w:r>
      <w:r w:rsidR="003F2504" w:rsidRPr="002F57E1">
        <w:rPr>
          <w:lang w:val="fr-FR"/>
        </w:rPr>
        <w:t xml:space="preserve">La vitesse à laquelle les drogues récemment </w:t>
      </w:r>
      <w:r w:rsidR="009406A3" w:rsidRPr="009406A3">
        <w:rPr>
          <w:lang w:val="fr-FR"/>
        </w:rPr>
        <w:t>contrôlées</w:t>
      </w:r>
      <w:r w:rsidR="009406A3" w:rsidRPr="009406A3" w:rsidDel="009406A3">
        <w:rPr>
          <w:lang w:val="fr-FR"/>
        </w:rPr>
        <w:t xml:space="preserve"> </w:t>
      </w:r>
      <w:r w:rsidR="003F2504" w:rsidRPr="002F57E1">
        <w:rPr>
          <w:lang w:val="fr-FR"/>
        </w:rPr>
        <w:t>ont été remplacées par de nouvelles substa</w:t>
      </w:r>
      <w:r w:rsidR="00B43AC7" w:rsidRPr="002F57E1">
        <w:rPr>
          <w:lang w:val="fr-FR"/>
        </w:rPr>
        <w:t xml:space="preserve">nces a </w:t>
      </w:r>
      <w:r w:rsidR="00DB58F8" w:rsidRPr="002F57E1">
        <w:rPr>
          <w:lang w:val="fr-FR"/>
        </w:rPr>
        <w:t xml:space="preserve">donné lieu à </w:t>
      </w:r>
      <w:r w:rsidR="00B43AC7" w:rsidRPr="002F57E1">
        <w:rPr>
          <w:lang w:val="fr-FR"/>
        </w:rPr>
        <w:t xml:space="preserve">une série de réponses </w:t>
      </w:r>
      <w:r w:rsidR="00DB58F8" w:rsidRPr="002F57E1">
        <w:rPr>
          <w:lang w:val="fr-FR"/>
        </w:rPr>
        <w:t xml:space="preserve">juridiques </w:t>
      </w:r>
      <w:r w:rsidR="00B43AC7" w:rsidRPr="002F57E1">
        <w:rPr>
          <w:lang w:val="fr-FR"/>
        </w:rPr>
        <w:t>novatrices à travers l’Europe (c</w:t>
      </w:r>
      <w:r w:rsidR="00214415" w:rsidRPr="002F57E1">
        <w:rPr>
          <w:lang w:val="fr-FR"/>
        </w:rPr>
        <w:t>hap</w:t>
      </w:r>
      <w:r w:rsidR="00B43AC7" w:rsidRPr="002F57E1">
        <w:rPr>
          <w:lang w:val="fr-FR"/>
        </w:rPr>
        <w:t>it</w:t>
      </w:r>
      <w:r w:rsidR="00214415" w:rsidRPr="002F57E1">
        <w:rPr>
          <w:lang w:val="fr-FR"/>
        </w:rPr>
        <w:t>r</w:t>
      </w:r>
      <w:r w:rsidR="00B43AC7" w:rsidRPr="002F57E1">
        <w:rPr>
          <w:lang w:val="fr-FR"/>
        </w:rPr>
        <w:t>e</w:t>
      </w:r>
      <w:r w:rsidR="00AE68CC" w:rsidRPr="002F57E1">
        <w:rPr>
          <w:lang w:val="fr-FR"/>
        </w:rPr>
        <w:t> </w:t>
      </w:r>
      <w:r w:rsidR="00214415" w:rsidRPr="002F57E1">
        <w:rPr>
          <w:lang w:val="fr-FR"/>
        </w:rPr>
        <w:t>4).</w:t>
      </w:r>
    </w:p>
    <w:p w:rsidR="00214415" w:rsidRPr="002F57E1" w:rsidRDefault="00AD4FD3" w:rsidP="003C2E9B">
      <w:pPr>
        <w:pStyle w:val="newsNotes"/>
        <w:rPr>
          <w:lang w:val="fr-FR"/>
        </w:rPr>
      </w:pPr>
      <w:r w:rsidRPr="002F57E1">
        <w:rPr>
          <w:lang w:val="fr-FR"/>
        </w:rPr>
        <w:t xml:space="preserve">Les nouvelles drogues </w:t>
      </w:r>
      <w:r w:rsidR="00335CD5" w:rsidRPr="002F57E1">
        <w:rPr>
          <w:lang w:val="fr-FR"/>
        </w:rPr>
        <w:t xml:space="preserve">peuvent être </w:t>
      </w:r>
      <w:r w:rsidR="00DB58F8" w:rsidRPr="002F57E1">
        <w:rPr>
          <w:lang w:val="fr-FR"/>
        </w:rPr>
        <w:t>produites</w:t>
      </w:r>
      <w:r w:rsidRPr="002F57E1">
        <w:rPr>
          <w:lang w:val="fr-FR"/>
        </w:rPr>
        <w:t xml:space="preserve"> dans des laboratoires clandestins </w:t>
      </w:r>
      <w:r w:rsidR="00E927E7">
        <w:rPr>
          <w:lang w:val="fr-FR"/>
        </w:rPr>
        <w:t xml:space="preserve">en </w:t>
      </w:r>
      <w:r w:rsidRPr="002F57E1">
        <w:rPr>
          <w:lang w:val="fr-FR"/>
        </w:rPr>
        <w:t>Europe</w:t>
      </w:r>
      <w:r w:rsidR="00214415" w:rsidRPr="002F57E1">
        <w:rPr>
          <w:lang w:val="fr-FR"/>
        </w:rPr>
        <w:t xml:space="preserve">. </w:t>
      </w:r>
      <w:r w:rsidR="00335CD5" w:rsidRPr="002F57E1">
        <w:rPr>
          <w:rStyle w:val="hps"/>
          <w:rFonts w:cs="Arial"/>
          <w:color w:val="222222"/>
          <w:lang w:val="fr-FR"/>
        </w:rPr>
        <w:t>Le plus souvent,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 xml:space="preserve">cependant, </w:t>
      </w:r>
      <w:r w:rsidR="00E927E7">
        <w:rPr>
          <w:rStyle w:val="hps"/>
          <w:rFonts w:cs="Arial"/>
          <w:color w:val="222222"/>
          <w:lang w:val="fr-FR"/>
        </w:rPr>
        <w:t xml:space="preserve">il s’agit </w:t>
      </w:r>
      <w:r w:rsidR="00335CD5" w:rsidRPr="002F57E1">
        <w:rPr>
          <w:rStyle w:val="hps"/>
          <w:rFonts w:cs="Arial"/>
          <w:color w:val="222222"/>
          <w:lang w:val="fr-FR"/>
        </w:rPr>
        <w:t>de poudres</w:t>
      </w:r>
      <w:r w:rsidR="00792AF8" w:rsidRPr="002F57E1">
        <w:rPr>
          <w:rStyle w:val="hps"/>
          <w:rFonts w:cs="Arial"/>
          <w:color w:val="222222"/>
          <w:lang w:val="fr-FR"/>
        </w:rPr>
        <w:t>, principalement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 xml:space="preserve">en provenance de </w:t>
      </w:r>
      <w:r w:rsidR="00335CD5" w:rsidRPr="002F57E1">
        <w:rPr>
          <w:rStyle w:val="hps"/>
          <w:rFonts w:cs="Arial"/>
          <w:b/>
          <w:color w:val="222222"/>
          <w:lang w:val="fr-FR"/>
        </w:rPr>
        <w:t>Chine</w:t>
      </w:r>
      <w:r w:rsidR="00412C93">
        <w:rPr>
          <w:rStyle w:val="hps"/>
          <w:rFonts w:cs="Arial"/>
          <w:b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et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d'</w:t>
      </w:r>
      <w:r w:rsidR="00335CD5" w:rsidRPr="002F57E1">
        <w:rPr>
          <w:rStyle w:val="hps"/>
          <w:rFonts w:cs="Arial"/>
          <w:b/>
          <w:color w:val="222222"/>
          <w:lang w:val="fr-FR"/>
        </w:rPr>
        <w:t>Inde</w:t>
      </w:r>
      <w:r w:rsidR="00335CD5" w:rsidRPr="002F57E1">
        <w:rPr>
          <w:rFonts w:cs="Arial"/>
          <w:color w:val="222222"/>
          <w:lang w:val="fr-FR"/>
        </w:rPr>
        <w:t xml:space="preserve">, </w:t>
      </w:r>
      <w:r w:rsidR="00335CD5" w:rsidRPr="002F57E1">
        <w:rPr>
          <w:rStyle w:val="hps"/>
          <w:rFonts w:cs="Arial"/>
          <w:color w:val="222222"/>
          <w:lang w:val="fr-FR"/>
        </w:rPr>
        <w:t>et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importées en Europe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où elles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sont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 xml:space="preserve">transformées, </w:t>
      </w:r>
      <w:r w:rsidR="00792AF8" w:rsidRPr="002F57E1">
        <w:rPr>
          <w:rStyle w:val="hps"/>
          <w:rFonts w:cs="Arial"/>
          <w:color w:val="222222"/>
          <w:lang w:val="fr-FR"/>
        </w:rPr>
        <w:t>emballées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et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vendues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en tant qu’</w:t>
      </w:r>
      <w:r w:rsidR="00792AF8" w:rsidRPr="002F57E1">
        <w:rPr>
          <w:rStyle w:val="hps"/>
          <w:rFonts w:cs="Arial"/>
          <w:color w:val="222222"/>
          <w:lang w:val="fr-FR"/>
        </w:rPr>
        <w:t>«</w:t>
      </w:r>
      <w:r w:rsidR="00884331">
        <w:rPr>
          <w:lang w:val="fr-FR"/>
        </w:rPr>
        <w:t> </w:t>
      </w:r>
      <w:r w:rsidR="00335CD5" w:rsidRPr="002F57E1">
        <w:rPr>
          <w:rStyle w:val="hps"/>
          <w:rFonts w:cs="Arial"/>
          <w:color w:val="222222"/>
          <w:lang w:val="fr-FR"/>
        </w:rPr>
        <w:t>euphorisant</w:t>
      </w:r>
      <w:r w:rsidR="00792AF8" w:rsidRPr="002F57E1">
        <w:rPr>
          <w:rStyle w:val="hps"/>
          <w:rFonts w:cs="Arial"/>
          <w:color w:val="222222"/>
          <w:lang w:val="fr-FR"/>
        </w:rPr>
        <w:t>s</w:t>
      </w:r>
      <w:r w:rsidR="00335CD5" w:rsidRPr="002F57E1">
        <w:rPr>
          <w:rStyle w:val="hps"/>
          <w:rFonts w:cs="Arial"/>
          <w:color w:val="222222"/>
          <w:lang w:val="fr-FR"/>
        </w:rPr>
        <w:t xml:space="preserve"> légaux</w:t>
      </w:r>
      <w:r w:rsidR="00884331">
        <w:rPr>
          <w:lang w:val="fr-FR"/>
        </w:rPr>
        <w:t> </w:t>
      </w:r>
      <w:r w:rsidR="003470DE" w:rsidRPr="002F57E1">
        <w:rPr>
          <w:rStyle w:val="hps"/>
          <w:rFonts w:cs="Arial"/>
          <w:color w:val="222222"/>
          <w:lang w:val="fr-FR"/>
        </w:rPr>
        <w:t>»</w:t>
      </w:r>
      <w:r w:rsidR="00335CD5" w:rsidRPr="002F57E1">
        <w:rPr>
          <w:rStyle w:val="atn"/>
          <w:rFonts w:cs="Arial"/>
          <w:color w:val="222222"/>
          <w:lang w:val="fr-FR"/>
        </w:rPr>
        <w:t xml:space="preserve"> ou </w:t>
      </w:r>
      <w:r w:rsidR="00412C93">
        <w:rPr>
          <w:rStyle w:val="atn"/>
          <w:rFonts w:cs="Arial"/>
          <w:color w:val="222222"/>
          <w:lang w:val="fr-FR"/>
        </w:rPr>
        <w:t>d</w:t>
      </w:r>
      <w:r w:rsidR="00792AF8" w:rsidRPr="002F57E1">
        <w:rPr>
          <w:rStyle w:val="atn"/>
          <w:rFonts w:cs="Arial"/>
          <w:color w:val="222222"/>
          <w:lang w:val="fr-FR"/>
        </w:rPr>
        <w:t xml:space="preserve">e </w:t>
      </w:r>
      <w:r w:rsidR="003470DE" w:rsidRPr="002F57E1">
        <w:rPr>
          <w:rStyle w:val="atn"/>
          <w:rFonts w:cs="Arial"/>
          <w:color w:val="222222"/>
          <w:lang w:val="fr-FR"/>
        </w:rPr>
        <w:t>«</w:t>
      </w:r>
      <w:r w:rsidR="00884331">
        <w:rPr>
          <w:lang w:val="fr-FR"/>
        </w:rPr>
        <w:t> </w:t>
      </w:r>
      <w:r w:rsidR="00335CD5" w:rsidRPr="002F57E1">
        <w:rPr>
          <w:rFonts w:cs="Arial"/>
          <w:color w:val="222222"/>
          <w:lang w:val="fr-FR"/>
        </w:rPr>
        <w:t xml:space="preserve">produits chimiques </w:t>
      </w:r>
      <w:r w:rsidR="00DB58F8" w:rsidRPr="002F57E1">
        <w:rPr>
          <w:rFonts w:cs="Arial"/>
          <w:color w:val="222222"/>
          <w:lang w:val="fr-FR"/>
        </w:rPr>
        <w:t>destinés à la</w:t>
      </w:r>
      <w:r w:rsidR="00335CD5" w:rsidRPr="002F57E1">
        <w:rPr>
          <w:rFonts w:cs="Arial"/>
          <w:color w:val="222222"/>
          <w:lang w:val="fr-FR"/>
        </w:rPr>
        <w:t xml:space="preserve"> recherche</w:t>
      </w:r>
      <w:r w:rsidR="00884331">
        <w:rPr>
          <w:lang w:val="fr-FR"/>
        </w:rPr>
        <w:t> </w:t>
      </w:r>
      <w:r w:rsidR="003470DE" w:rsidRPr="002F57E1">
        <w:rPr>
          <w:rFonts w:cs="Arial"/>
          <w:color w:val="222222"/>
          <w:lang w:val="fr-FR"/>
        </w:rPr>
        <w:t>»</w:t>
      </w:r>
      <w:r w:rsidR="00412C93">
        <w:rPr>
          <w:rFonts w:cs="Arial"/>
          <w:color w:val="222222"/>
          <w:lang w:val="fr-FR"/>
        </w:rPr>
        <w:t xml:space="preserve"> </w:t>
      </w:r>
      <w:r w:rsidR="009406A3">
        <w:rPr>
          <w:rFonts w:cs="Arial"/>
          <w:color w:val="222222"/>
          <w:lang w:val="fr-FR"/>
        </w:rPr>
        <w:t>(</w:t>
      </w:r>
      <w:r w:rsidR="009406A3" w:rsidRPr="00034840">
        <w:rPr>
          <w:rFonts w:cs="Arial"/>
          <w:i/>
          <w:color w:val="222222"/>
          <w:lang w:val="fr-FR"/>
        </w:rPr>
        <w:t>research chemicals</w:t>
      </w:r>
      <w:r w:rsidR="009406A3">
        <w:rPr>
          <w:rFonts w:cs="Arial"/>
          <w:color w:val="222222"/>
          <w:lang w:val="fr-FR"/>
        </w:rPr>
        <w:t xml:space="preserve">) </w:t>
      </w:r>
      <w:r w:rsidR="00335CD5" w:rsidRPr="002F57E1">
        <w:rPr>
          <w:rStyle w:val="hps"/>
          <w:rFonts w:cs="Arial"/>
          <w:color w:val="222222"/>
          <w:lang w:val="fr-FR"/>
        </w:rPr>
        <w:t>directement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>sur le</w:t>
      </w:r>
      <w:r w:rsidR="00412C93">
        <w:rPr>
          <w:rStyle w:val="hps"/>
          <w:rFonts w:cs="Arial"/>
          <w:color w:val="222222"/>
          <w:lang w:val="fr-FR"/>
        </w:rPr>
        <w:t xml:space="preserve"> </w:t>
      </w:r>
      <w:r w:rsidR="00335CD5" w:rsidRPr="002F57E1">
        <w:rPr>
          <w:rStyle w:val="hps"/>
          <w:rFonts w:cs="Arial"/>
          <w:color w:val="222222"/>
          <w:lang w:val="fr-FR"/>
        </w:rPr>
        <w:t xml:space="preserve">marché illicite. </w:t>
      </w:r>
      <w:r w:rsidR="00412C93">
        <w:rPr>
          <w:rStyle w:val="hps"/>
          <w:rFonts w:cs="Arial"/>
          <w:color w:val="222222"/>
          <w:lang w:val="fr-FR"/>
        </w:rPr>
        <w:t>I</w:t>
      </w:r>
      <w:r w:rsidR="00CB1C76" w:rsidRPr="002F57E1">
        <w:rPr>
          <w:lang w:val="fr-FR"/>
        </w:rPr>
        <w:t xml:space="preserve">nternet </w:t>
      </w:r>
      <w:r w:rsidR="00BA4A0A" w:rsidRPr="002F57E1">
        <w:rPr>
          <w:lang w:val="fr-FR"/>
        </w:rPr>
        <w:t>contin</w:t>
      </w:r>
      <w:r w:rsidR="00C71EF9" w:rsidRPr="002F57E1">
        <w:rPr>
          <w:lang w:val="fr-FR"/>
        </w:rPr>
        <w:t xml:space="preserve">ue de jouer un rôle </w:t>
      </w:r>
      <w:r w:rsidR="00792AF8" w:rsidRPr="002F57E1">
        <w:rPr>
          <w:lang w:val="fr-FR"/>
        </w:rPr>
        <w:t>clé</w:t>
      </w:r>
      <w:r w:rsidR="00412C93">
        <w:rPr>
          <w:lang w:val="fr-FR"/>
        </w:rPr>
        <w:t xml:space="preserve"> </w:t>
      </w:r>
      <w:r w:rsidR="00792AF8" w:rsidRPr="002F57E1">
        <w:rPr>
          <w:lang w:val="fr-FR"/>
        </w:rPr>
        <w:t xml:space="preserve">dans la </w:t>
      </w:r>
      <w:r w:rsidR="00E927E7">
        <w:rPr>
          <w:lang w:val="fr-FR"/>
        </w:rPr>
        <w:t xml:space="preserve">structuration </w:t>
      </w:r>
      <w:r w:rsidR="00792AF8" w:rsidRPr="002F57E1">
        <w:rPr>
          <w:lang w:val="fr-FR"/>
        </w:rPr>
        <w:t>du</w:t>
      </w:r>
      <w:r w:rsidR="00412C93">
        <w:rPr>
          <w:lang w:val="fr-FR"/>
        </w:rPr>
        <w:t xml:space="preserve"> </w:t>
      </w:r>
      <w:r w:rsidR="00BA4A0A" w:rsidRPr="002F57E1">
        <w:rPr>
          <w:lang w:val="fr-FR"/>
        </w:rPr>
        <w:t xml:space="preserve">marché </w:t>
      </w:r>
      <w:r w:rsidR="00833353" w:rsidRPr="002F57E1">
        <w:rPr>
          <w:lang w:val="fr-FR"/>
        </w:rPr>
        <w:t>de</w:t>
      </w:r>
      <w:r w:rsidR="009F5436" w:rsidRPr="002F57E1">
        <w:rPr>
          <w:lang w:val="fr-FR"/>
        </w:rPr>
        <w:t>s</w:t>
      </w:r>
      <w:r w:rsidR="00833353" w:rsidRPr="002F57E1">
        <w:rPr>
          <w:lang w:val="fr-FR"/>
        </w:rPr>
        <w:t xml:space="preserve"> nouvelles substances psychoactives</w:t>
      </w:r>
      <w:r w:rsidR="00BA4A0A" w:rsidRPr="002F57E1">
        <w:rPr>
          <w:lang w:val="fr-FR"/>
        </w:rPr>
        <w:t>. En 2013, l’</w:t>
      </w:r>
      <w:r w:rsidR="00214415" w:rsidRPr="002F57E1">
        <w:rPr>
          <w:b/>
          <w:lang w:val="fr-FR"/>
        </w:rPr>
        <w:t>EMCDDA</w:t>
      </w:r>
      <w:r w:rsidR="00C8752C">
        <w:rPr>
          <w:b/>
          <w:lang w:val="fr-FR"/>
        </w:rPr>
        <w:t xml:space="preserve"> </w:t>
      </w:r>
      <w:r w:rsidR="00BA4A0A" w:rsidRPr="002F57E1">
        <w:rPr>
          <w:lang w:val="fr-FR"/>
        </w:rPr>
        <w:t xml:space="preserve">a </w:t>
      </w:r>
      <w:r w:rsidR="00214415" w:rsidRPr="002F57E1">
        <w:rPr>
          <w:lang w:val="fr-FR"/>
        </w:rPr>
        <w:t>identifi</w:t>
      </w:r>
      <w:r w:rsidR="005D56BD" w:rsidRPr="002F57E1">
        <w:rPr>
          <w:lang w:val="fr-FR"/>
        </w:rPr>
        <w:t>é</w:t>
      </w:r>
      <w:r w:rsidR="00C8752C">
        <w:rPr>
          <w:lang w:val="fr-FR"/>
        </w:rPr>
        <w:t xml:space="preserve"> </w:t>
      </w:r>
      <w:r w:rsidR="00963FC5" w:rsidRPr="002F57E1">
        <w:rPr>
          <w:lang w:val="fr-FR"/>
        </w:rPr>
        <w:t xml:space="preserve">quelque </w:t>
      </w:r>
      <w:r w:rsidR="00214415" w:rsidRPr="002F57E1">
        <w:rPr>
          <w:lang w:val="fr-FR"/>
        </w:rPr>
        <w:t>650</w:t>
      </w:r>
      <w:r w:rsidR="00792AF8" w:rsidRPr="002F57E1">
        <w:rPr>
          <w:lang w:val="fr-FR"/>
        </w:rPr>
        <w:t> </w:t>
      </w:r>
      <w:r w:rsidR="00214415" w:rsidRPr="002F57E1">
        <w:rPr>
          <w:lang w:val="fr-FR"/>
        </w:rPr>
        <w:t>sites</w:t>
      </w:r>
      <w:r w:rsidR="00C8752C">
        <w:rPr>
          <w:lang w:val="fr-FR"/>
        </w:rPr>
        <w:t xml:space="preserve"> </w:t>
      </w:r>
      <w:r w:rsidR="00963FC5" w:rsidRPr="002F57E1">
        <w:rPr>
          <w:lang w:val="fr-FR"/>
        </w:rPr>
        <w:t xml:space="preserve">web </w:t>
      </w:r>
      <w:r w:rsidR="00E927E7">
        <w:rPr>
          <w:lang w:val="fr-FR"/>
        </w:rPr>
        <w:t xml:space="preserve">commercialisant </w:t>
      </w:r>
      <w:r w:rsidR="00963FC5" w:rsidRPr="002F57E1">
        <w:rPr>
          <w:lang w:val="fr-FR"/>
        </w:rPr>
        <w:t xml:space="preserve">ces substances </w:t>
      </w:r>
      <w:r w:rsidR="00E927E7">
        <w:rPr>
          <w:lang w:val="fr-FR"/>
        </w:rPr>
        <w:t>à destination des</w:t>
      </w:r>
      <w:r w:rsidR="00C71EF9" w:rsidRPr="002F57E1">
        <w:rPr>
          <w:lang w:val="fr-FR"/>
        </w:rPr>
        <w:t xml:space="preserve"> </w:t>
      </w:r>
      <w:r w:rsidR="00214415" w:rsidRPr="002F57E1">
        <w:rPr>
          <w:lang w:val="fr-FR"/>
        </w:rPr>
        <w:t>Europ</w:t>
      </w:r>
      <w:r w:rsidR="00C71EF9" w:rsidRPr="002F57E1">
        <w:rPr>
          <w:lang w:val="fr-FR"/>
        </w:rPr>
        <w:t>ée</w:t>
      </w:r>
      <w:r w:rsidR="00214415" w:rsidRPr="002F57E1">
        <w:rPr>
          <w:lang w:val="fr-FR"/>
        </w:rPr>
        <w:t xml:space="preserve">ns. </w:t>
      </w:r>
      <w:r w:rsidR="005863CD">
        <w:rPr>
          <w:lang w:val="fr-FR"/>
        </w:rPr>
        <w:t>De plus</w:t>
      </w:r>
      <w:r w:rsidR="008216AB" w:rsidRPr="002F57E1">
        <w:rPr>
          <w:lang w:val="fr-FR"/>
        </w:rPr>
        <w:t xml:space="preserve">, </w:t>
      </w:r>
      <w:r w:rsidR="00C71EF9" w:rsidRPr="002F57E1">
        <w:rPr>
          <w:lang w:val="fr-FR"/>
        </w:rPr>
        <w:t xml:space="preserve">l’achat de drogues nouvelles ou </w:t>
      </w:r>
      <w:r w:rsidR="003470DE" w:rsidRPr="002F57E1">
        <w:rPr>
          <w:lang w:val="fr-FR"/>
        </w:rPr>
        <w:t>«</w:t>
      </w:r>
      <w:r w:rsidR="00D0011E">
        <w:rPr>
          <w:lang w:val="fr-FR"/>
        </w:rPr>
        <w:t> </w:t>
      </w:r>
      <w:r w:rsidR="00E927E7">
        <w:rPr>
          <w:lang w:val="fr-FR"/>
        </w:rPr>
        <w:t>traditionnelles</w:t>
      </w:r>
      <w:r w:rsidR="00D0011E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214415" w:rsidRPr="002F57E1">
        <w:rPr>
          <w:lang w:val="fr-FR"/>
        </w:rPr>
        <w:t xml:space="preserve"> via </w:t>
      </w:r>
      <w:r w:rsidR="001A04C3" w:rsidRPr="002F57E1">
        <w:rPr>
          <w:lang w:val="fr-FR"/>
        </w:rPr>
        <w:t>des</w:t>
      </w:r>
      <w:r w:rsidR="00C8752C">
        <w:rPr>
          <w:lang w:val="fr-FR"/>
        </w:rPr>
        <w:t xml:space="preserve"> </w:t>
      </w:r>
      <w:r w:rsidR="003470DE" w:rsidRPr="002F57E1">
        <w:rPr>
          <w:lang w:val="fr-FR"/>
        </w:rPr>
        <w:t>«</w:t>
      </w:r>
      <w:r w:rsidR="00D0011E">
        <w:rPr>
          <w:lang w:val="fr-FR"/>
        </w:rPr>
        <w:t> </w:t>
      </w:r>
      <w:r w:rsidR="00C71EF9" w:rsidRPr="00C25937">
        <w:rPr>
          <w:i/>
          <w:lang w:val="fr-FR"/>
        </w:rPr>
        <w:t>darknets</w:t>
      </w:r>
      <w:r w:rsidR="00D0011E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123067">
        <w:rPr>
          <w:lang w:val="fr-FR"/>
        </w:rPr>
        <w:t xml:space="preserve"> </w:t>
      </w:r>
      <w:r w:rsidR="00C71EF9" w:rsidRPr="002F57E1">
        <w:rPr>
          <w:lang w:val="fr-FR"/>
        </w:rPr>
        <w:t>(réseaux clandestins en ligne permettant</w:t>
      </w:r>
      <w:r w:rsidR="00C8752C">
        <w:rPr>
          <w:lang w:val="fr-FR"/>
        </w:rPr>
        <w:t xml:space="preserve"> </w:t>
      </w:r>
      <w:r w:rsidR="00C71EF9" w:rsidRPr="002F57E1">
        <w:rPr>
          <w:lang w:val="fr-FR"/>
        </w:rPr>
        <w:t>la communication anonyme)</w:t>
      </w:r>
      <w:r w:rsidR="00C8752C">
        <w:rPr>
          <w:lang w:val="fr-FR"/>
        </w:rPr>
        <w:t xml:space="preserve"> </w:t>
      </w:r>
      <w:r w:rsidR="00C71EF9" w:rsidRPr="002F57E1">
        <w:rPr>
          <w:lang w:val="fr-FR"/>
        </w:rPr>
        <w:t xml:space="preserve">constitue un nouveau défi </w:t>
      </w:r>
      <w:r w:rsidR="00833353" w:rsidRPr="002F57E1">
        <w:rPr>
          <w:lang w:val="fr-FR"/>
        </w:rPr>
        <w:t xml:space="preserve">en matière </w:t>
      </w:r>
      <w:r w:rsidR="00E878CC" w:rsidRPr="002F57E1">
        <w:rPr>
          <w:lang w:val="fr-FR"/>
        </w:rPr>
        <w:t>de répression</w:t>
      </w:r>
      <w:r w:rsidR="00214415" w:rsidRPr="002F57E1">
        <w:rPr>
          <w:lang w:val="fr-FR"/>
        </w:rPr>
        <w:t>.</w:t>
      </w:r>
    </w:p>
    <w:p w:rsidR="00C42E8F" w:rsidRPr="002F57E1" w:rsidRDefault="00A55F0E" w:rsidP="003C2E9B">
      <w:pPr>
        <w:pStyle w:val="newsNotes"/>
        <w:rPr>
          <w:lang w:val="fr-FR"/>
        </w:rPr>
      </w:pPr>
      <w:r w:rsidRPr="002F57E1">
        <w:rPr>
          <w:lang w:val="fr-FR"/>
        </w:rPr>
        <w:t>Aujourd’hui dans certains pays, ces</w:t>
      </w:r>
      <w:r w:rsidR="00214415" w:rsidRPr="002F57E1">
        <w:rPr>
          <w:lang w:val="fr-FR"/>
        </w:rPr>
        <w:t xml:space="preserve"> substances </w:t>
      </w:r>
      <w:r w:rsidR="005863CD">
        <w:rPr>
          <w:lang w:val="fr-FR"/>
        </w:rPr>
        <w:t xml:space="preserve">semblent </w:t>
      </w:r>
      <w:r w:rsidRPr="002F57E1">
        <w:rPr>
          <w:lang w:val="fr-FR"/>
        </w:rPr>
        <w:t>vise</w:t>
      </w:r>
      <w:r w:rsidR="005863CD">
        <w:rPr>
          <w:lang w:val="fr-FR"/>
        </w:rPr>
        <w:t>r</w:t>
      </w:r>
      <w:r w:rsidRPr="002F57E1">
        <w:rPr>
          <w:lang w:val="fr-FR"/>
        </w:rPr>
        <w:t xml:space="preserve"> désormais les </w:t>
      </w:r>
      <w:r w:rsidR="00833353" w:rsidRPr="002F57E1">
        <w:rPr>
          <w:lang w:val="fr-FR"/>
        </w:rPr>
        <w:t>principaux segments</w:t>
      </w:r>
      <w:r w:rsidR="00C86FFB" w:rsidRPr="002F57E1">
        <w:rPr>
          <w:lang w:val="fr-FR"/>
        </w:rPr>
        <w:t xml:space="preserve"> du marché de la drogue. En av</w:t>
      </w:r>
      <w:r w:rsidR="004C22FF" w:rsidRPr="002F57E1">
        <w:rPr>
          <w:lang w:val="fr-FR"/>
        </w:rPr>
        <w:t>ril</w:t>
      </w:r>
      <w:r w:rsidR="00C42E8F" w:rsidRPr="002F57E1">
        <w:rPr>
          <w:lang w:val="fr-FR"/>
        </w:rPr>
        <w:t> </w:t>
      </w:r>
      <w:r w:rsidR="004C22FF" w:rsidRPr="002F57E1">
        <w:rPr>
          <w:lang w:val="fr-FR"/>
        </w:rPr>
        <w:t xml:space="preserve">2014, le </w:t>
      </w:r>
      <w:r w:rsidR="004C22FF" w:rsidRPr="002F57E1">
        <w:rPr>
          <w:b/>
          <w:lang w:val="fr-FR"/>
        </w:rPr>
        <w:t xml:space="preserve">comité scientifique </w:t>
      </w:r>
      <w:r w:rsidR="00DB58F8" w:rsidRPr="002F57E1">
        <w:rPr>
          <w:b/>
          <w:lang w:val="fr-FR"/>
        </w:rPr>
        <w:t>de l’</w:t>
      </w:r>
      <w:r w:rsidR="00214415" w:rsidRPr="002F57E1">
        <w:rPr>
          <w:b/>
          <w:lang w:val="fr-FR"/>
        </w:rPr>
        <w:t>EMCDDA</w:t>
      </w:r>
      <w:r w:rsidR="00C8752C">
        <w:rPr>
          <w:b/>
          <w:lang w:val="fr-FR"/>
        </w:rPr>
        <w:t xml:space="preserve"> </w:t>
      </w:r>
      <w:r w:rsidR="004C22FF" w:rsidRPr="002F57E1">
        <w:rPr>
          <w:lang w:val="fr-FR"/>
        </w:rPr>
        <w:t xml:space="preserve">a </w:t>
      </w:r>
      <w:r w:rsidR="00CB1C76" w:rsidRPr="002F57E1">
        <w:rPr>
          <w:lang w:val="fr-FR"/>
        </w:rPr>
        <w:t>procédé à une évaluation d</w:t>
      </w:r>
      <w:r w:rsidR="004C22FF" w:rsidRPr="002F57E1">
        <w:rPr>
          <w:lang w:val="fr-FR"/>
        </w:rPr>
        <w:t xml:space="preserve">es risques </w:t>
      </w:r>
      <w:r w:rsidR="00C42E8F" w:rsidRPr="002F57E1">
        <w:rPr>
          <w:lang w:val="fr-FR"/>
        </w:rPr>
        <w:t>de</w:t>
      </w:r>
      <w:r w:rsidR="004C22FF" w:rsidRPr="002F57E1">
        <w:rPr>
          <w:lang w:val="fr-FR"/>
        </w:rPr>
        <w:t xml:space="preserve"> quatre nouvelles substances nocives</w:t>
      </w:r>
      <w:r w:rsidR="000A448F">
        <w:rPr>
          <w:lang w:val="fr-FR"/>
        </w:rPr>
        <w:t xml:space="preserve"> </w:t>
      </w:r>
      <w:r w:rsidR="00157767" w:rsidRPr="002F57E1">
        <w:rPr>
          <w:lang w:val="fr-FR"/>
        </w:rPr>
        <w:t>:</w:t>
      </w:r>
      <w:r w:rsidR="000A448F">
        <w:rPr>
          <w:lang w:val="fr-FR"/>
        </w:rPr>
        <w:t xml:space="preserve"> </w:t>
      </w:r>
      <w:r w:rsidR="006B0F58" w:rsidRPr="002F57E1">
        <w:rPr>
          <w:lang w:val="fr-FR"/>
        </w:rPr>
        <w:t xml:space="preserve">le </w:t>
      </w:r>
      <w:r w:rsidR="00214415" w:rsidRPr="002F57E1">
        <w:rPr>
          <w:lang w:val="fr-FR"/>
        </w:rPr>
        <w:t xml:space="preserve">25I-NBOMe, </w:t>
      </w:r>
      <w:r w:rsidR="006B0F58" w:rsidRPr="002F57E1">
        <w:rPr>
          <w:lang w:val="fr-FR"/>
        </w:rPr>
        <w:t>l’</w:t>
      </w:r>
      <w:r w:rsidR="00214415" w:rsidRPr="002F57E1">
        <w:rPr>
          <w:lang w:val="fr-FR"/>
        </w:rPr>
        <w:t xml:space="preserve">AH-7921, </w:t>
      </w:r>
      <w:r w:rsidR="006B0F58" w:rsidRPr="002F57E1">
        <w:rPr>
          <w:lang w:val="fr-FR"/>
        </w:rPr>
        <w:t xml:space="preserve">la </w:t>
      </w:r>
      <w:r w:rsidR="00214415" w:rsidRPr="002F57E1">
        <w:rPr>
          <w:lang w:val="fr-FR"/>
        </w:rPr>
        <w:t xml:space="preserve">MDPV </w:t>
      </w:r>
      <w:r w:rsidR="006B0F58" w:rsidRPr="002F57E1">
        <w:rPr>
          <w:lang w:val="fr-FR"/>
        </w:rPr>
        <w:t xml:space="preserve">et la méthoxetamine. Ces produits sont vendus </w:t>
      </w:r>
      <w:r w:rsidR="00833353" w:rsidRPr="002F57E1">
        <w:rPr>
          <w:lang w:val="fr-FR"/>
        </w:rPr>
        <w:t>pour remplacer les</w:t>
      </w:r>
      <w:r w:rsidR="006B0F58" w:rsidRPr="002F57E1">
        <w:rPr>
          <w:lang w:val="fr-FR"/>
        </w:rPr>
        <w:t xml:space="preserve"> drogues </w:t>
      </w:r>
      <w:r w:rsidR="00833353" w:rsidRPr="002F57E1">
        <w:rPr>
          <w:lang w:val="fr-FR"/>
        </w:rPr>
        <w:t xml:space="preserve">qu’ils sont destinés à </w:t>
      </w:r>
      <w:r w:rsidR="00B25DA5" w:rsidRPr="002F57E1">
        <w:rPr>
          <w:lang w:val="fr-FR"/>
        </w:rPr>
        <w:t>imiter</w:t>
      </w:r>
      <w:r w:rsidR="00D96C58" w:rsidRPr="002F57E1">
        <w:rPr>
          <w:lang w:val="fr-FR"/>
        </w:rPr>
        <w:t xml:space="preserve"> (et pourraient être encore plus nocifs que celles-ci)</w:t>
      </w:r>
      <w:r w:rsidR="00214415" w:rsidRPr="002F57E1">
        <w:rPr>
          <w:lang w:val="fr-FR"/>
        </w:rPr>
        <w:t xml:space="preserve">, </w:t>
      </w:r>
      <w:r w:rsidR="006B0F58" w:rsidRPr="002F57E1">
        <w:rPr>
          <w:lang w:val="fr-FR"/>
        </w:rPr>
        <w:t>à savoir le LSD (hallucinogè</w:t>
      </w:r>
      <w:r w:rsidR="00214415" w:rsidRPr="002F57E1">
        <w:rPr>
          <w:lang w:val="fr-FR"/>
        </w:rPr>
        <w:t>n</w:t>
      </w:r>
      <w:r w:rsidR="006B0F58" w:rsidRPr="002F57E1">
        <w:rPr>
          <w:lang w:val="fr-FR"/>
        </w:rPr>
        <w:t>e</w:t>
      </w:r>
      <w:r w:rsidR="00214415" w:rsidRPr="002F57E1">
        <w:rPr>
          <w:lang w:val="fr-FR"/>
        </w:rPr>
        <w:t xml:space="preserve">), </w:t>
      </w:r>
      <w:r w:rsidR="006B0F58" w:rsidRPr="002F57E1">
        <w:rPr>
          <w:lang w:val="fr-FR"/>
        </w:rPr>
        <w:t>la morphine (opiacé</w:t>
      </w:r>
      <w:r w:rsidR="00214415" w:rsidRPr="002F57E1">
        <w:rPr>
          <w:lang w:val="fr-FR"/>
        </w:rPr>
        <w:t xml:space="preserve">), </w:t>
      </w:r>
      <w:r w:rsidR="006B0F58" w:rsidRPr="002F57E1">
        <w:rPr>
          <w:lang w:val="fr-FR"/>
        </w:rPr>
        <w:t>la cocaï</w:t>
      </w:r>
      <w:r w:rsidR="00214415" w:rsidRPr="002F57E1">
        <w:rPr>
          <w:lang w:val="fr-FR"/>
        </w:rPr>
        <w:t xml:space="preserve">ne (stimulant) </w:t>
      </w:r>
      <w:r w:rsidR="006B0F58" w:rsidRPr="002F57E1">
        <w:rPr>
          <w:lang w:val="fr-FR"/>
        </w:rPr>
        <w:t>et la ké</w:t>
      </w:r>
      <w:r w:rsidR="00214415" w:rsidRPr="002F57E1">
        <w:rPr>
          <w:lang w:val="fr-FR"/>
        </w:rPr>
        <w:t>tamine (</w:t>
      </w:r>
      <w:r w:rsidR="006B0F58" w:rsidRPr="002F57E1">
        <w:rPr>
          <w:lang w:val="fr-FR"/>
        </w:rPr>
        <w:t>un médicament aux propriétés analgésiques</w:t>
      </w:r>
      <w:r w:rsidR="000A448F">
        <w:rPr>
          <w:lang w:val="fr-FR"/>
        </w:rPr>
        <w:t xml:space="preserve"> </w:t>
      </w:r>
      <w:r w:rsidR="006B0F58" w:rsidRPr="002F57E1">
        <w:rPr>
          <w:lang w:val="fr-FR"/>
        </w:rPr>
        <w:t>et anesthé</w:t>
      </w:r>
      <w:r w:rsidR="00C42E8F" w:rsidRPr="002F57E1">
        <w:rPr>
          <w:lang w:val="fr-FR"/>
        </w:rPr>
        <w:t>s</w:t>
      </w:r>
      <w:r w:rsidR="00214415" w:rsidRPr="002F57E1">
        <w:rPr>
          <w:lang w:val="fr-FR"/>
        </w:rPr>
        <w:t>i</w:t>
      </w:r>
      <w:r w:rsidR="006B0F58" w:rsidRPr="002F57E1">
        <w:rPr>
          <w:lang w:val="fr-FR"/>
        </w:rPr>
        <w:t>qu</w:t>
      </w:r>
      <w:r w:rsidR="00214415" w:rsidRPr="002F57E1">
        <w:rPr>
          <w:lang w:val="fr-FR"/>
        </w:rPr>
        <w:t xml:space="preserve">es). </w:t>
      </w:r>
      <w:r w:rsidR="00C42E8F" w:rsidRPr="002F57E1">
        <w:rPr>
          <w:lang w:val="fr-FR"/>
        </w:rPr>
        <w:t xml:space="preserve">Des rapports d’évaluation des risques sur ces </w:t>
      </w:r>
      <w:r w:rsidR="00E5609A" w:rsidRPr="002F57E1">
        <w:rPr>
          <w:lang w:val="fr-FR"/>
        </w:rPr>
        <w:t xml:space="preserve">quatre substances </w:t>
      </w:r>
      <w:r w:rsidR="00C42E8F" w:rsidRPr="002F57E1">
        <w:rPr>
          <w:lang w:val="fr-FR"/>
        </w:rPr>
        <w:t>ont</w:t>
      </w:r>
      <w:r w:rsidR="000A448F">
        <w:rPr>
          <w:lang w:val="fr-FR"/>
        </w:rPr>
        <w:t xml:space="preserve"> </w:t>
      </w:r>
      <w:r w:rsidR="00E5609A" w:rsidRPr="002F57E1">
        <w:rPr>
          <w:lang w:val="fr-FR"/>
        </w:rPr>
        <w:t>été soumis à la</w:t>
      </w:r>
      <w:r w:rsidR="00214415" w:rsidRPr="002F57E1">
        <w:rPr>
          <w:b/>
          <w:lang w:val="fr-FR"/>
        </w:rPr>
        <w:t xml:space="preserve"> Commission</w:t>
      </w:r>
      <w:r w:rsidR="00E5609A" w:rsidRPr="002F57E1">
        <w:rPr>
          <w:b/>
          <w:lang w:val="fr-FR"/>
        </w:rPr>
        <w:t xml:space="preserve"> européenne</w:t>
      </w:r>
      <w:r w:rsidR="000A448F">
        <w:rPr>
          <w:b/>
          <w:lang w:val="fr-FR"/>
        </w:rPr>
        <w:t xml:space="preserve"> </w:t>
      </w:r>
      <w:r w:rsidR="00E5609A" w:rsidRPr="002F57E1">
        <w:rPr>
          <w:lang w:val="fr-FR"/>
        </w:rPr>
        <w:t>et</w:t>
      </w:r>
      <w:r w:rsidR="000A448F">
        <w:rPr>
          <w:lang w:val="fr-FR"/>
        </w:rPr>
        <w:t xml:space="preserve"> </w:t>
      </w:r>
      <w:r w:rsidR="00E5609A" w:rsidRPr="002F57E1">
        <w:rPr>
          <w:lang w:val="fr-FR"/>
        </w:rPr>
        <w:t>au</w:t>
      </w:r>
      <w:r w:rsidR="000A448F">
        <w:rPr>
          <w:lang w:val="fr-FR"/>
        </w:rPr>
        <w:t xml:space="preserve"> </w:t>
      </w:r>
      <w:r w:rsidR="00E5609A" w:rsidRPr="002F57E1">
        <w:rPr>
          <w:b/>
          <w:lang w:val="fr-FR"/>
        </w:rPr>
        <w:t>Conse</w:t>
      </w:r>
      <w:r w:rsidR="00214415" w:rsidRPr="002F57E1">
        <w:rPr>
          <w:b/>
          <w:lang w:val="fr-FR"/>
        </w:rPr>
        <w:t xml:space="preserve">il </w:t>
      </w:r>
      <w:r w:rsidR="00E5609A" w:rsidRPr="002F57E1">
        <w:rPr>
          <w:b/>
          <w:lang w:val="fr-FR"/>
        </w:rPr>
        <w:t>de l’</w:t>
      </w:r>
      <w:r w:rsidR="00A23945" w:rsidRPr="002F57E1">
        <w:rPr>
          <w:b/>
          <w:lang w:val="fr-FR"/>
        </w:rPr>
        <w:t>Union européenne</w:t>
      </w:r>
      <w:r w:rsidR="000A448F">
        <w:rPr>
          <w:b/>
          <w:lang w:val="fr-FR"/>
        </w:rPr>
        <w:t xml:space="preserve"> </w:t>
      </w:r>
      <w:r w:rsidR="004F3225" w:rsidRPr="002F57E1">
        <w:rPr>
          <w:lang w:val="fr-FR"/>
        </w:rPr>
        <w:t>et pourr</w:t>
      </w:r>
      <w:r w:rsidR="00C42E8F" w:rsidRPr="002F57E1">
        <w:rPr>
          <w:lang w:val="fr-FR"/>
        </w:rPr>
        <w:t>ont</w:t>
      </w:r>
      <w:r w:rsidR="004F3225" w:rsidRPr="002F57E1">
        <w:rPr>
          <w:lang w:val="fr-FR"/>
        </w:rPr>
        <w:t xml:space="preserve"> servir </w:t>
      </w:r>
      <w:r w:rsidR="00C42E8F" w:rsidRPr="002F57E1">
        <w:rPr>
          <w:lang w:val="fr-FR"/>
        </w:rPr>
        <w:t xml:space="preserve">de base pour l’adoption de décisions concernant </w:t>
      </w:r>
      <w:r w:rsidR="0020328B">
        <w:rPr>
          <w:lang w:val="fr-FR"/>
        </w:rPr>
        <w:t>l</w:t>
      </w:r>
      <w:r w:rsidR="00C42E8F" w:rsidRPr="002F57E1">
        <w:rPr>
          <w:lang w:val="fr-FR"/>
        </w:rPr>
        <w:t>es mesures</w:t>
      </w:r>
      <w:r w:rsidR="004F3225" w:rsidRPr="002F57E1">
        <w:rPr>
          <w:lang w:val="fr-FR"/>
        </w:rPr>
        <w:t xml:space="preserve"> de contrôle </w:t>
      </w:r>
      <w:r w:rsidR="00854249" w:rsidRPr="002F57E1">
        <w:rPr>
          <w:lang w:val="fr-FR"/>
        </w:rPr>
        <w:t xml:space="preserve">à mettre en œuvre </w:t>
      </w:r>
      <w:r w:rsidR="004F3225" w:rsidRPr="002F57E1">
        <w:rPr>
          <w:lang w:val="fr-FR"/>
        </w:rPr>
        <w:t>à l’échelle européenne</w:t>
      </w:r>
      <w:r w:rsidR="00CB1C76" w:rsidRPr="002F57E1">
        <w:rPr>
          <w:lang w:val="fr-FR"/>
        </w:rPr>
        <w:t xml:space="preserve">. </w:t>
      </w:r>
    </w:p>
    <w:p w:rsidR="00AC31CE" w:rsidRPr="002F57E1" w:rsidRDefault="00DF2CB9" w:rsidP="003C2E9B">
      <w:pPr>
        <w:pStyle w:val="newsNotes"/>
        <w:rPr>
          <w:lang w:val="fr-FR"/>
        </w:rPr>
      </w:pPr>
      <w:r w:rsidRPr="002F57E1">
        <w:rPr>
          <w:rStyle w:val="hps"/>
          <w:rFonts w:cs="Arial"/>
          <w:color w:val="222222"/>
          <w:lang w:val="fr-FR"/>
        </w:rPr>
        <w:t>L'</w:t>
      </w:r>
      <w:r w:rsidR="002F1907" w:rsidRPr="002F57E1">
        <w:rPr>
          <w:rStyle w:val="hps"/>
          <w:rFonts w:cs="Arial"/>
          <w:color w:val="222222"/>
          <w:lang w:val="fr-FR"/>
        </w:rPr>
        <w:t>apparition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Pr="002F57E1">
        <w:rPr>
          <w:rStyle w:val="hps"/>
          <w:rFonts w:cs="Arial"/>
          <w:color w:val="222222"/>
          <w:lang w:val="fr-FR"/>
        </w:rPr>
        <w:t xml:space="preserve">de substances </w:t>
      </w:r>
      <w:r w:rsidR="002F1907" w:rsidRPr="002F57E1">
        <w:rPr>
          <w:rStyle w:val="hps"/>
          <w:rFonts w:cs="Arial"/>
          <w:color w:val="222222"/>
          <w:lang w:val="fr-FR"/>
        </w:rPr>
        <w:t>de synthèse</w:t>
      </w:r>
      <w:r w:rsidR="0020328B">
        <w:rPr>
          <w:rStyle w:val="hps"/>
          <w:rFonts w:cs="Arial"/>
          <w:color w:val="222222"/>
          <w:lang w:val="fr-FR"/>
        </w:rPr>
        <w:t xml:space="preserve"> </w:t>
      </w:r>
      <w:r w:rsidR="005863CD">
        <w:rPr>
          <w:rStyle w:val="hps"/>
          <w:rFonts w:cs="Arial"/>
          <w:color w:val="222222"/>
          <w:lang w:val="fr-FR"/>
        </w:rPr>
        <w:t xml:space="preserve">particulièrement </w:t>
      </w:r>
      <w:r w:rsidRPr="002F57E1">
        <w:rPr>
          <w:rStyle w:val="hps"/>
          <w:rFonts w:cs="Arial"/>
          <w:color w:val="222222"/>
          <w:lang w:val="fr-FR"/>
        </w:rPr>
        <w:t>puissant</w:t>
      </w:r>
      <w:r w:rsidR="00EA5AF5" w:rsidRPr="002F57E1">
        <w:rPr>
          <w:rStyle w:val="hps"/>
          <w:rFonts w:cs="Arial"/>
          <w:color w:val="222222"/>
          <w:lang w:val="fr-FR"/>
        </w:rPr>
        <w:t>e</w:t>
      </w:r>
      <w:r w:rsidRPr="002F57E1">
        <w:rPr>
          <w:rStyle w:val="hps"/>
          <w:rFonts w:cs="Arial"/>
          <w:color w:val="222222"/>
          <w:lang w:val="fr-FR"/>
        </w:rPr>
        <w:t>s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Pr="002F57E1">
        <w:rPr>
          <w:rStyle w:val="hps"/>
          <w:rFonts w:cs="Arial"/>
          <w:color w:val="222222"/>
          <w:lang w:val="fr-FR"/>
        </w:rPr>
        <w:t>est une préoccupation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Pr="002F57E1">
        <w:rPr>
          <w:rStyle w:val="hps"/>
          <w:rFonts w:cs="Arial"/>
          <w:color w:val="222222"/>
          <w:lang w:val="fr-FR"/>
        </w:rPr>
        <w:t>exprimée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Pr="002F57E1">
        <w:rPr>
          <w:rStyle w:val="hps"/>
          <w:rFonts w:cs="Arial"/>
          <w:color w:val="222222"/>
          <w:lang w:val="fr-FR"/>
        </w:rPr>
        <w:t>dans les notifications</w:t>
      </w:r>
      <w:r w:rsidR="002F1907" w:rsidRPr="002F57E1">
        <w:rPr>
          <w:rStyle w:val="hps"/>
          <w:rFonts w:cs="Arial"/>
          <w:color w:val="222222"/>
          <w:lang w:val="fr-FR"/>
        </w:rPr>
        <w:t xml:space="preserve"> adressées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="0075432B">
        <w:rPr>
          <w:lang w:val="fr-FR"/>
        </w:rPr>
        <w:t>au</w:t>
      </w:r>
      <w:r w:rsidR="00A044E3" w:rsidRPr="002F57E1">
        <w:rPr>
          <w:lang w:val="fr-FR"/>
        </w:rPr>
        <w:t xml:space="preserve"> </w:t>
      </w:r>
      <w:r w:rsidR="00A044E3" w:rsidRPr="002F57E1">
        <w:rPr>
          <w:b/>
          <w:lang w:val="fr-FR"/>
        </w:rPr>
        <w:t xml:space="preserve">système d’alerte </w:t>
      </w:r>
      <w:r w:rsidR="00D3693D">
        <w:rPr>
          <w:b/>
          <w:lang w:val="fr-FR"/>
        </w:rPr>
        <w:t>précoce</w:t>
      </w:r>
      <w:r w:rsidR="00D3693D" w:rsidRPr="002F57E1">
        <w:rPr>
          <w:b/>
          <w:lang w:val="fr-FR"/>
        </w:rPr>
        <w:t xml:space="preserve"> </w:t>
      </w:r>
      <w:r w:rsidR="00F430F4" w:rsidRPr="002F57E1">
        <w:rPr>
          <w:b/>
          <w:lang w:val="fr-FR"/>
        </w:rPr>
        <w:t>de l’Union européenne</w:t>
      </w:r>
      <w:r w:rsidR="004223BC" w:rsidRPr="004223BC">
        <w:rPr>
          <w:lang w:val="fr-FR"/>
        </w:rPr>
        <w:t>. Ce phénomène</w:t>
      </w:r>
      <w:r w:rsidR="00276E20" w:rsidRPr="002F57E1">
        <w:rPr>
          <w:lang w:val="fr-FR"/>
        </w:rPr>
        <w:t xml:space="preserve"> a </w:t>
      </w:r>
      <w:r w:rsidR="00843F63" w:rsidRPr="002F57E1">
        <w:rPr>
          <w:lang w:val="fr-FR"/>
        </w:rPr>
        <w:t>des implications tant pour les</w:t>
      </w:r>
      <w:r w:rsidRPr="002F57E1">
        <w:rPr>
          <w:lang w:val="fr-FR"/>
        </w:rPr>
        <w:t xml:space="preserve"> usagers</w:t>
      </w:r>
      <w:r w:rsidR="000A448F">
        <w:rPr>
          <w:lang w:val="fr-FR"/>
        </w:rPr>
        <w:t xml:space="preserve"> </w:t>
      </w:r>
      <w:r w:rsidR="00843F63" w:rsidRPr="002F57E1">
        <w:rPr>
          <w:lang w:val="fr-FR"/>
        </w:rPr>
        <w:t>que pour</w:t>
      </w:r>
      <w:r w:rsidRPr="002F57E1">
        <w:rPr>
          <w:lang w:val="fr-FR"/>
        </w:rPr>
        <w:t xml:space="preserve"> les autorités chargées de </w:t>
      </w:r>
      <w:r w:rsidR="00276E20" w:rsidRPr="002F57E1">
        <w:rPr>
          <w:lang w:val="fr-FR"/>
        </w:rPr>
        <w:t xml:space="preserve">l’application </w:t>
      </w:r>
      <w:r w:rsidRPr="002F57E1">
        <w:rPr>
          <w:lang w:val="fr-FR"/>
        </w:rPr>
        <w:t>de la loi</w:t>
      </w:r>
      <w:r w:rsidR="000A448F">
        <w:rPr>
          <w:lang w:val="fr-FR"/>
        </w:rPr>
        <w:t xml:space="preserve"> </w:t>
      </w:r>
      <w:r w:rsidR="00843F63" w:rsidRPr="002F57E1">
        <w:rPr>
          <w:lang w:val="fr-FR"/>
        </w:rPr>
        <w:t>: en effet, l</w:t>
      </w:r>
      <w:r w:rsidRPr="002F57E1">
        <w:rPr>
          <w:lang w:val="fr-FR"/>
        </w:rPr>
        <w:t>esdit</w:t>
      </w:r>
      <w:r w:rsidR="00EA5AF5" w:rsidRPr="002F57E1">
        <w:rPr>
          <w:lang w:val="fr-FR"/>
        </w:rPr>
        <w:t>e</w:t>
      </w:r>
      <w:r w:rsidRPr="002F57E1">
        <w:rPr>
          <w:lang w:val="fr-FR"/>
        </w:rPr>
        <w:t xml:space="preserve">s </w:t>
      </w:r>
      <w:r w:rsidR="00214415" w:rsidRPr="002F57E1">
        <w:rPr>
          <w:lang w:val="fr-FR"/>
        </w:rPr>
        <w:t xml:space="preserve">substances </w:t>
      </w:r>
      <w:r w:rsidR="00843F63" w:rsidRPr="002F57E1">
        <w:rPr>
          <w:lang w:val="fr-FR"/>
        </w:rPr>
        <w:t>peuvent</w:t>
      </w:r>
      <w:r w:rsidR="00276E20" w:rsidRPr="002F57E1">
        <w:rPr>
          <w:lang w:val="fr-FR"/>
        </w:rPr>
        <w:t xml:space="preserve"> être </w:t>
      </w:r>
      <w:r w:rsidR="00214415" w:rsidRPr="002F57E1">
        <w:rPr>
          <w:lang w:val="fr-FR"/>
        </w:rPr>
        <w:t>toxi</w:t>
      </w:r>
      <w:r w:rsidR="00276E20" w:rsidRPr="002F57E1">
        <w:rPr>
          <w:lang w:val="fr-FR"/>
        </w:rPr>
        <w:t>ques à très faibles doses</w:t>
      </w:r>
      <w:r w:rsidR="000A448F">
        <w:rPr>
          <w:lang w:val="fr-FR"/>
        </w:rPr>
        <w:t xml:space="preserve"> </w:t>
      </w:r>
      <w:r w:rsidR="00276E20" w:rsidRPr="002F57E1">
        <w:rPr>
          <w:lang w:val="fr-FR"/>
        </w:rPr>
        <w:t>et même de petites quantités</w:t>
      </w:r>
      <w:r w:rsidR="000A448F">
        <w:rPr>
          <w:lang w:val="fr-FR"/>
        </w:rPr>
        <w:t xml:space="preserve"> </w:t>
      </w:r>
      <w:r w:rsidR="00276E20" w:rsidRPr="002F57E1">
        <w:rPr>
          <w:lang w:val="fr-FR"/>
        </w:rPr>
        <w:t xml:space="preserve">de ces drogues peuvent servir à fabriquer </w:t>
      </w:r>
      <w:r w:rsidRPr="002F57E1">
        <w:rPr>
          <w:lang w:val="fr-FR"/>
        </w:rPr>
        <w:t>une quantité importante de</w:t>
      </w:r>
      <w:r w:rsidR="00276E20" w:rsidRPr="002F57E1">
        <w:rPr>
          <w:lang w:val="fr-FR"/>
        </w:rPr>
        <w:t xml:space="preserve"> doses individu</w:t>
      </w:r>
      <w:r w:rsidR="00214415" w:rsidRPr="002F57E1">
        <w:rPr>
          <w:lang w:val="fr-FR"/>
        </w:rPr>
        <w:t>e</w:t>
      </w:r>
      <w:r w:rsidR="00276E20" w:rsidRPr="002F57E1">
        <w:rPr>
          <w:lang w:val="fr-FR"/>
        </w:rPr>
        <w:t>ll</w:t>
      </w:r>
      <w:r w:rsidR="00214415" w:rsidRPr="002F57E1">
        <w:rPr>
          <w:lang w:val="fr-FR"/>
        </w:rPr>
        <w:t>es.</w:t>
      </w:r>
    </w:p>
    <w:p w:rsidR="00AC31CE" w:rsidRPr="002F57E1" w:rsidRDefault="005F3C14" w:rsidP="00D85C81">
      <w:pPr>
        <w:pStyle w:val="newsNotes"/>
        <w:keepNext/>
        <w:ind w:right="-142"/>
        <w:rPr>
          <w:lang w:val="fr-FR"/>
        </w:rPr>
      </w:pPr>
      <w:r w:rsidRPr="002F57E1">
        <w:rPr>
          <w:b/>
          <w:lang w:val="fr-FR"/>
        </w:rPr>
        <w:t>Cannabis</w:t>
      </w:r>
      <w:r w:rsidR="000A448F">
        <w:rPr>
          <w:b/>
          <w:lang w:val="fr-FR"/>
        </w:rPr>
        <w:t xml:space="preserve"> </w:t>
      </w:r>
      <w:r w:rsidR="00157767" w:rsidRPr="002F57E1">
        <w:rPr>
          <w:b/>
          <w:lang w:val="fr-FR"/>
        </w:rPr>
        <w:t>:</w:t>
      </w:r>
      <w:r w:rsidR="000A448F">
        <w:rPr>
          <w:b/>
          <w:lang w:val="fr-FR"/>
        </w:rPr>
        <w:t xml:space="preserve"> </w:t>
      </w:r>
      <w:r w:rsidR="00BA4609" w:rsidRPr="00BA4609">
        <w:rPr>
          <w:b/>
          <w:lang w:val="fr-FR"/>
        </w:rPr>
        <w:t>controverses</w:t>
      </w:r>
      <w:r w:rsidR="00214415" w:rsidRPr="002F57E1">
        <w:rPr>
          <w:b/>
          <w:lang w:val="fr-FR"/>
        </w:rPr>
        <w:t>, contrast</w:t>
      </w:r>
      <w:r w:rsidRPr="002F57E1">
        <w:rPr>
          <w:b/>
          <w:lang w:val="fr-FR"/>
        </w:rPr>
        <w:t>e</w:t>
      </w:r>
      <w:r w:rsidR="00214415" w:rsidRPr="002F57E1">
        <w:rPr>
          <w:b/>
          <w:lang w:val="fr-FR"/>
        </w:rPr>
        <w:t>s</w:t>
      </w:r>
      <w:r w:rsidR="00BA4609">
        <w:rPr>
          <w:b/>
          <w:lang w:val="fr-FR"/>
        </w:rPr>
        <w:t xml:space="preserve"> et</w:t>
      </w:r>
      <w:r w:rsidR="00214415" w:rsidRPr="002F57E1">
        <w:rPr>
          <w:b/>
          <w:lang w:val="fr-FR"/>
        </w:rPr>
        <w:t xml:space="preserve"> contradictions</w:t>
      </w:r>
    </w:p>
    <w:p w:rsidR="00214415" w:rsidRPr="002F57E1" w:rsidRDefault="00B2568B" w:rsidP="00D85C81">
      <w:pPr>
        <w:pStyle w:val="newsNotes"/>
        <w:keepNext/>
        <w:ind w:right="-142"/>
        <w:rPr>
          <w:lang w:val="fr-FR"/>
        </w:rPr>
      </w:pPr>
      <w:r w:rsidRPr="002F57E1">
        <w:rPr>
          <w:lang w:val="fr-FR"/>
        </w:rPr>
        <w:t xml:space="preserve">D’après les </w:t>
      </w:r>
      <w:r w:rsidR="00923553" w:rsidRPr="002F57E1">
        <w:rPr>
          <w:lang w:val="fr-FR"/>
        </w:rPr>
        <w:t xml:space="preserve">études </w:t>
      </w:r>
      <w:r w:rsidRPr="002F57E1">
        <w:rPr>
          <w:lang w:val="fr-FR"/>
        </w:rPr>
        <w:t>sur le comportement réalisées</w:t>
      </w:r>
      <w:r w:rsidR="00923553" w:rsidRPr="002F57E1">
        <w:rPr>
          <w:lang w:val="fr-FR"/>
        </w:rPr>
        <w:t xml:space="preserve"> par l’</w:t>
      </w:r>
      <w:r w:rsidR="00214415" w:rsidRPr="002F57E1">
        <w:rPr>
          <w:b/>
          <w:lang w:val="fr-FR"/>
        </w:rPr>
        <w:t>U</w:t>
      </w:r>
      <w:r w:rsidR="00F430F4" w:rsidRPr="002F57E1">
        <w:rPr>
          <w:b/>
          <w:lang w:val="fr-FR"/>
        </w:rPr>
        <w:t>nion européenne</w:t>
      </w:r>
      <w:r w:rsidR="00214415" w:rsidRPr="002F57E1">
        <w:rPr>
          <w:lang w:val="fr-FR"/>
        </w:rPr>
        <w:t xml:space="preserve"> (</w:t>
      </w:r>
      <w:r w:rsidR="004C6069" w:rsidRPr="002F57E1">
        <w:rPr>
          <w:vertAlign w:val="superscript"/>
          <w:lang w:val="fr-FR"/>
        </w:rPr>
        <w:t>7</w:t>
      </w:r>
      <w:r w:rsidR="00214415" w:rsidRPr="002F57E1">
        <w:rPr>
          <w:lang w:val="fr-FR"/>
        </w:rPr>
        <w:t>)</w:t>
      </w:r>
      <w:r w:rsidRPr="002F57E1">
        <w:rPr>
          <w:lang w:val="fr-FR"/>
        </w:rPr>
        <w:t>,</w:t>
      </w:r>
      <w:r w:rsidR="000A448F">
        <w:rPr>
          <w:lang w:val="fr-FR"/>
        </w:rPr>
        <w:t xml:space="preserve"> </w:t>
      </w:r>
      <w:r w:rsidR="00923553" w:rsidRPr="002F57E1">
        <w:rPr>
          <w:lang w:val="fr-FR"/>
        </w:rPr>
        <w:t>le</w:t>
      </w:r>
      <w:r w:rsidR="00214415" w:rsidRPr="002F57E1">
        <w:rPr>
          <w:lang w:val="fr-FR"/>
        </w:rPr>
        <w:t xml:space="preserve"> cannabis </w:t>
      </w:r>
      <w:r w:rsidRPr="002F57E1">
        <w:rPr>
          <w:lang w:val="fr-FR"/>
        </w:rPr>
        <w:t>reste</w:t>
      </w:r>
      <w:r w:rsidR="00923553" w:rsidRPr="002F57E1">
        <w:rPr>
          <w:lang w:val="fr-FR"/>
        </w:rPr>
        <w:t xml:space="preserve"> la drogue </w:t>
      </w:r>
      <w:r w:rsidRPr="002F57E1">
        <w:rPr>
          <w:lang w:val="fr-FR"/>
        </w:rPr>
        <w:t xml:space="preserve">qui polarise </w:t>
      </w:r>
      <w:r w:rsidR="00923553" w:rsidRPr="002F57E1">
        <w:rPr>
          <w:lang w:val="fr-FR"/>
        </w:rPr>
        <w:t>le plus l’opinion publique</w:t>
      </w:r>
      <w:r w:rsidR="00FF46A8" w:rsidRPr="002F57E1">
        <w:rPr>
          <w:lang w:val="fr-FR"/>
        </w:rPr>
        <w:t>, ce qui</w:t>
      </w:r>
      <w:r w:rsidRPr="002F57E1">
        <w:rPr>
          <w:rStyle w:val="hps"/>
          <w:rFonts w:cs="Arial"/>
          <w:color w:val="222222"/>
          <w:lang w:val="fr-FR"/>
        </w:rPr>
        <w:t xml:space="preserve"> contribue à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="00A044E3" w:rsidRPr="002F57E1">
        <w:rPr>
          <w:rStyle w:val="hps"/>
          <w:rFonts w:cs="Arial"/>
          <w:color w:val="222222"/>
          <w:lang w:val="fr-FR"/>
        </w:rPr>
        <w:t>animer le</w:t>
      </w:r>
      <w:r w:rsidRPr="002F57E1">
        <w:rPr>
          <w:rStyle w:val="hps"/>
          <w:rFonts w:cs="Arial"/>
          <w:color w:val="222222"/>
          <w:lang w:val="fr-FR"/>
        </w:rPr>
        <w:t xml:space="preserve"> débat public</w:t>
      </w:r>
      <w:r w:rsidR="000A448F">
        <w:rPr>
          <w:rStyle w:val="hps"/>
          <w:rFonts w:cs="Arial"/>
          <w:color w:val="222222"/>
          <w:lang w:val="fr-FR"/>
        </w:rPr>
        <w:t xml:space="preserve"> </w:t>
      </w:r>
      <w:r w:rsidR="00FF46A8" w:rsidRPr="002F57E1">
        <w:rPr>
          <w:rFonts w:cs="Arial"/>
          <w:color w:val="222222"/>
          <w:lang w:val="fr-FR"/>
        </w:rPr>
        <w:t>r</w:t>
      </w:r>
      <w:r w:rsidR="00FB291B" w:rsidRPr="002F57E1">
        <w:rPr>
          <w:lang w:val="fr-FR"/>
        </w:rPr>
        <w:t xml:space="preserve">écemment alimenté par des </w:t>
      </w:r>
      <w:r w:rsidR="00FF46A8" w:rsidRPr="002F57E1">
        <w:rPr>
          <w:lang w:val="fr-FR"/>
        </w:rPr>
        <w:t>événements</w:t>
      </w:r>
      <w:r w:rsidR="00FB291B" w:rsidRPr="002F57E1">
        <w:rPr>
          <w:lang w:val="fr-FR"/>
        </w:rPr>
        <w:t xml:space="preserve"> interna</w:t>
      </w:r>
      <w:r w:rsidR="00FF46A8" w:rsidRPr="002F57E1">
        <w:rPr>
          <w:lang w:val="fr-FR"/>
        </w:rPr>
        <w:t xml:space="preserve">tionaux en </w:t>
      </w:r>
      <w:r w:rsidR="004223BC">
        <w:rPr>
          <w:lang w:val="fr-FR"/>
        </w:rPr>
        <w:t>matière de</w:t>
      </w:r>
      <w:r w:rsidRPr="002F57E1">
        <w:rPr>
          <w:lang w:val="fr-FR"/>
        </w:rPr>
        <w:t xml:space="preserve"> contrôle de la </w:t>
      </w:r>
      <w:r w:rsidR="00EA5AF5" w:rsidRPr="002F57E1">
        <w:rPr>
          <w:lang w:val="fr-FR"/>
        </w:rPr>
        <w:t>disponibilité et</w:t>
      </w:r>
      <w:r w:rsidRPr="002F57E1">
        <w:rPr>
          <w:lang w:val="fr-FR"/>
        </w:rPr>
        <w:t xml:space="preserve"> de</w:t>
      </w:r>
      <w:r w:rsidR="004223BC">
        <w:rPr>
          <w:lang w:val="fr-FR"/>
        </w:rPr>
        <w:t xml:space="preserve"> l’usage</w:t>
      </w:r>
      <w:r w:rsidR="002A77E6">
        <w:rPr>
          <w:lang w:val="fr-FR"/>
        </w:rPr>
        <w:t xml:space="preserve"> </w:t>
      </w:r>
      <w:r w:rsidR="00214415" w:rsidRPr="002F57E1">
        <w:rPr>
          <w:lang w:val="fr-FR"/>
        </w:rPr>
        <w:t>(</w:t>
      </w:r>
      <w:r w:rsidR="00AF6FE2" w:rsidRPr="002F57E1">
        <w:rPr>
          <w:lang w:val="fr-FR"/>
        </w:rPr>
        <w:t>par ex</w:t>
      </w:r>
      <w:r w:rsidR="00214415" w:rsidRPr="002F57E1">
        <w:rPr>
          <w:lang w:val="fr-FR"/>
        </w:rPr>
        <w:t xml:space="preserve">. </w:t>
      </w:r>
      <w:r w:rsidR="00171AB1" w:rsidRPr="002F57E1">
        <w:rPr>
          <w:lang w:val="fr-FR"/>
        </w:rPr>
        <w:lastRenderedPageBreak/>
        <w:t xml:space="preserve">modifications </w:t>
      </w:r>
      <w:r w:rsidR="00BA4609">
        <w:rPr>
          <w:lang w:val="fr-FR"/>
        </w:rPr>
        <w:t>législatives</w:t>
      </w:r>
      <w:r w:rsidR="00171AB1" w:rsidRPr="002F57E1">
        <w:rPr>
          <w:lang w:val="fr-FR"/>
        </w:rPr>
        <w:t xml:space="preserve"> dans certains États des </w:t>
      </w:r>
      <w:r w:rsidR="00171AB1" w:rsidRPr="002F57E1">
        <w:rPr>
          <w:b/>
          <w:lang w:val="fr-FR"/>
        </w:rPr>
        <w:t>États-Unis</w:t>
      </w:r>
      <w:r w:rsidR="000A448F">
        <w:rPr>
          <w:b/>
          <w:lang w:val="fr-FR"/>
        </w:rPr>
        <w:t xml:space="preserve"> </w:t>
      </w:r>
      <w:r w:rsidR="00171AB1" w:rsidRPr="002F57E1">
        <w:rPr>
          <w:lang w:val="fr-FR"/>
        </w:rPr>
        <w:t xml:space="preserve">et dans certaines </w:t>
      </w:r>
      <w:r w:rsidRPr="002F57E1">
        <w:rPr>
          <w:lang w:val="fr-FR"/>
        </w:rPr>
        <w:t>régions d’</w:t>
      </w:r>
      <w:r w:rsidRPr="002F57E1">
        <w:rPr>
          <w:b/>
          <w:lang w:val="fr-FR"/>
        </w:rPr>
        <w:t xml:space="preserve">Amérique </w:t>
      </w:r>
      <w:r w:rsidR="00171AB1" w:rsidRPr="002F57E1">
        <w:rPr>
          <w:b/>
          <w:lang w:val="fr-FR"/>
        </w:rPr>
        <w:t>L</w:t>
      </w:r>
      <w:r w:rsidR="00214415" w:rsidRPr="002F57E1">
        <w:rPr>
          <w:b/>
          <w:lang w:val="fr-FR"/>
        </w:rPr>
        <w:t>a</w:t>
      </w:r>
      <w:r w:rsidR="00171AB1" w:rsidRPr="002F57E1">
        <w:rPr>
          <w:b/>
          <w:lang w:val="fr-FR"/>
        </w:rPr>
        <w:t>tine</w:t>
      </w:r>
      <w:r w:rsidR="00214415" w:rsidRPr="002F57E1">
        <w:rPr>
          <w:lang w:val="fr-FR"/>
        </w:rPr>
        <w:t xml:space="preserve">). </w:t>
      </w:r>
      <w:r w:rsidR="00F21350" w:rsidRPr="002F57E1">
        <w:rPr>
          <w:lang w:val="fr-FR"/>
        </w:rPr>
        <w:t xml:space="preserve">Les débats européens sur le contrôle du cannabis ont </w:t>
      </w:r>
      <w:r w:rsidRPr="002F57E1">
        <w:rPr>
          <w:lang w:val="fr-FR"/>
        </w:rPr>
        <w:t>tendance à se focaliser sur</w:t>
      </w:r>
      <w:r w:rsidR="00F21350" w:rsidRPr="002F57E1">
        <w:rPr>
          <w:lang w:val="fr-FR"/>
        </w:rPr>
        <w:t xml:space="preserve"> l</w:t>
      </w:r>
      <w:r w:rsidR="004223BC">
        <w:rPr>
          <w:lang w:val="fr-FR"/>
        </w:rPr>
        <w:t>es questions d</w:t>
      </w:r>
      <w:r w:rsidR="00F21350" w:rsidRPr="002F57E1">
        <w:rPr>
          <w:lang w:val="fr-FR"/>
        </w:rPr>
        <w:t xml:space="preserve">’approvisionnement </w:t>
      </w:r>
      <w:r w:rsidR="004223BC">
        <w:rPr>
          <w:lang w:val="fr-FR"/>
        </w:rPr>
        <w:t>et de</w:t>
      </w:r>
      <w:r w:rsidR="00F21350" w:rsidRPr="002F57E1">
        <w:rPr>
          <w:lang w:val="fr-FR"/>
        </w:rPr>
        <w:t xml:space="preserve"> trafic plutôt que sur </w:t>
      </w:r>
      <w:r w:rsidR="004223BC">
        <w:rPr>
          <w:lang w:val="fr-FR"/>
        </w:rPr>
        <w:t xml:space="preserve">celle de </w:t>
      </w:r>
      <w:r w:rsidR="00F21350" w:rsidRPr="002F57E1">
        <w:rPr>
          <w:lang w:val="fr-FR"/>
        </w:rPr>
        <w:t>la consommation personnelle</w:t>
      </w:r>
      <w:r w:rsidR="00214415" w:rsidRPr="002F57E1">
        <w:rPr>
          <w:lang w:val="fr-FR"/>
        </w:rPr>
        <w:t xml:space="preserve">. </w:t>
      </w:r>
      <w:r w:rsidR="002037AE">
        <w:rPr>
          <w:lang w:val="fr-FR"/>
        </w:rPr>
        <w:t>Et ce</w:t>
      </w:r>
      <w:r w:rsidR="00F21350" w:rsidRPr="002F57E1">
        <w:rPr>
          <w:lang w:val="fr-FR"/>
        </w:rPr>
        <w:t xml:space="preserve">, </w:t>
      </w:r>
      <w:r w:rsidR="002037AE">
        <w:rPr>
          <w:lang w:val="fr-FR"/>
        </w:rPr>
        <w:t xml:space="preserve">alors que </w:t>
      </w:r>
      <w:r w:rsidR="00F21350" w:rsidRPr="002F57E1">
        <w:rPr>
          <w:lang w:val="fr-FR"/>
        </w:rPr>
        <w:t xml:space="preserve">le nombre </w:t>
      </w:r>
      <w:r w:rsidRPr="002F57E1">
        <w:rPr>
          <w:lang w:val="fr-FR"/>
        </w:rPr>
        <w:t xml:space="preserve">total </w:t>
      </w:r>
      <w:r w:rsidR="00F21350" w:rsidRPr="002F57E1">
        <w:rPr>
          <w:lang w:val="fr-FR"/>
        </w:rPr>
        <w:t xml:space="preserve">de délits </w:t>
      </w:r>
      <w:r w:rsidR="004223BC">
        <w:rPr>
          <w:lang w:val="fr-FR"/>
        </w:rPr>
        <w:t>pour détention</w:t>
      </w:r>
      <w:r w:rsidR="00214415" w:rsidRPr="002F57E1">
        <w:rPr>
          <w:lang w:val="fr-FR"/>
        </w:rPr>
        <w:t xml:space="preserve"> </w:t>
      </w:r>
      <w:r w:rsidR="00F21350" w:rsidRPr="002F57E1">
        <w:rPr>
          <w:lang w:val="fr-FR"/>
        </w:rPr>
        <w:t xml:space="preserve">et </w:t>
      </w:r>
      <w:r w:rsidR="004223BC">
        <w:rPr>
          <w:lang w:val="fr-FR"/>
        </w:rPr>
        <w:t>usage</w:t>
      </w:r>
      <w:r w:rsidR="00F21350" w:rsidRPr="002F57E1">
        <w:rPr>
          <w:lang w:val="fr-FR"/>
        </w:rPr>
        <w:t xml:space="preserve"> </w:t>
      </w:r>
      <w:r w:rsidR="00FF46A8" w:rsidRPr="002F57E1">
        <w:rPr>
          <w:lang w:val="fr-FR"/>
        </w:rPr>
        <w:t>de</w:t>
      </w:r>
      <w:r w:rsidR="00214415" w:rsidRPr="002F57E1">
        <w:rPr>
          <w:lang w:val="fr-FR"/>
        </w:rPr>
        <w:t xml:space="preserve"> cannabis </w:t>
      </w:r>
      <w:r w:rsidRPr="002F57E1">
        <w:rPr>
          <w:lang w:val="fr-FR"/>
        </w:rPr>
        <w:t>augmente régulièrement depuis p</w:t>
      </w:r>
      <w:r w:rsidR="00034840">
        <w:rPr>
          <w:lang w:val="fr-FR"/>
        </w:rPr>
        <w:t xml:space="preserve">rès </w:t>
      </w:r>
      <w:r w:rsidRPr="002F57E1">
        <w:rPr>
          <w:lang w:val="fr-FR"/>
        </w:rPr>
        <w:t>d'une décennie</w:t>
      </w:r>
      <w:r w:rsidR="00214415" w:rsidRPr="002F57E1">
        <w:rPr>
          <w:lang w:val="fr-FR"/>
        </w:rPr>
        <w:t xml:space="preserve"> (</w:t>
      </w:r>
      <w:r w:rsidR="00F430F4" w:rsidRPr="002F57E1">
        <w:rPr>
          <w:lang w:val="fr-FR"/>
        </w:rPr>
        <w:t>figure</w:t>
      </w:r>
      <w:r w:rsidR="00677D6B" w:rsidRPr="002F57E1">
        <w:rPr>
          <w:lang w:val="fr-FR"/>
        </w:rPr>
        <w:t> </w:t>
      </w:r>
      <w:r w:rsidR="00214415" w:rsidRPr="002F57E1">
        <w:rPr>
          <w:lang w:val="fr-FR"/>
        </w:rPr>
        <w:t>4.1).</w:t>
      </w:r>
    </w:p>
    <w:p w:rsidR="00214415" w:rsidRPr="002F57E1" w:rsidRDefault="002F2090" w:rsidP="003C2E9B">
      <w:pPr>
        <w:pStyle w:val="newsNotes"/>
        <w:rPr>
          <w:lang w:val="fr-FR"/>
        </w:rPr>
      </w:pPr>
      <w:r w:rsidRPr="002F57E1">
        <w:rPr>
          <w:lang w:val="fr-FR"/>
        </w:rPr>
        <w:t>Environ 73,</w:t>
      </w:r>
      <w:r w:rsidR="00214415" w:rsidRPr="002F57E1">
        <w:rPr>
          <w:lang w:val="fr-FR"/>
        </w:rPr>
        <w:t>6</w:t>
      </w:r>
      <w:r w:rsidR="00677D6B" w:rsidRPr="002F57E1">
        <w:rPr>
          <w:lang w:val="fr-FR"/>
        </w:rPr>
        <w:t> </w:t>
      </w:r>
      <w:r w:rsidR="00214415" w:rsidRPr="002F57E1">
        <w:rPr>
          <w:lang w:val="fr-FR"/>
        </w:rPr>
        <w:t>million</w:t>
      </w:r>
      <w:r w:rsidRPr="002F57E1">
        <w:rPr>
          <w:lang w:val="fr-FR"/>
        </w:rPr>
        <w:t>s</w:t>
      </w:r>
      <w:r w:rsidR="000A448F">
        <w:rPr>
          <w:lang w:val="fr-FR"/>
        </w:rPr>
        <w:t xml:space="preserve"> </w:t>
      </w:r>
      <w:r w:rsidRPr="002F57E1">
        <w:rPr>
          <w:lang w:val="fr-FR"/>
        </w:rPr>
        <w:t>d’</w:t>
      </w:r>
      <w:r w:rsidR="00214415" w:rsidRPr="002F57E1">
        <w:rPr>
          <w:lang w:val="fr-FR"/>
        </w:rPr>
        <w:t>Europ</w:t>
      </w:r>
      <w:r w:rsidRPr="002F57E1">
        <w:rPr>
          <w:lang w:val="fr-FR"/>
        </w:rPr>
        <w:t>ée</w:t>
      </w:r>
      <w:r w:rsidR="00214415" w:rsidRPr="002F57E1">
        <w:rPr>
          <w:lang w:val="fr-FR"/>
        </w:rPr>
        <w:t xml:space="preserve">ns </w:t>
      </w:r>
      <w:r w:rsidRPr="002F57E1">
        <w:rPr>
          <w:lang w:val="fr-FR"/>
        </w:rPr>
        <w:t xml:space="preserve">ont </w:t>
      </w:r>
      <w:r w:rsidR="004223BC">
        <w:rPr>
          <w:lang w:val="fr-FR"/>
        </w:rPr>
        <w:t>expérimenté</w:t>
      </w:r>
      <w:r w:rsidR="004223BC" w:rsidRPr="002F57E1">
        <w:rPr>
          <w:lang w:val="fr-FR"/>
        </w:rPr>
        <w:t xml:space="preserve"> </w:t>
      </w:r>
      <w:r w:rsidRPr="002F57E1">
        <w:rPr>
          <w:lang w:val="fr-FR"/>
        </w:rPr>
        <w:t>le</w:t>
      </w:r>
      <w:r w:rsidR="00214415" w:rsidRPr="002F57E1">
        <w:rPr>
          <w:lang w:val="fr-FR"/>
        </w:rPr>
        <w:t xml:space="preserve"> cannabis</w:t>
      </w:r>
      <w:r w:rsidR="00157767" w:rsidRPr="002F57E1">
        <w:rPr>
          <w:lang w:val="fr-FR"/>
        </w:rPr>
        <w:t>;</w:t>
      </w:r>
      <w:r w:rsidRPr="002F57E1">
        <w:rPr>
          <w:lang w:val="fr-FR"/>
        </w:rPr>
        <w:t xml:space="preserve"> 18,</w:t>
      </w:r>
      <w:r w:rsidR="00214415" w:rsidRPr="002F57E1">
        <w:rPr>
          <w:lang w:val="fr-FR"/>
        </w:rPr>
        <w:t>1</w:t>
      </w:r>
      <w:r w:rsidR="00677D6B" w:rsidRPr="002F57E1">
        <w:rPr>
          <w:lang w:val="fr-FR"/>
        </w:rPr>
        <w:t> </w:t>
      </w:r>
      <w:r w:rsidR="00214415" w:rsidRPr="002F57E1">
        <w:rPr>
          <w:lang w:val="fr-FR"/>
        </w:rPr>
        <w:t>million</w:t>
      </w:r>
      <w:r w:rsidRPr="002F57E1">
        <w:rPr>
          <w:lang w:val="fr-FR"/>
        </w:rPr>
        <w:t>s</w:t>
      </w:r>
      <w:r w:rsidR="000A448F">
        <w:rPr>
          <w:lang w:val="fr-FR"/>
        </w:rPr>
        <w:t xml:space="preserve"> </w:t>
      </w:r>
      <w:r w:rsidR="00C74DE1" w:rsidRPr="002F57E1">
        <w:rPr>
          <w:lang w:val="fr-FR"/>
        </w:rPr>
        <w:t xml:space="preserve">en ont consommé </w:t>
      </w:r>
      <w:r w:rsidRPr="002F57E1">
        <w:rPr>
          <w:lang w:val="fr-FR"/>
        </w:rPr>
        <w:t>au cours de l’année écoulée</w:t>
      </w:r>
      <w:r w:rsidR="00382D15" w:rsidRPr="002F57E1">
        <w:rPr>
          <w:lang w:val="fr-FR"/>
        </w:rPr>
        <w:t>. On estime à 14,</w:t>
      </w:r>
      <w:r w:rsidR="00214415" w:rsidRPr="002F57E1">
        <w:rPr>
          <w:lang w:val="fr-FR"/>
        </w:rPr>
        <w:t>6</w:t>
      </w:r>
      <w:r w:rsidR="00677D6B" w:rsidRPr="002F57E1">
        <w:rPr>
          <w:lang w:val="fr-FR"/>
        </w:rPr>
        <w:t> </w:t>
      </w:r>
      <w:r w:rsidR="00214415" w:rsidRPr="002F57E1">
        <w:rPr>
          <w:lang w:val="fr-FR"/>
        </w:rPr>
        <w:t>million</w:t>
      </w:r>
      <w:r w:rsidR="00382D15" w:rsidRPr="002F57E1">
        <w:rPr>
          <w:lang w:val="fr-FR"/>
        </w:rPr>
        <w:t>s</w:t>
      </w:r>
      <w:r w:rsidR="000A448F">
        <w:rPr>
          <w:lang w:val="fr-FR"/>
        </w:rPr>
        <w:t xml:space="preserve"> </w:t>
      </w:r>
      <w:r w:rsidR="00382D15" w:rsidRPr="002F57E1">
        <w:rPr>
          <w:lang w:val="fr-FR"/>
        </w:rPr>
        <w:t>le nombre de</w:t>
      </w:r>
      <w:r w:rsidR="004223BC">
        <w:rPr>
          <w:lang w:val="fr-FR"/>
        </w:rPr>
        <w:t>s</w:t>
      </w:r>
      <w:r w:rsidR="00382D15" w:rsidRPr="002F57E1">
        <w:rPr>
          <w:lang w:val="fr-FR"/>
        </w:rPr>
        <w:t xml:space="preserve"> 15</w:t>
      </w:r>
      <w:r w:rsidR="004223BC">
        <w:rPr>
          <w:lang w:val="fr-FR"/>
        </w:rPr>
        <w:t>-</w:t>
      </w:r>
      <w:r w:rsidR="00214415" w:rsidRPr="002F57E1">
        <w:rPr>
          <w:lang w:val="fr-FR"/>
        </w:rPr>
        <w:t>34</w:t>
      </w:r>
      <w:r w:rsidR="00677D6B" w:rsidRPr="002F57E1">
        <w:rPr>
          <w:lang w:val="fr-FR"/>
        </w:rPr>
        <w:t> </w:t>
      </w:r>
      <w:r w:rsidR="00382D15" w:rsidRPr="002F57E1">
        <w:rPr>
          <w:lang w:val="fr-FR"/>
        </w:rPr>
        <w:t>ans</w:t>
      </w:r>
      <w:r w:rsidR="000A448F">
        <w:rPr>
          <w:lang w:val="fr-FR"/>
        </w:rPr>
        <w:t xml:space="preserve"> </w:t>
      </w:r>
      <w:r w:rsidR="00677D6B" w:rsidRPr="002F57E1">
        <w:rPr>
          <w:lang w:val="fr-FR"/>
        </w:rPr>
        <w:t xml:space="preserve">qui </w:t>
      </w:r>
      <w:r w:rsidR="005A3992">
        <w:rPr>
          <w:lang w:val="fr-FR"/>
        </w:rPr>
        <w:t>en ont</w:t>
      </w:r>
      <w:r w:rsidR="00382D15" w:rsidRPr="002F57E1">
        <w:rPr>
          <w:lang w:val="fr-FR"/>
        </w:rPr>
        <w:t xml:space="preserve"> consommé au cours de l’année passée</w:t>
      </w:r>
      <w:r w:rsidR="00214415" w:rsidRPr="002F57E1">
        <w:rPr>
          <w:lang w:val="fr-FR"/>
        </w:rPr>
        <w:t xml:space="preserve">. </w:t>
      </w:r>
      <w:r w:rsidR="005A3992">
        <w:rPr>
          <w:lang w:val="fr-FR"/>
        </w:rPr>
        <w:t>L’usage de</w:t>
      </w:r>
      <w:r w:rsidR="005A3992" w:rsidRPr="002F57E1">
        <w:rPr>
          <w:lang w:val="fr-FR"/>
        </w:rPr>
        <w:t xml:space="preserve"> </w:t>
      </w:r>
      <w:r w:rsidR="00382D15" w:rsidRPr="002F57E1">
        <w:rPr>
          <w:lang w:val="fr-FR"/>
        </w:rPr>
        <w:t>c</w:t>
      </w:r>
      <w:r w:rsidR="00214415" w:rsidRPr="002F57E1">
        <w:rPr>
          <w:lang w:val="fr-FR"/>
        </w:rPr>
        <w:t xml:space="preserve">annabis </w:t>
      </w:r>
      <w:r w:rsidR="00382D15" w:rsidRPr="002F57E1">
        <w:rPr>
          <w:lang w:val="fr-FR"/>
        </w:rPr>
        <w:t>e</w:t>
      </w:r>
      <w:r w:rsidR="00214415" w:rsidRPr="002F57E1">
        <w:rPr>
          <w:lang w:val="fr-FR"/>
        </w:rPr>
        <w:t xml:space="preserve">n Europe </w:t>
      </w:r>
      <w:r w:rsidR="005A3992">
        <w:rPr>
          <w:lang w:val="fr-FR"/>
        </w:rPr>
        <w:t xml:space="preserve">est </w:t>
      </w:r>
      <w:r w:rsidR="00382D15" w:rsidRPr="002F57E1">
        <w:rPr>
          <w:lang w:val="fr-FR"/>
        </w:rPr>
        <w:t xml:space="preserve">globalement stable ou en </w:t>
      </w:r>
      <w:r w:rsidR="005A3992">
        <w:rPr>
          <w:lang w:val="fr-FR"/>
        </w:rPr>
        <w:t>recul</w:t>
      </w:r>
      <w:r w:rsidR="00214415" w:rsidRPr="002F57E1">
        <w:rPr>
          <w:lang w:val="fr-FR"/>
        </w:rPr>
        <w:t xml:space="preserve">, </w:t>
      </w:r>
      <w:r w:rsidR="00382D15" w:rsidRPr="002F57E1">
        <w:rPr>
          <w:lang w:val="fr-FR"/>
        </w:rPr>
        <w:t xml:space="preserve">notamment </w:t>
      </w:r>
      <w:r w:rsidR="00C74DE1" w:rsidRPr="002F57E1">
        <w:rPr>
          <w:lang w:val="fr-FR"/>
        </w:rPr>
        <w:t>parmi les</w:t>
      </w:r>
      <w:r w:rsidR="00382D15" w:rsidRPr="002F57E1">
        <w:rPr>
          <w:lang w:val="fr-FR"/>
        </w:rPr>
        <w:t xml:space="preserve"> </w:t>
      </w:r>
      <w:r w:rsidR="00994329">
        <w:rPr>
          <w:lang w:val="fr-FR"/>
        </w:rPr>
        <w:t>tranches d’âge</w:t>
      </w:r>
      <w:r w:rsidR="00692431" w:rsidRPr="002F57E1">
        <w:rPr>
          <w:lang w:val="fr-FR"/>
        </w:rPr>
        <w:t xml:space="preserve"> </w:t>
      </w:r>
      <w:r w:rsidR="00257D4E" w:rsidRPr="002F57E1">
        <w:rPr>
          <w:lang w:val="fr-FR"/>
        </w:rPr>
        <w:t>jeunes</w:t>
      </w:r>
      <w:r w:rsidR="00214415" w:rsidRPr="002F57E1">
        <w:rPr>
          <w:lang w:val="fr-FR"/>
        </w:rPr>
        <w:t xml:space="preserve">. </w:t>
      </w:r>
      <w:r w:rsidR="00C74DE1" w:rsidRPr="002F57E1">
        <w:rPr>
          <w:lang w:val="fr-FR"/>
        </w:rPr>
        <w:t>L</w:t>
      </w:r>
      <w:r w:rsidR="00EA5AF5" w:rsidRPr="002F57E1">
        <w:rPr>
          <w:lang w:val="fr-FR"/>
        </w:rPr>
        <w:t>es</w:t>
      </w:r>
      <w:r w:rsidR="00692431" w:rsidRPr="002F57E1">
        <w:rPr>
          <w:lang w:val="fr-FR"/>
        </w:rPr>
        <w:t xml:space="preserve"> tendances n</w:t>
      </w:r>
      <w:r w:rsidR="008216AB" w:rsidRPr="002F57E1">
        <w:rPr>
          <w:lang w:val="fr-FR"/>
        </w:rPr>
        <w:t>ational</w:t>
      </w:r>
      <w:r w:rsidR="00692431" w:rsidRPr="002F57E1">
        <w:rPr>
          <w:lang w:val="fr-FR"/>
        </w:rPr>
        <w:t>e</w:t>
      </w:r>
      <w:r w:rsidR="007E45A9" w:rsidRPr="002F57E1">
        <w:rPr>
          <w:lang w:val="fr-FR"/>
        </w:rPr>
        <w:t xml:space="preserve">s </w:t>
      </w:r>
      <w:r w:rsidR="00C74DE1" w:rsidRPr="002F57E1">
        <w:rPr>
          <w:lang w:val="fr-FR"/>
        </w:rPr>
        <w:t xml:space="preserve">sont cependant plus </w:t>
      </w:r>
      <w:r w:rsidR="00994329">
        <w:rPr>
          <w:lang w:val="fr-FR"/>
        </w:rPr>
        <w:t>contrastées</w:t>
      </w:r>
      <w:r w:rsidR="007E45A9" w:rsidRPr="002F57E1">
        <w:rPr>
          <w:lang w:val="fr-FR"/>
        </w:rPr>
        <w:t xml:space="preserve">, </w:t>
      </w:r>
      <w:r w:rsidR="00C74DE1" w:rsidRPr="002F57E1">
        <w:rPr>
          <w:lang w:val="fr-FR"/>
        </w:rPr>
        <w:t>puisque parmi</w:t>
      </w:r>
      <w:r w:rsidR="00692431" w:rsidRPr="002F57E1">
        <w:rPr>
          <w:lang w:val="fr-FR"/>
        </w:rPr>
        <w:t xml:space="preserve"> les pays </w:t>
      </w:r>
      <w:r w:rsidR="00C74DE1" w:rsidRPr="002F57E1">
        <w:rPr>
          <w:lang w:val="fr-FR"/>
        </w:rPr>
        <w:t xml:space="preserve">ayant réalisé </w:t>
      </w:r>
      <w:r w:rsidR="00692431" w:rsidRPr="002F57E1">
        <w:rPr>
          <w:lang w:val="fr-FR"/>
        </w:rPr>
        <w:t>de nouvelles</w:t>
      </w:r>
      <w:r w:rsidR="00034840">
        <w:rPr>
          <w:lang w:val="fr-FR"/>
        </w:rPr>
        <w:t xml:space="preserve"> enquêtes</w:t>
      </w:r>
      <w:r w:rsidR="00692431" w:rsidRPr="002F57E1">
        <w:rPr>
          <w:lang w:val="fr-FR"/>
        </w:rPr>
        <w:t xml:space="preserve"> depuis 2011</w:t>
      </w:r>
      <w:r w:rsidR="00214415" w:rsidRPr="002F57E1">
        <w:rPr>
          <w:lang w:val="fr-FR"/>
        </w:rPr>
        <w:t xml:space="preserve">, </w:t>
      </w:r>
      <w:r w:rsidR="00692431" w:rsidRPr="002F57E1">
        <w:rPr>
          <w:lang w:val="fr-FR"/>
        </w:rPr>
        <w:t xml:space="preserve">huit ont </w:t>
      </w:r>
      <w:r w:rsidR="00C74DE1" w:rsidRPr="002F57E1">
        <w:rPr>
          <w:lang w:val="fr-FR"/>
        </w:rPr>
        <w:t xml:space="preserve">déclaré une baisse </w:t>
      </w:r>
      <w:r w:rsidR="00692431" w:rsidRPr="002F57E1">
        <w:rPr>
          <w:lang w:val="fr-FR"/>
        </w:rPr>
        <w:t xml:space="preserve">et cinq </w:t>
      </w:r>
      <w:r w:rsidR="00C74DE1" w:rsidRPr="002F57E1">
        <w:rPr>
          <w:lang w:val="fr-FR"/>
        </w:rPr>
        <w:t>une hausse</w:t>
      </w:r>
      <w:r w:rsidR="00692431" w:rsidRPr="002F57E1">
        <w:rPr>
          <w:lang w:val="fr-FR"/>
        </w:rPr>
        <w:t xml:space="preserve"> de </w:t>
      </w:r>
      <w:r w:rsidR="00677D6B" w:rsidRPr="002F57E1">
        <w:rPr>
          <w:lang w:val="fr-FR"/>
        </w:rPr>
        <w:t xml:space="preserve">la </w:t>
      </w:r>
      <w:r w:rsidR="00692431" w:rsidRPr="002F57E1">
        <w:rPr>
          <w:lang w:val="fr-FR"/>
        </w:rPr>
        <w:t>prévalence</w:t>
      </w:r>
      <w:r w:rsidR="00C74DE1" w:rsidRPr="002F57E1">
        <w:rPr>
          <w:lang w:val="fr-FR"/>
        </w:rPr>
        <w:t xml:space="preserve"> au cours de l’année dernière</w:t>
      </w:r>
      <w:r w:rsidR="00214415" w:rsidRPr="002F57E1">
        <w:rPr>
          <w:lang w:val="fr-FR"/>
        </w:rPr>
        <w:t xml:space="preserve"> (</w:t>
      </w:r>
      <w:r w:rsidR="000A448F">
        <w:rPr>
          <w:lang w:val="fr-FR"/>
        </w:rPr>
        <w:t xml:space="preserve">chez les </w:t>
      </w:r>
      <w:r w:rsidR="00692431" w:rsidRPr="002F57E1">
        <w:rPr>
          <w:lang w:val="fr-FR"/>
        </w:rPr>
        <w:t>15</w:t>
      </w:r>
      <w:r w:rsidR="00994329">
        <w:rPr>
          <w:lang w:val="fr-FR"/>
        </w:rPr>
        <w:t>-</w:t>
      </w:r>
      <w:r w:rsidR="00214415" w:rsidRPr="002F57E1">
        <w:rPr>
          <w:lang w:val="fr-FR"/>
        </w:rPr>
        <w:t>34</w:t>
      </w:r>
      <w:r w:rsidR="00677D6B" w:rsidRPr="002F57E1">
        <w:rPr>
          <w:lang w:val="fr-FR"/>
        </w:rPr>
        <w:t> </w:t>
      </w:r>
      <w:r w:rsidR="00692431" w:rsidRPr="002F57E1">
        <w:rPr>
          <w:lang w:val="fr-FR"/>
        </w:rPr>
        <w:t>an</w:t>
      </w:r>
      <w:r w:rsidR="00214415" w:rsidRPr="002F57E1">
        <w:rPr>
          <w:lang w:val="fr-FR"/>
        </w:rPr>
        <w:t>s) (</w:t>
      </w:r>
      <w:r w:rsidR="00F430F4" w:rsidRPr="002F57E1">
        <w:rPr>
          <w:lang w:val="fr-FR"/>
        </w:rPr>
        <w:t>figure</w:t>
      </w:r>
      <w:r w:rsidR="00EE2C3B">
        <w:rPr>
          <w:lang w:val="fr-FR"/>
        </w:rPr>
        <w:t xml:space="preserve"> </w:t>
      </w:r>
      <w:r w:rsidR="009252A3" w:rsidRPr="002F57E1">
        <w:rPr>
          <w:lang w:val="fr-FR"/>
        </w:rPr>
        <w:t>2.1).</w:t>
      </w:r>
    </w:p>
    <w:p w:rsidR="007D697D" w:rsidRDefault="00994329" w:rsidP="003C2E9B">
      <w:pPr>
        <w:pStyle w:val="newsNotes"/>
        <w:rPr>
          <w:lang w:val="fr-FR"/>
        </w:rPr>
      </w:pPr>
      <w:r>
        <w:rPr>
          <w:lang w:val="fr-FR"/>
        </w:rPr>
        <w:t>E</w:t>
      </w:r>
      <w:r w:rsidRPr="002F57E1">
        <w:rPr>
          <w:lang w:val="fr-FR"/>
        </w:rPr>
        <w:t>n matière de santé publique</w:t>
      </w:r>
      <w:r w:rsidR="008A6E4D">
        <w:rPr>
          <w:lang w:val="fr-FR"/>
        </w:rPr>
        <w:t>,</w:t>
      </w:r>
      <w:r w:rsidRPr="002F57E1">
        <w:rPr>
          <w:lang w:val="fr-FR"/>
        </w:rPr>
        <w:t xml:space="preserve"> </w:t>
      </w:r>
      <w:r>
        <w:rPr>
          <w:lang w:val="fr-FR"/>
        </w:rPr>
        <w:t>l</w:t>
      </w:r>
      <w:r w:rsidR="001150E2" w:rsidRPr="002F57E1">
        <w:rPr>
          <w:lang w:val="fr-FR"/>
        </w:rPr>
        <w:t xml:space="preserve">es préoccupations les plus </w:t>
      </w:r>
      <w:r>
        <w:rPr>
          <w:lang w:val="fr-FR"/>
        </w:rPr>
        <w:t>fortes</w:t>
      </w:r>
      <w:r w:rsidR="00FE525D" w:rsidRPr="002F57E1">
        <w:rPr>
          <w:lang w:val="fr-FR"/>
        </w:rPr>
        <w:t xml:space="preserve"> </w:t>
      </w:r>
      <w:r>
        <w:rPr>
          <w:lang w:val="fr-FR"/>
        </w:rPr>
        <w:t xml:space="preserve">concernent les usagers quotidiens ou quasi-quotidiens de </w:t>
      </w:r>
      <w:r w:rsidR="009252A3" w:rsidRPr="002F57E1">
        <w:rPr>
          <w:lang w:val="fr-FR"/>
        </w:rPr>
        <w:t xml:space="preserve">cette drogue </w:t>
      </w:r>
      <w:r w:rsidR="00214415" w:rsidRPr="002F57E1">
        <w:rPr>
          <w:lang w:val="fr-FR"/>
        </w:rPr>
        <w:t>(</w:t>
      </w:r>
      <w:r w:rsidR="009252A3" w:rsidRPr="002F57E1">
        <w:rPr>
          <w:lang w:val="fr-FR"/>
        </w:rPr>
        <w:t>environ</w:t>
      </w:r>
      <w:r w:rsidR="00214415" w:rsidRPr="002F57E1">
        <w:rPr>
          <w:lang w:val="fr-FR"/>
        </w:rPr>
        <w:t xml:space="preserve"> 1</w:t>
      </w:r>
      <w:r w:rsidR="009252A3" w:rsidRPr="002F57E1">
        <w:rPr>
          <w:lang w:val="fr-FR"/>
        </w:rPr>
        <w:t> </w:t>
      </w:r>
      <w:r w:rsidR="00214415" w:rsidRPr="002F57E1">
        <w:rPr>
          <w:lang w:val="fr-FR"/>
        </w:rPr>
        <w:t xml:space="preserve">% </w:t>
      </w:r>
      <w:r w:rsidR="009252A3" w:rsidRPr="002F57E1">
        <w:rPr>
          <w:lang w:val="fr-FR"/>
        </w:rPr>
        <w:t>des 15</w:t>
      </w:r>
      <w:r>
        <w:rPr>
          <w:lang w:val="fr-FR"/>
        </w:rPr>
        <w:t>-</w:t>
      </w:r>
      <w:r w:rsidR="009252A3" w:rsidRPr="002F57E1">
        <w:rPr>
          <w:lang w:val="fr-FR"/>
        </w:rPr>
        <w:t>64</w:t>
      </w:r>
      <w:r w:rsidR="00C74DE1" w:rsidRPr="002F57E1">
        <w:rPr>
          <w:lang w:val="fr-FR"/>
        </w:rPr>
        <w:t> </w:t>
      </w:r>
      <w:r w:rsidR="009252A3" w:rsidRPr="002F57E1">
        <w:rPr>
          <w:lang w:val="fr-FR"/>
        </w:rPr>
        <w:t>ans). E</w:t>
      </w:r>
      <w:r w:rsidR="00214415" w:rsidRPr="002F57E1">
        <w:rPr>
          <w:lang w:val="fr-FR"/>
        </w:rPr>
        <w:t xml:space="preserve">n 2012, </w:t>
      </w:r>
      <w:r w:rsidR="009252A3" w:rsidRPr="002F57E1">
        <w:rPr>
          <w:lang w:val="fr-FR"/>
        </w:rPr>
        <w:t xml:space="preserve">le </w:t>
      </w:r>
      <w:r w:rsidR="00214415" w:rsidRPr="002F57E1">
        <w:rPr>
          <w:lang w:val="fr-FR"/>
        </w:rPr>
        <w:t xml:space="preserve">cannabis </w:t>
      </w:r>
      <w:r w:rsidR="009252A3" w:rsidRPr="002F57E1">
        <w:rPr>
          <w:lang w:val="fr-FR"/>
        </w:rPr>
        <w:t>était</w:t>
      </w:r>
      <w:r w:rsidR="000A448F">
        <w:rPr>
          <w:lang w:val="fr-FR"/>
        </w:rPr>
        <w:t xml:space="preserve"> </w:t>
      </w:r>
      <w:r w:rsidR="009252A3" w:rsidRPr="002F57E1">
        <w:rPr>
          <w:lang w:val="fr-FR"/>
        </w:rPr>
        <w:t xml:space="preserve">la drogue la plus fréquemment </w:t>
      </w:r>
      <w:r>
        <w:rPr>
          <w:lang w:val="fr-FR"/>
        </w:rPr>
        <w:t>concernée chez</w:t>
      </w:r>
      <w:r w:rsidR="007D2D85" w:rsidRPr="002F57E1">
        <w:rPr>
          <w:lang w:val="fr-FR"/>
        </w:rPr>
        <w:t xml:space="preserve"> les usager</w:t>
      </w:r>
      <w:r w:rsidR="00CB1C76" w:rsidRPr="002F57E1">
        <w:rPr>
          <w:lang w:val="fr-FR"/>
        </w:rPr>
        <w:t>s</w:t>
      </w:r>
      <w:r w:rsidR="007D2D85" w:rsidRPr="002F57E1">
        <w:rPr>
          <w:lang w:val="fr-FR"/>
        </w:rPr>
        <w:t xml:space="preserve"> </w:t>
      </w:r>
      <w:r w:rsidR="00CB1C76" w:rsidRPr="002F57E1">
        <w:rPr>
          <w:lang w:val="fr-FR"/>
        </w:rPr>
        <w:t>entam</w:t>
      </w:r>
      <w:r>
        <w:rPr>
          <w:lang w:val="fr-FR"/>
        </w:rPr>
        <w:t>ant</w:t>
      </w:r>
      <w:r w:rsidR="00CB1C76" w:rsidRPr="002F57E1">
        <w:rPr>
          <w:lang w:val="fr-FR"/>
        </w:rPr>
        <w:t xml:space="preserve"> </w:t>
      </w:r>
      <w:r w:rsidR="007D2D85" w:rsidRPr="002F57E1">
        <w:rPr>
          <w:lang w:val="fr-FR"/>
        </w:rPr>
        <w:t>un</w:t>
      </w:r>
      <w:r w:rsidR="000A448F">
        <w:rPr>
          <w:lang w:val="fr-FR"/>
        </w:rPr>
        <w:t xml:space="preserve"> </w:t>
      </w:r>
      <w:r w:rsidR="009252A3" w:rsidRPr="002F57E1">
        <w:rPr>
          <w:lang w:val="fr-FR"/>
        </w:rPr>
        <w:t>traitement</w:t>
      </w:r>
      <w:r w:rsidR="0036351A" w:rsidRPr="002F57E1">
        <w:rPr>
          <w:lang w:val="fr-FR"/>
        </w:rPr>
        <w:t xml:space="preserve">. </w:t>
      </w:r>
      <w:r w:rsidR="003470DE" w:rsidRPr="002F57E1">
        <w:rPr>
          <w:lang w:val="fr-FR"/>
        </w:rPr>
        <w:t>«</w:t>
      </w:r>
      <w:r w:rsidR="00D0011E" w:rsidRPr="002F57E1">
        <w:rPr>
          <w:lang w:val="fr-FR"/>
        </w:rPr>
        <w:t> </w:t>
      </w:r>
      <w:r>
        <w:rPr>
          <w:lang w:val="fr-FR"/>
        </w:rPr>
        <w:t>L</w:t>
      </w:r>
      <w:r w:rsidR="00151B15" w:rsidRPr="002F57E1">
        <w:rPr>
          <w:lang w:val="fr-FR"/>
        </w:rPr>
        <w:t>e manque</w:t>
      </w:r>
      <w:r w:rsidR="000A448F">
        <w:rPr>
          <w:lang w:val="fr-FR"/>
        </w:rPr>
        <w:t xml:space="preserve"> </w:t>
      </w:r>
      <w:r w:rsidR="00151B15" w:rsidRPr="002F57E1">
        <w:rPr>
          <w:lang w:val="fr-FR"/>
        </w:rPr>
        <w:t>de</w:t>
      </w:r>
      <w:r w:rsidR="009335D1" w:rsidRPr="002F57E1">
        <w:rPr>
          <w:lang w:val="fr-FR"/>
        </w:rPr>
        <w:t xml:space="preserve"> suivi </w:t>
      </w:r>
      <w:r w:rsidR="0036351A" w:rsidRPr="002F57E1">
        <w:rPr>
          <w:lang w:val="fr-FR"/>
        </w:rPr>
        <w:t xml:space="preserve">systématique dans le domaine des urgences </w:t>
      </w:r>
      <w:r w:rsidR="00151B15" w:rsidRPr="002F57E1">
        <w:rPr>
          <w:lang w:val="fr-FR"/>
        </w:rPr>
        <w:t>sanitaires</w:t>
      </w:r>
      <w:r w:rsidR="0036351A" w:rsidRPr="002F57E1">
        <w:rPr>
          <w:lang w:val="fr-FR"/>
        </w:rPr>
        <w:t xml:space="preserve"> liées </w:t>
      </w:r>
      <w:r>
        <w:rPr>
          <w:lang w:val="fr-FR"/>
        </w:rPr>
        <w:t>aux</w:t>
      </w:r>
      <w:r w:rsidR="00151B15" w:rsidRPr="002F57E1">
        <w:rPr>
          <w:lang w:val="fr-FR"/>
        </w:rPr>
        <w:t xml:space="preserve"> </w:t>
      </w:r>
      <w:r w:rsidR="0036351A" w:rsidRPr="002F57E1">
        <w:rPr>
          <w:lang w:val="fr-FR"/>
        </w:rPr>
        <w:t>drogue</w:t>
      </w:r>
      <w:r>
        <w:rPr>
          <w:lang w:val="fr-FR"/>
        </w:rPr>
        <w:t>s</w:t>
      </w:r>
      <w:r w:rsidR="000A448F">
        <w:rPr>
          <w:lang w:val="fr-FR"/>
        </w:rPr>
        <w:t xml:space="preserve"> </w:t>
      </w:r>
      <w:r w:rsidR="00151B15" w:rsidRPr="002F57E1">
        <w:rPr>
          <w:lang w:val="fr-FR"/>
        </w:rPr>
        <w:t>représente une lacune dans</w:t>
      </w:r>
      <w:r w:rsidR="00784E69" w:rsidRPr="002F57E1">
        <w:rPr>
          <w:lang w:val="fr-FR"/>
        </w:rPr>
        <w:t xml:space="preserve"> la surveillance européenne des </w:t>
      </w:r>
      <w:r w:rsidR="00151B15" w:rsidRPr="002F57E1">
        <w:rPr>
          <w:lang w:val="fr-FR"/>
        </w:rPr>
        <w:t>menaces émergentes pour la santé</w:t>
      </w:r>
      <w:r w:rsidR="00D0011E" w:rsidRPr="002F57E1">
        <w:rPr>
          <w:lang w:val="fr-FR"/>
        </w:rPr>
        <w:t> </w:t>
      </w:r>
      <w:r w:rsidR="003470DE" w:rsidRPr="002F57E1">
        <w:rPr>
          <w:lang w:val="fr-FR"/>
        </w:rPr>
        <w:t>»</w:t>
      </w:r>
      <w:r w:rsidR="002A77E6">
        <w:rPr>
          <w:lang w:val="fr-FR"/>
        </w:rPr>
        <w:t xml:space="preserve"> </w:t>
      </w:r>
      <w:r>
        <w:rPr>
          <w:lang w:val="fr-FR"/>
        </w:rPr>
        <w:t xml:space="preserve">explique </w:t>
      </w:r>
      <w:r w:rsidRPr="002F57E1">
        <w:rPr>
          <w:lang w:val="fr-FR"/>
        </w:rPr>
        <w:t>l’</w:t>
      </w:r>
      <w:r w:rsidRPr="002F57E1">
        <w:rPr>
          <w:b/>
          <w:lang w:val="fr-FR"/>
        </w:rPr>
        <w:t>EMCDDA</w:t>
      </w:r>
      <w:r w:rsidRPr="005B7104">
        <w:rPr>
          <w:lang w:val="fr-FR"/>
        </w:rPr>
        <w:t>.</w:t>
      </w:r>
      <w:r w:rsidRPr="002F57E1">
        <w:rPr>
          <w:lang w:val="fr-FR"/>
        </w:rPr>
        <w:t xml:space="preserve"> </w:t>
      </w:r>
      <w:r w:rsidR="002B3EA5" w:rsidRPr="002F57E1">
        <w:rPr>
          <w:lang w:val="fr-FR"/>
        </w:rPr>
        <w:t>Le</w:t>
      </w:r>
      <w:r w:rsidR="00D85C81" w:rsidRPr="002F57E1">
        <w:rPr>
          <w:lang w:val="fr-FR"/>
        </w:rPr>
        <w:t>s rares</w:t>
      </w:r>
      <w:r w:rsidR="000A448F">
        <w:rPr>
          <w:lang w:val="fr-FR"/>
        </w:rPr>
        <w:t xml:space="preserve"> </w:t>
      </w:r>
      <w:r w:rsidR="002C0094" w:rsidRPr="002F57E1">
        <w:rPr>
          <w:lang w:val="fr-FR"/>
        </w:rPr>
        <w:t>données disponibles</w:t>
      </w:r>
      <w:r w:rsidR="002B3EA5" w:rsidRPr="002F57E1">
        <w:rPr>
          <w:lang w:val="fr-FR"/>
        </w:rPr>
        <w:t xml:space="preserve"> indique</w:t>
      </w:r>
      <w:r w:rsidR="00D85C81" w:rsidRPr="002F57E1">
        <w:rPr>
          <w:lang w:val="fr-FR"/>
        </w:rPr>
        <w:t>nt</w:t>
      </w:r>
      <w:r w:rsidR="002B3EA5" w:rsidRPr="002F57E1">
        <w:rPr>
          <w:lang w:val="fr-FR"/>
        </w:rPr>
        <w:t xml:space="preserve"> que </w:t>
      </w:r>
      <w:r w:rsidR="002C0094" w:rsidRPr="002F57E1">
        <w:rPr>
          <w:lang w:val="fr-FR"/>
        </w:rPr>
        <w:t xml:space="preserve">les urgences médicales liées </w:t>
      </w:r>
      <w:r w:rsidR="002B3EA5" w:rsidRPr="002F57E1">
        <w:rPr>
          <w:lang w:val="fr-FR"/>
        </w:rPr>
        <w:t>à l’usage de</w:t>
      </w:r>
      <w:r w:rsidR="000A448F">
        <w:rPr>
          <w:lang w:val="fr-FR"/>
        </w:rPr>
        <w:t xml:space="preserve"> </w:t>
      </w:r>
      <w:r w:rsidR="00214415" w:rsidRPr="002F57E1">
        <w:rPr>
          <w:lang w:val="fr-FR"/>
        </w:rPr>
        <w:t xml:space="preserve">cannabis </w:t>
      </w:r>
      <w:r w:rsidR="002C0094" w:rsidRPr="002F57E1">
        <w:rPr>
          <w:lang w:val="fr-FR"/>
        </w:rPr>
        <w:t xml:space="preserve">semblent </w:t>
      </w:r>
      <w:r w:rsidR="009335D1" w:rsidRPr="002F57E1">
        <w:rPr>
          <w:lang w:val="fr-FR"/>
        </w:rPr>
        <w:t xml:space="preserve">être </w:t>
      </w:r>
      <w:r w:rsidR="002C0094" w:rsidRPr="002F57E1">
        <w:rPr>
          <w:lang w:val="fr-FR"/>
        </w:rPr>
        <w:t>un problème croissant dans</w:t>
      </w:r>
      <w:r w:rsidR="000A448F">
        <w:rPr>
          <w:lang w:val="fr-FR"/>
        </w:rPr>
        <w:t xml:space="preserve"> </w:t>
      </w:r>
      <w:r w:rsidR="002C0094" w:rsidRPr="002F57E1">
        <w:rPr>
          <w:lang w:val="fr-FR"/>
        </w:rPr>
        <w:t xml:space="preserve">certains pays à </w:t>
      </w:r>
      <w:r w:rsidR="00904FB1" w:rsidRPr="002F57E1">
        <w:rPr>
          <w:lang w:val="fr-FR"/>
        </w:rPr>
        <w:t>forte pré</w:t>
      </w:r>
      <w:r w:rsidR="00214415" w:rsidRPr="002F57E1">
        <w:rPr>
          <w:lang w:val="fr-FR"/>
        </w:rPr>
        <w:t>valence.</w:t>
      </w:r>
      <w:r w:rsidR="000A448F">
        <w:rPr>
          <w:lang w:val="fr-FR"/>
        </w:rPr>
        <w:t xml:space="preserve"> </w:t>
      </w:r>
    </w:p>
    <w:p w:rsidR="008216AB" w:rsidRPr="002F57E1" w:rsidRDefault="003470DE" w:rsidP="003C2E9B">
      <w:pPr>
        <w:pStyle w:val="newsNotes"/>
        <w:rPr>
          <w:lang w:val="fr-FR"/>
        </w:rPr>
      </w:pPr>
      <w:r w:rsidRPr="002F57E1">
        <w:rPr>
          <w:lang w:val="fr-FR"/>
        </w:rPr>
        <w:t>«</w:t>
      </w:r>
      <w:r w:rsidR="00D0011E" w:rsidRPr="002F57E1">
        <w:rPr>
          <w:lang w:val="fr-FR"/>
        </w:rPr>
        <w:t> </w:t>
      </w:r>
      <w:r w:rsidR="00346950" w:rsidRPr="002F57E1">
        <w:rPr>
          <w:lang w:val="fr-FR"/>
        </w:rPr>
        <w:t xml:space="preserve">Je suis fier </w:t>
      </w:r>
      <w:r w:rsidR="00994329">
        <w:rPr>
          <w:lang w:val="fr-FR"/>
        </w:rPr>
        <w:t xml:space="preserve">des éclairages apportés par </w:t>
      </w:r>
      <w:r w:rsidR="007D2D85" w:rsidRPr="002F57E1">
        <w:rPr>
          <w:lang w:val="fr-FR"/>
        </w:rPr>
        <w:t>ce rapport</w:t>
      </w:r>
      <w:r w:rsidR="00D0011E">
        <w:rPr>
          <w:lang w:val="fr-FR"/>
        </w:rPr>
        <w:t>,</w:t>
      </w:r>
      <w:r w:rsidR="007D2D85" w:rsidRPr="002F57E1">
        <w:rPr>
          <w:lang w:val="fr-FR"/>
        </w:rPr>
        <w:t xml:space="preserve"> </w:t>
      </w:r>
      <w:r w:rsidR="00631FFD">
        <w:rPr>
          <w:lang w:val="fr-FR"/>
        </w:rPr>
        <w:t xml:space="preserve">tant sur </w:t>
      </w:r>
      <w:r w:rsidR="007D2D85" w:rsidRPr="002F57E1">
        <w:rPr>
          <w:lang w:val="fr-FR"/>
        </w:rPr>
        <w:t xml:space="preserve">les </w:t>
      </w:r>
      <w:r w:rsidR="00CE6C91" w:rsidRPr="002F57E1">
        <w:rPr>
          <w:lang w:val="fr-FR"/>
        </w:rPr>
        <w:t xml:space="preserve">problèmes </w:t>
      </w:r>
      <w:r w:rsidR="00631FFD">
        <w:rPr>
          <w:lang w:val="fr-FR"/>
        </w:rPr>
        <w:t>déjà connus que sur</w:t>
      </w:r>
      <w:r w:rsidR="00CE6C91" w:rsidRPr="002F57E1">
        <w:rPr>
          <w:lang w:val="fr-FR"/>
        </w:rPr>
        <w:t xml:space="preserve"> </w:t>
      </w:r>
      <w:r w:rsidR="00791A20" w:rsidRPr="002F57E1">
        <w:rPr>
          <w:lang w:val="fr-FR"/>
        </w:rPr>
        <w:t xml:space="preserve">les nouvelles </w:t>
      </w:r>
      <w:r w:rsidR="00CE6C91" w:rsidRPr="002F57E1">
        <w:rPr>
          <w:lang w:val="fr-FR"/>
        </w:rPr>
        <w:t>menaces</w:t>
      </w:r>
      <w:r w:rsidR="003C2E9B" w:rsidRPr="002F57E1">
        <w:rPr>
          <w:lang w:val="fr-FR"/>
        </w:rPr>
        <w:t>.</w:t>
      </w:r>
      <w:r w:rsidR="00631FFD">
        <w:rPr>
          <w:lang w:val="fr-FR"/>
        </w:rPr>
        <w:t> »</w:t>
      </w:r>
      <w:r w:rsidR="00631FFD" w:rsidRPr="00631FFD">
        <w:rPr>
          <w:lang w:val="fr-FR"/>
        </w:rPr>
        <w:t xml:space="preserve"> </w:t>
      </w:r>
      <w:r w:rsidR="00631FFD" w:rsidRPr="002F57E1">
        <w:rPr>
          <w:lang w:val="fr-FR"/>
        </w:rPr>
        <w:t>conclu</w:t>
      </w:r>
      <w:r w:rsidR="00631FFD">
        <w:rPr>
          <w:lang w:val="fr-FR"/>
        </w:rPr>
        <w:t>t</w:t>
      </w:r>
      <w:r w:rsidR="003C2E9B" w:rsidRPr="002F57E1">
        <w:rPr>
          <w:lang w:val="fr-FR"/>
        </w:rPr>
        <w:t xml:space="preserve"> </w:t>
      </w:r>
      <w:r w:rsidR="00631FFD" w:rsidRPr="002F57E1">
        <w:rPr>
          <w:b/>
          <w:lang w:val="fr-FR"/>
        </w:rPr>
        <w:t>Wolfgang Götz</w:t>
      </w:r>
      <w:r w:rsidR="00631FFD" w:rsidRPr="002F57E1">
        <w:rPr>
          <w:lang w:val="fr-FR"/>
        </w:rPr>
        <w:t>,</w:t>
      </w:r>
      <w:r w:rsidR="00631FFD" w:rsidRPr="00631FFD">
        <w:rPr>
          <w:b/>
          <w:lang w:val="fr-FR"/>
        </w:rPr>
        <w:t xml:space="preserve"> </w:t>
      </w:r>
      <w:r w:rsidR="00631FFD" w:rsidRPr="002F57E1">
        <w:rPr>
          <w:b/>
          <w:lang w:val="fr-FR"/>
        </w:rPr>
        <w:t>directeur de l’EMCDDA</w:t>
      </w:r>
      <w:r w:rsidR="00631FFD">
        <w:rPr>
          <w:lang w:val="fr-FR"/>
        </w:rPr>
        <w:t>. « </w:t>
      </w:r>
      <w:r w:rsidR="007922B0" w:rsidRPr="002F57E1">
        <w:rPr>
          <w:lang w:val="fr-FR"/>
        </w:rPr>
        <w:t xml:space="preserve">Des </w:t>
      </w:r>
      <w:r w:rsidR="003C2E9B" w:rsidRPr="002F57E1">
        <w:rPr>
          <w:lang w:val="fr-FR"/>
        </w:rPr>
        <w:t>information</w:t>
      </w:r>
      <w:r w:rsidR="001C6472" w:rsidRPr="002F57E1">
        <w:rPr>
          <w:lang w:val="fr-FR"/>
        </w:rPr>
        <w:t xml:space="preserve">s </w:t>
      </w:r>
      <w:r w:rsidR="00791A20" w:rsidRPr="002F57E1">
        <w:rPr>
          <w:lang w:val="fr-FR"/>
        </w:rPr>
        <w:t>fiables sont essentielles pour permettre aux instances</w:t>
      </w:r>
      <w:r w:rsidR="007922B0" w:rsidRPr="002F57E1">
        <w:rPr>
          <w:lang w:val="fr-FR"/>
        </w:rPr>
        <w:t xml:space="preserve"> européenne</w:t>
      </w:r>
      <w:r w:rsidR="00791A20" w:rsidRPr="002F57E1">
        <w:rPr>
          <w:lang w:val="fr-FR"/>
        </w:rPr>
        <w:t xml:space="preserve">s </w:t>
      </w:r>
      <w:r w:rsidR="00113B90" w:rsidRPr="002F57E1">
        <w:rPr>
          <w:lang w:val="fr-FR"/>
        </w:rPr>
        <w:t>de répondre</w:t>
      </w:r>
      <w:r w:rsidR="007922B0" w:rsidRPr="002F57E1">
        <w:rPr>
          <w:lang w:val="fr-FR"/>
        </w:rPr>
        <w:t xml:space="preserve"> </w:t>
      </w:r>
      <w:r w:rsidR="00631FFD">
        <w:rPr>
          <w:lang w:val="fr-FR"/>
        </w:rPr>
        <w:t xml:space="preserve">à ces </w:t>
      </w:r>
      <w:r w:rsidR="007922B0" w:rsidRPr="002F57E1">
        <w:rPr>
          <w:lang w:val="fr-FR"/>
        </w:rPr>
        <w:t xml:space="preserve">problèmes et </w:t>
      </w:r>
      <w:r w:rsidR="00113B90" w:rsidRPr="002F57E1">
        <w:rPr>
          <w:lang w:val="fr-FR"/>
        </w:rPr>
        <w:t>rendent nos interventions</w:t>
      </w:r>
      <w:r w:rsidR="007922B0" w:rsidRPr="002F57E1">
        <w:rPr>
          <w:lang w:val="fr-FR"/>
        </w:rPr>
        <w:t xml:space="preserve"> plus efficaces</w:t>
      </w:r>
      <w:r w:rsidR="003C2E9B" w:rsidRPr="002F57E1">
        <w:rPr>
          <w:lang w:val="fr-FR"/>
        </w:rPr>
        <w:t xml:space="preserve">. </w:t>
      </w:r>
      <w:r w:rsidR="007922B0" w:rsidRPr="002F57E1">
        <w:rPr>
          <w:lang w:val="fr-FR"/>
        </w:rPr>
        <w:t>Il y a plus de 15</w:t>
      </w:r>
      <w:r w:rsidR="002B3EA5" w:rsidRPr="002F57E1">
        <w:rPr>
          <w:lang w:val="fr-FR"/>
        </w:rPr>
        <w:t> </w:t>
      </w:r>
      <w:r w:rsidR="003C2E9B" w:rsidRPr="002F57E1">
        <w:rPr>
          <w:lang w:val="fr-FR"/>
        </w:rPr>
        <w:t>a</w:t>
      </w:r>
      <w:r w:rsidR="007922B0" w:rsidRPr="002F57E1">
        <w:rPr>
          <w:lang w:val="fr-FR"/>
        </w:rPr>
        <w:t>n</w:t>
      </w:r>
      <w:r w:rsidR="003C2E9B" w:rsidRPr="002F57E1">
        <w:rPr>
          <w:lang w:val="fr-FR"/>
        </w:rPr>
        <w:t xml:space="preserve">s, </w:t>
      </w:r>
      <w:r w:rsidR="009E4681" w:rsidRPr="002F57E1">
        <w:rPr>
          <w:lang w:val="fr-FR"/>
        </w:rPr>
        <w:t xml:space="preserve">les institutions européennes et les États membres </w:t>
      </w:r>
      <w:r w:rsidR="00791A20" w:rsidRPr="002F57E1">
        <w:rPr>
          <w:lang w:val="fr-FR"/>
        </w:rPr>
        <w:t xml:space="preserve">ont fait </w:t>
      </w:r>
      <w:r w:rsidR="009E4681" w:rsidRPr="002F57E1">
        <w:rPr>
          <w:lang w:val="fr-FR"/>
        </w:rPr>
        <w:t>preuve d’un</w:t>
      </w:r>
      <w:r w:rsidR="000A448F">
        <w:rPr>
          <w:lang w:val="fr-FR"/>
        </w:rPr>
        <w:t xml:space="preserve"> </w:t>
      </w:r>
      <w:r w:rsidR="00791A20" w:rsidRPr="002F57E1">
        <w:rPr>
          <w:lang w:val="fr-FR"/>
        </w:rPr>
        <w:t>esprit visionnaire en investissant</w:t>
      </w:r>
      <w:r w:rsidR="009E4681" w:rsidRPr="002F57E1">
        <w:rPr>
          <w:lang w:val="fr-FR"/>
        </w:rPr>
        <w:t xml:space="preserve"> dans un système européen </w:t>
      </w:r>
      <w:r w:rsidR="00C242C1" w:rsidRPr="002F57E1">
        <w:rPr>
          <w:lang w:val="fr-FR"/>
        </w:rPr>
        <w:t>d’alerte</w:t>
      </w:r>
      <w:r w:rsidR="00C242C1">
        <w:rPr>
          <w:lang w:val="fr-FR"/>
        </w:rPr>
        <w:t xml:space="preserve"> précoce</w:t>
      </w:r>
      <w:r w:rsidR="009E4681" w:rsidRPr="002F57E1">
        <w:rPr>
          <w:lang w:val="fr-FR"/>
        </w:rPr>
        <w:t xml:space="preserve"> relatif aux nouvelles substances </w:t>
      </w:r>
      <w:r w:rsidR="002B3EA5" w:rsidRPr="002F57E1">
        <w:rPr>
          <w:lang w:val="fr-FR"/>
        </w:rPr>
        <w:t>psychoactives</w:t>
      </w:r>
      <w:r w:rsidR="00874A35">
        <w:rPr>
          <w:lang w:val="fr-FR"/>
        </w:rPr>
        <w:t xml:space="preserve"> </w:t>
      </w:r>
      <w:r w:rsidR="009E4681" w:rsidRPr="002F57E1">
        <w:rPr>
          <w:lang w:val="fr-FR"/>
        </w:rPr>
        <w:t xml:space="preserve">aujourd’hui </w:t>
      </w:r>
      <w:r w:rsidR="00791A20" w:rsidRPr="002F57E1">
        <w:rPr>
          <w:lang w:val="fr-FR"/>
        </w:rPr>
        <w:t>reconnu à l’échelle internationale</w:t>
      </w:r>
      <w:r w:rsidR="003C2E9B" w:rsidRPr="002F57E1">
        <w:rPr>
          <w:lang w:val="fr-FR"/>
        </w:rPr>
        <w:t xml:space="preserve">. </w:t>
      </w:r>
      <w:r w:rsidR="009E4681" w:rsidRPr="002F57E1">
        <w:rPr>
          <w:lang w:val="fr-FR"/>
        </w:rPr>
        <w:t xml:space="preserve">Je crois que </w:t>
      </w:r>
      <w:r w:rsidR="00962E0D" w:rsidRPr="002F57E1">
        <w:rPr>
          <w:lang w:val="fr-FR"/>
        </w:rPr>
        <w:t xml:space="preserve">ce </w:t>
      </w:r>
      <w:r w:rsidR="009E4681" w:rsidRPr="002F57E1">
        <w:rPr>
          <w:lang w:val="fr-FR"/>
        </w:rPr>
        <w:t>système</w:t>
      </w:r>
      <w:r w:rsidR="000A448F">
        <w:rPr>
          <w:lang w:val="fr-FR"/>
        </w:rPr>
        <w:t xml:space="preserve"> </w:t>
      </w:r>
      <w:r w:rsidR="009E4681" w:rsidRPr="002F57E1">
        <w:rPr>
          <w:lang w:val="fr-FR"/>
        </w:rPr>
        <w:t>(qui</w:t>
      </w:r>
      <w:r w:rsidR="000A448F">
        <w:rPr>
          <w:lang w:val="fr-FR"/>
        </w:rPr>
        <w:t xml:space="preserve"> </w:t>
      </w:r>
      <w:r w:rsidR="00962E0D" w:rsidRPr="002F57E1">
        <w:rPr>
          <w:lang w:val="fr-FR"/>
        </w:rPr>
        <w:t>à de nombreuses reprises, a prouvé son efficacité en matière de partage</w:t>
      </w:r>
      <w:r w:rsidR="009E4681" w:rsidRPr="002F57E1">
        <w:rPr>
          <w:lang w:val="fr-FR"/>
        </w:rPr>
        <w:t xml:space="preserve"> d’information</w:t>
      </w:r>
      <w:r w:rsidR="00962E0D" w:rsidRPr="002F57E1">
        <w:rPr>
          <w:lang w:val="fr-FR"/>
        </w:rPr>
        <w:t>s</w:t>
      </w:r>
      <w:r w:rsidR="009E4681" w:rsidRPr="002F57E1">
        <w:rPr>
          <w:lang w:val="fr-FR"/>
        </w:rPr>
        <w:t xml:space="preserve"> et de réponse rapide aux menaces) peut être </w:t>
      </w:r>
      <w:r w:rsidR="009C0DDA">
        <w:rPr>
          <w:lang w:val="fr-FR"/>
        </w:rPr>
        <w:t>encore</w:t>
      </w:r>
      <w:r w:rsidR="009C0DDA" w:rsidRPr="002F57E1">
        <w:rPr>
          <w:lang w:val="fr-FR"/>
        </w:rPr>
        <w:t xml:space="preserve"> </w:t>
      </w:r>
      <w:r w:rsidR="00962E0D" w:rsidRPr="002F57E1">
        <w:rPr>
          <w:lang w:val="fr-FR"/>
        </w:rPr>
        <w:t>renforcé</w:t>
      </w:r>
      <w:r w:rsidR="00B56ABF" w:rsidRPr="002F57E1">
        <w:rPr>
          <w:lang w:val="fr-FR"/>
        </w:rPr>
        <w:t xml:space="preserve">. </w:t>
      </w:r>
      <w:r w:rsidR="00962E0D" w:rsidRPr="002F57E1">
        <w:rPr>
          <w:lang w:val="fr-FR"/>
        </w:rPr>
        <w:t xml:space="preserve">Je suis cependant vivement </w:t>
      </w:r>
      <w:r w:rsidR="00EA5AF5" w:rsidRPr="002F57E1">
        <w:rPr>
          <w:lang w:val="fr-FR"/>
        </w:rPr>
        <w:t>préoccupé</w:t>
      </w:r>
      <w:r w:rsidR="00962E0D" w:rsidRPr="002F57E1">
        <w:rPr>
          <w:lang w:val="fr-FR"/>
        </w:rPr>
        <w:t xml:space="preserve"> par le fait</w:t>
      </w:r>
      <w:r w:rsidR="009E4681" w:rsidRPr="002F57E1">
        <w:rPr>
          <w:lang w:val="fr-FR"/>
        </w:rPr>
        <w:t xml:space="preserve"> que ce mécanisme </w:t>
      </w:r>
      <w:r w:rsidR="00962E0D" w:rsidRPr="002F57E1">
        <w:rPr>
          <w:lang w:val="fr-FR"/>
        </w:rPr>
        <w:t xml:space="preserve">est </w:t>
      </w:r>
      <w:r w:rsidR="009E4681" w:rsidRPr="002F57E1">
        <w:rPr>
          <w:lang w:val="fr-FR"/>
        </w:rPr>
        <w:t xml:space="preserve">soumis à une pression </w:t>
      </w:r>
      <w:r w:rsidR="00113B90" w:rsidRPr="002F57E1">
        <w:rPr>
          <w:lang w:val="fr-FR"/>
        </w:rPr>
        <w:t xml:space="preserve">accrue </w:t>
      </w:r>
      <w:r w:rsidR="009E4681" w:rsidRPr="002F57E1">
        <w:rPr>
          <w:lang w:val="fr-FR"/>
        </w:rPr>
        <w:t xml:space="preserve">et </w:t>
      </w:r>
      <w:r w:rsidR="00962E0D" w:rsidRPr="002F57E1">
        <w:rPr>
          <w:lang w:val="fr-FR"/>
        </w:rPr>
        <w:t>pourrait être</w:t>
      </w:r>
      <w:r w:rsidR="009E4681" w:rsidRPr="002F57E1">
        <w:rPr>
          <w:lang w:val="fr-FR"/>
        </w:rPr>
        <w:t xml:space="preserve"> menacé </w:t>
      </w:r>
      <w:r w:rsidR="00962E0D" w:rsidRPr="002F57E1">
        <w:rPr>
          <w:lang w:val="fr-FR"/>
        </w:rPr>
        <w:t xml:space="preserve">si ses </w:t>
      </w:r>
      <w:r w:rsidR="002037AE">
        <w:rPr>
          <w:lang w:val="fr-FR"/>
        </w:rPr>
        <w:t>moyens</w:t>
      </w:r>
      <w:r w:rsidR="002037AE" w:rsidRPr="002F57E1">
        <w:rPr>
          <w:lang w:val="fr-FR"/>
        </w:rPr>
        <w:t xml:space="preserve"> </w:t>
      </w:r>
      <w:r w:rsidR="00EA5AF5" w:rsidRPr="002F57E1">
        <w:rPr>
          <w:lang w:val="fr-FR"/>
        </w:rPr>
        <w:t xml:space="preserve">s’avéraient </w:t>
      </w:r>
      <w:r w:rsidR="00962E0D" w:rsidRPr="002F57E1">
        <w:rPr>
          <w:lang w:val="fr-FR"/>
        </w:rPr>
        <w:t>insuffisants</w:t>
      </w:r>
      <w:r w:rsidR="00D93015" w:rsidRPr="002F57E1">
        <w:rPr>
          <w:lang w:val="fr-FR"/>
        </w:rPr>
        <w:t> </w:t>
      </w:r>
      <w:r w:rsidR="009E4681" w:rsidRPr="002F57E1">
        <w:rPr>
          <w:lang w:val="fr-FR"/>
        </w:rPr>
        <w:t>».</w:t>
      </w:r>
    </w:p>
    <w:p w:rsidR="003A195C" w:rsidRPr="002F57E1" w:rsidRDefault="00957153" w:rsidP="003C2E9B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  <w:r w:rsidRPr="002F57E1">
        <w:rPr>
          <w:rFonts w:ascii="Arial" w:hAnsi="Arial" w:cs="Arial"/>
          <w:b/>
          <w:sz w:val="16"/>
          <w:szCs w:val="16"/>
          <w:lang w:val="fr-FR"/>
        </w:rPr>
        <w:t>Notes</w:t>
      </w:r>
    </w:p>
    <w:p w:rsidR="003C2E9B" w:rsidRPr="002F57E1" w:rsidRDefault="003C2E9B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Pr="002F57E1">
        <w:rPr>
          <w:rFonts w:ascii="Arial" w:hAnsi="Arial" w:cs="Arial"/>
          <w:sz w:val="16"/>
          <w:szCs w:val="16"/>
          <w:vertAlign w:val="superscript"/>
          <w:lang w:val="fr-FR"/>
        </w:rPr>
        <w:t>1</w:t>
      </w:r>
      <w:r w:rsidR="00957153" w:rsidRPr="002F57E1">
        <w:rPr>
          <w:rFonts w:ascii="Arial" w:hAnsi="Arial" w:cs="Arial"/>
          <w:sz w:val="16"/>
          <w:szCs w:val="16"/>
          <w:lang w:val="fr-FR"/>
        </w:rPr>
        <w:t>) L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e 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Rapport e</w:t>
      </w:r>
      <w:r w:rsidRPr="002F57E1">
        <w:rPr>
          <w:rFonts w:ascii="Arial" w:hAnsi="Arial" w:cs="Arial"/>
          <w:b/>
          <w:i/>
          <w:sz w:val="16"/>
          <w:szCs w:val="16"/>
          <w:lang w:val="fr-FR"/>
        </w:rPr>
        <w:t>urop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ée</w:t>
      </w:r>
      <w:r w:rsidRPr="002F57E1">
        <w:rPr>
          <w:rFonts w:ascii="Arial" w:hAnsi="Arial" w:cs="Arial"/>
          <w:b/>
          <w:i/>
          <w:sz w:val="16"/>
          <w:szCs w:val="16"/>
          <w:lang w:val="fr-FR"/>
        </w:rPr>
        <w:t xml:space="preserve">n 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sur les drogues</w:t>
      </w:r>
      <w:r w:rsidRPr="002F57E1">
        <w:rPr>
          <w:rFonts w:ascii="Arial" w:hAnsi="Arial" w:cs="Arial"/>
          <w:b/>
          <w:i/>
          <w:sz w:val="16"/>
          <w:szCs w:val="16"/>
          <w:lang w:val="fr-FR"/>
        </w:rPr>
        <w:t xml:space="preserve"> 2014</w:t>
      </w:r>
      <w:r w:rsidR="00157767" w:rsidRPr="002F57E1">
        <w:rPr>
          <w:rFonts w:ascii="Arial" w:hAnsi="Arial" w:cs="Arial"/>
          <w:b/>
          <w:i/>
          <w:sz w:val="16"/>
          <w:szCs w:val="16"/>
          <w:lang w:val="fr-FR"/>
        </w:rPr>
        <w:t>:</w:t>
      </w:r>
      <w:r w:rsidR="00874A35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t</w:t>
      </w:r>
      <w:r w:rsidRPr="002F57E1">
        <w:rPr>
          <w:rFonts w:ascii="Arial" w:hAnsi="Arial" w:cs="Arial"/>
          <w:b/>
          <w:i/>
          <w:sz w:val="16"/>
          <w:szCs w:val="16"/>
          <w:lang w:val="fr-FR"/>
        </w:rPr>
        <w:t>end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ance</w:t>
      </w:r>
      <w:r w:rsidRPr="002F57E1">
        <w:rPr>
          <w:rFonts w:ascii="Arial" w:hAnsi="Arial" w:cs="Arial"/>
          <w:b/>
          <w:i/>
          <w:sz w:val="16"/>
          <w:szCs w:val="16"/>
          <w:lang w:val="fr-FR"/>
        </w:rPr>
        <w:t xml:space="preserve">s 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et</w:t>
      </w:r>
      <w:r w:rsidR="00874A35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r w:rsidR="00957153" w:rsidRPr="002F57E1">
        <w:rPr>
          <w:rFonts w:ascii="Arial" w:hAnsi="Arial" w:cs="Arial"/>
          <w:b/>
          <w:i/>
          <w:sz w:val="16"/>
          <w:szCs w:val="16"/>
          <w:lang w:val="fr-FR"/>
        </w:rPr>
        <w:t>évolution</w:t>
      </w:r>
      <w:r w:rsidRPr="002F57E1">
        <w:rPr>
          <w:rFonts w:ascii="Arial" w:hAnsi="Arial" w:cs="Arial"/>
          <w:b/>
          <w:i/>
          <w:sz w:val="16"/>
          <w:szCs w:val="16"/>
          <w:lang w:val="fr-FR"/>
        </w:rPr>
        <w:t>s</w:t>
      </w:r>
      <w:r w:rsidR="00874A35">
        <w:rPr>
          <w:rFonts w:ascii="Arial" w:hAnsi="Arial" w:cs="Arial"/>
          <w:b/>
          <w:i/>
          <w:sz w:val="16"/>
          <w:szCs w:val="16"/>
          <w:lang w:val="fr-FR"/>
        </w:rPr>
        <w:t xml:space="preserve"> </w:t>
      </w: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="001A7B38" w:rsidRPr="002F57E1">
        <w:rPr>
          <w:rFonts w:ascii="Arial" w:hAnsi="Arial" w:cs="Arial"/>
          <w:sz w:val="16"/>
          <w:szCs w:val="16"/>
          <w:lang w:val="fr-FR"/>
        </w:rPr>
        <w:t>disponible en</w:t>
      </w:r>
      <w:r w:rsidR="00962E0D" w:rsidRPr="002F57E1">
        <w:rPr>
          <w:rFonts w:ascii="Arial" w:hAnsi="Arial" w:cs="Arial"/>
          <w:sz w:val="16"/>
          <w:szCs w:val="16"/>
          <w:lang w:val="fr-FR"/>
        </w:rPr>
        <w:t> </w:t>
      </w:r>
      <w:r w:rsidR="001A7B38" w:rsidRPr="002F57E1">
        <w:rPr>
          <w:rFonts w:ascii="Arial" w:hAnsi="Arial" w:cs="Arial"/>
          <w:sz w:val="16"/>
          <w:szCs w:val="16"/>
          <w:lang w:val="fr-FR"/>
        </w:rPr>
        <w:t>23 langu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es) </w:t>
      </w:r>
      <w:r w:rsidR="001A7B38" w:rsidRPr="002F57E1">
        <w:rPr>
          <w:rFonts w:ascii="Arial" w:hAnsi="Arial" w:cs="Arial"/>
          <w:sz w:val="16"/>
          <w:szCs w:val="16"/>
          <w:lang w:val="fr-FR"/>
        </w:rPr>
        <w:t>et</w:t>
      </w:r>
      <w:r w:rsidR="00874A35">
        <w:rPr>
          <w:rFonts w:ascii="Arial" w:hAnsi="Arial" w:cs="Arial"/>
          <w:sz w:val="16"/>
          <w:szCs w:val="16"/>
          <w:lang w:val="fr-FR"/>
        </w:rPr>
        <w:t xml:space="preserve"> </w:t>
      </w:r>
      <w:r w:rsidR="002B3EA5" w:rsidRPr="002F57E1">
        <w:rPr>
          <w:rFonts w:ascii="Arial" w:hAnsi="Arial" w:cs="Arial"/>
          <w:sz w:val="16"/>
          <w:szCs w:val="16"/>
          <w:lang w:val="fr-FR"/>
        </w:rPr>
        <w:t xml:space="preserve">les </w:t>
      </w:r>
      <w:r w:rsidR="001A7B38" w:rsidRPr="002F57E1">
        <w:rPr>
          <w:rFonts w:ascii="Arial" w:hAnsi="Arial" w:cs="Arial"/>
          <w:b/>
          <w:sz w:val="16"/>
          <w:szCs w:val="16"/>
          <w:lang w:val="fr-FR"/>
        </w:rPr>
        <w:t>Perspectives sur les dro</w:t>
      </w:r>
      <w:r w:rsidRPr="002F57E1">
        <w:rPr>
          <w:rFonts w:ascii="Arial" w:hAnsi="Arial" w:cs="Arial"/>
          <w:b/>
          <w:sz w:val="16"/>
          <w:szCs w:val="16"/>
          <w:lang w:val="fr-FR"/>
        </w:rPr>
        <w:t>g</w:t>
      </w:r>
      <w:r w:rsidR="001A7B38" w:rsidRPr="002F57E1">
        <w:rPr>
          <w:rFonts w:ascii="Arial" w:hAnsi="Arial" w:cs="Arial"/>
          <w:b/>
          <w:sz w:val="16"/>
          <w:szCs w:val="16"/>
          <w:lang w:val="fr-FR"/>
        </w:rPr>
        <w:t>ues</w:t>
      </w:r>
      <w:r w:rsidR="006C742D" w:rsidRPr="002F57E1">
        <w:rPr>
          <w:rFonts w:ascii="Arial" w:hAnsi="Arial" w:cs="Arial"/>
          <w:sz w:val="16"/>
          <w:szCs w:val="16"/>
          <w:lang w:val="fr-FR"/>
        </w:rPr>
        <w:t xml:space="preserve"> (</w:t>
      </w:r>
      <w:r w:rsidR="006C742D" w:rsidRPr="005B7104">
        <w:rPr>
          <w:rFonts w:ascii="Arial" w:hAnsi="Arial" w:cs="Arial"/>
          <w:i/>
          <w:sz w:val="16"/>
          <w:szCs w:val="16"/>
          <w:lang w:val="fr-FR"/>
        </w:rPr>
        <w:t>P</w:t>
      </w:r>
      <w:r w:rsidR="005B7104" w:rsidRPr="005B7104">
        <w:rPr>
          <w:rFonts w:ascii="Arial" w:hAnsi="Arial" w:cs="Arial"/>
          <w:i/>
          <w:sz w:val="16"/>
          <w:szCs w:val="16"/>
          <w:lang w:val="fr-FR"/>
        </w:rPr>
        <w:t>erspectives on drugs/P</w:t>
      </w:r>
      <w:r w:rsidR="006C742D" w:rsidRPr="005B7104">
        <w:rPr>
          <w:rFonts w:ascii="Arial" w:hAnsi="Arial" w:cs="Arial"/>
          <w:i/>
          <w:sz w:val="16"/>
          <w:szCs w:val="16"/>
          <w:lang w:val="fr-FR"/>
        </w:rPr>
        <w:t>OD</w:t>
      </w:r>
      <w:r w:rsidR="005B7104" w:rsidRPr="005B7104">
        <w:rPr>
          <w:rFonts w:ascii="Arial" w:hAnsi="Arial" w:cs="Arial"/>
          <w:i/>
          <w:sz w:val="16"/>
          <w:szCs w:val="16"/>
          <w:lang w:val="fr-FR"/>
        </w:rPr>
        <w:t>s</w:t>
      </w:r>
      <w:r w:rsidR="005B7104">
        <w:rPr>
          <w:rFonts w:ascii="Arial" w:hAnsi="Arial" w:cs="Arial"/>
          <w:sz w:val="16"/>
          <w:szCs w:val="16"/>
          <w:lang w:val="fr-FR"/>
        </w:rPr>
        <w:t xml:space="preserve"> — </w:t>
      </w:r>
      <w:r w:rsidR="000A448F">
        <w:rPr>
          <w:rFonts w:ascii="Arial" w:hAnsi="Arial" w:cs="Arial"/>
          <w:sz w:val="16"/>
          <w:szCs w:val="16"/>
          <w:lang w:val="fr-FR"/>
        </w:rPr>
        <w:t xml:space="preserve">en </w:t>
      </w:r>
      <w:r w:rsidR="001A7B38" w:rsidRPr="002F57E1">
        <w:rPr>
          <w:rFonts w:ascii="Arial" w:hAnsi="Arial" w:cs="Arial"/>
          <w:sz w:val="16"/>
          <w:szCs w:val="16"/>
          <w:lang w:val="fr-FR"/>
        </w:rPr>
        <w:t>a</w:t>
      </w:r>
      <w:r w:rsidRPr="002F57E1">
        <w:rPr>
          <w:rFonts w:ascii="Arial" w:hAnsi="Arial" w:cs="Arial"/>
          <w:sz w:val="16"/>
          <w:szCs w:val="16"/>
          <w:lang w:val="fr-FR"/>
        </w:rPr>
        <w:t>ngl</w:t>
      </w:r>
      <w:r w:rsidR="001A7B38" w:rsidRPr="002F57E1">
        <w:rPr>
          <w:rFonts w:ascii="Arial" w:hAnsi="Arial" w:cs="Arial"/>
          <w:sz w:val="16"/>
          <w:szCs w:val="16"/>
          <w:lang w:val="fr-FR"/>
        </w:rPr>
        <w:t>ais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r w:rsidR="002B3EA5" w:rsidRPr="002F57E1">
        <w:rPr>
          <w:rFonts w:ascii="Arial" w:hAnsi="Arial" w:cs="Arial"/>
          <w:sz w:val="16"/>
          <w:szCs w:val="16"/>
          <w:lang w:val="fr-FR"/>
        </w:rPr>
        <w:t>sont</w:t>
      </w:r>
      <w:r w:rsidR="001A7B38" w:rsidRPr="002F57E1">
        <w:rPr>
          <w:rFonts w:ascii="Arial" w:hAnsi="Arial" w:cs="Arial"/>
          <w:sz w:val="16"/>
          <w:szCs w:val="16"/>
          <w:lang w:val="fr-FR"/>
        </w:rPr>
        <w:t xml:space="preserve"> disponible</w:t>
      </w:r>
      <w:r w:rsidR="002B3EA5" w:rsidRPr="002F57E1">
        <w:rPr>
          <w:rFonts w:ascii="Arial" w:hAnsi="Arial" w:cs="Arial"/>
          <w:sz w:val="16"/>
          <w:szCs w:val="16"/>
          <w:lang w:val="fr-FR"/>
        </w:rPr>
        <w:t>s à l’adresse suivante</w:t>
      </w:r>
      <w:r w:rsidR="00874A35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10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www.emcdda.europa.eu/edr2014</w:t>
        </w:r>
      </w:hyperlink>
      <w:r w:rsidR="000A448F">
        <w:rPr>
          <w:rStyle w:val="Hyperlink"/>
          <w:sz w:val="16"/>
          <w:lang w:val="fr-FR"/>
        </w:rPr>
        <w:t xml:space="preserve"> </w:t>
      </w:r>
      <w:r w:rsidR="005B7104">
        <w:rPr>
          <w:rStyle w:val="Hyperlink"/>
          <w:sz w:val="16"/>
          <w:lang w:val="fr-FR"/>
        </w:rPr>
        <w:t xml:space="preserve">     </w:t>
      </w:r>
      <w:r w:rsidR="001A7B38" w:rsidRPr="002F57E1">
        <w:rPr>
          <w:rFonts w:ascii="Arial" w:hAnsi="Arial" w:cs="Arial"/>
          <w:sz w:val="16"/>
          <w:szCs w:val="16"/>
          <w:lang w:val="fr-FR"/>
        </w:rPr>
        <w:t>Les données présentées dans le rap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port </w:t>
      </w:r>
      <w:r w:rsidR="001A7B38" w:rsidRPr="002F57E1">
        <w:rPr>
          <w:rFonts w:ascii="Arial" w:hAnsi="Arial" w:cs="Arial"/>
          <w:sz w:val="16"/>
          <w:szCs w:val="16"/>
          <w:lang w:val="fr-FR"/>
        </w:rPr>
        <w:t xml:space="preserve">portent sur 2012 ou sur la dernière année </w:t>
      </w:r>
      <w:r w:rsidR="00962E0D" w:rsidRPr="002F57E1">
        <w:rPr>
          <w:rFonts w:ascii="Arial" w:hAnsi="Arial" w:cs="Arial"/>
          <w:sz w:val="16"/>
          <w:szCs w:val="16"/>
          <w:lang w:val="fr-FR"/>
        </w:rPr>
        <w:t>disponible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. </w:t>
      </w:r>
      <w:r w:rsidR="003C4C6F" w:rsidRPr="002F57E1">
        <w:rPr>
          <w:rFonts w:ascii="Arial" w:hAnsi="Arial" w:cs="Arial"/>
          <w:sz w:val="16"/>
          <w:szCs w:val="16"/>
          <w:lang w:val="fr-FR"/>
        </w:rPr>
        <w:t>Les chiffres contenu</w:t>
      </w:r>
      <w:r w:rsidR="001A7B38" w:rsidRPr="002F57E1">
        <w:rPr>
          <w:rFonts w:ascii="Arial" w:hAnsi="Arial" w:cs="Arial"/>
          <w:sz w:val="16"/>
          <w:szCs w:val="16"/>
          <w:lang w:val="fr-FR"/>
        </w:rPr>
        <w:t>s dans le présent communiqué figurent dans le rapport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. </w:t>
      </w:r>
      <w:r w:rsidR="001A7B38" w:rsidRPr="002F57E1">
        <w:rPr>
          <w:rFonts w:ascii="Arial" w:hAnsi="Arial" w:cs="Arial"/>
          <w:sz w:val="16"/>
          <w:szCs w:val="16"/>
          <w:lang w:val="fr-FR"/>
        </w:rPr>
        <w:t>Des chiffres et des tableaux supplémentaires sont disponibles dans l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e </w:t>
      </w:r>
      <w:r w:rsidR="001A7B38" w:rsidRPr="002F57E1">
        <w:rPr>
          <w:rFonts w:ascii="Arial" w:hAnsi="Arial" w:cs="Arial"/>
          <w:b/>
          <w:sz w:val="16"/>
          <w:szCs w:val="16"/>
          <w:lang w:val="fr-FR"/>
        </w:rPr>
        <w:t>Rapport e</w:t>
      </w:r>
      <w:r w:rsidRPr="002F57E1">
        <w:rPr>
          <w:rFonts w:ascii="Arial" w:hAnsi="Arial" w:cs="Arial"/>
          <w:b/>
          <w:sz w:val="16"/>
          <w:szCs w:val="16"/>
          <w:lang w:val="fr-FR"/>
        </w:rPr>
        <w:t>urop</w:t>
      </w:r>
      <w:r w:rsidR="001A7B38" w:rsidRPr="002F57E1">
        <w:rPr>
          <w:rFonts w:ascii="Arial" w:hAnsi="Arial" w:cs="Arial"/>
          <w:b/>
          <w:sz w:val="16"/>
          <w:szCs w:val="16"/>
          <w:lang w:val="fr-FR"/>
        </w:rPr>
        <w:t>é</w:t>
      </w:r>
      <w:r w:rsidRPr="002F57E1">
        <w:rPr>
          <w:rFonts w:ascii="Arial" w:hAnsi="Arial" w:cs="Arial"/>
          <w:b/>
          <w:sz w:val="16"/>
          <w:szCs w:val="16"/>
          <w:lang w:val="fr-FR"/>
        </w:rPr>
        <w:t xml:space="preserve">en </w:t>
      </w:r>
      <w:r w:rsidR="001A7B38" w:rsidRPr="002F57E1">
        <w:rPr>
          <w:rFonts w:ascii="Arial" w:hAnsi="Arial" w:cs="Arial"/>
          <w:b/>
          <w:sz w:val="16"/>
          <w:szCs w:val="16"/>
          <w:lang w:val="fr-FR"/>
        </w:rPr>
        <w:t>sur les drogues</w:t>
      </w:r>
      <w:r w:rsidR="000A448F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="00157767" w:rsidRPr="002F57E1">
        <w:rPr>
          <w:rFonts w:ascii="Arial" w:hAnsi="Arial" w:cs="Arial"/>
          <w:b/>
          <w:sz w:val="16"/>
          <w:szCs w:val="16"/>
          <w:lang w:val="fr-FR"/>
        </w:rPr>
        <w:t>:</w:t>
      </w:r>
      <w:r w:rsidR="001A7B38" w:rsidRPr="002F57E1">
        <w:rPr>
          <w:rFonts w:ascii="Arial" w:hAnsi="Arial" w:cs="Arial"/>
          <w:b/>
          <w:sz w:val="16"/>
          <w:szCs w:val="16"/>
          <w:lang w:val="fr-FR"/>
        </w:rPr>
        <w:t xml:space="preserve"> données et statistique</w:t>
      </w:r>
      <w:r w:rsidRPr="002F57E1">
        <w:rPr>
          <w:rFonts w:ascii="Arial" w:hAnsi="Arial" w:cs="Arial"/>
          <w:b/>
          <w:sz w:val="16"/>
          <w:szCs w:val="16"/>
          <w:lang w:val="fr-FR"/>
        </w:rPr>
        <w:t>s</w:t>
      </w:r>
      <w:r w:rsidR="005B7104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="005B7104" w:rsidRPr="002F57E1">
        <w:rPr>
          <w:rFonts w:ascii="Arial" w:hAnsi="Arial" w:cs="Arial"/>
          <w:sz w:val="16"/>
          <w:szCs w:val="16"/>
          <w:lang w:val="fr-FR"/>
        </w:rPr>
        <w:t>(</w:t>
      </w:r>
      <w:r w:rsidR="005B7104">
        <w:rPr>
          <w:rFonts w:ascii="Arial" w:hAnsi="Arial" w:cs="Arial"/>
          <w:i/>
          <w:sz w:val="16"/>
          <w:szCs w:val="16"/>
          <w:lang w:val="fr-FR"/>
        </w:rPr>
        <w:t xml:space="preserve">European Drug Report : Data and </w:t>
      </w:r>
      <w:proofErr w:type="spellStart"/>
      <w:r w:rsidR="005B7104">
        <w:rPr>
          <w:rFonts w:ascii="Arial" w:hAnsi="Arial" w:cs="Arial"/>
          <w:i/>
          <w:sz w:val="16"/>
          <w:szCs w:val="16"/>
          <w:lang w:val="fr-FR"/>
        </w:rPr>
        <w:t>statistics</w:t>
      </w:r>
      <w:proofErr w:type="spellEnd"/>
      <w:r w:rsidR="005B7104"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11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www.emcdda.europa.eu/data</w:t>
        </w:r>
      </w:hyperlink>
    </w:p>
    <w:p w:rsidR="00E52320" w:rsidRPr="002F57E1" w:rsidRDefault="00E52320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Pr="002F57E1">
        <w:rPr>
          <w:rFonts w:ascii="Arial" w:hAnsi="Arial" w:cs="Arial"/>
          <w:sz w:val="16"/>
          <w:szCs w:val="16"/>
          <w:vertAlign w:val="superscript"/>
          <w:lang w:val="fr-FR"/>
        </w:rPr>
        <w:t>2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r w:rsidR="00962E0D" w:rsidRPr="002F57E1">
        <w:rPr>
          <w:rFonts w:ascii="Arial" w:hAnsi="Arial" w:cs="Arial"/>
          <w:sz w:val="16"/>
          <w:szCs w:val="16"/>
          <w:lang w:val="fr-FR"/>
        </w:rPr>
        <w:t>Du fait de différence</w:t>
      </w:r>
      <w:r w:rsidR="008F37FD" w:rsidRPr="002F57E1">
        <w:rPr>
          <w:rFonts w:ascii="Arial" w:hAnsi="Arial" w:cs="Arial"/>
          <w:sz w:val="16"/>
          <w:szCs w:val="16"/>
          <w:lang w:val="fr-FR"/>
        </w:rPr>
        <w:t>s observées</w:t>
      </w:r>
      <w:r w:rsidR="000A448F">
        <w:rPr>
          <w:rFonts w:ascii="Arial" w:hAnsi="Arial" w:cs="Arial"/>
          <w:sz w:val="16"/>
          <w:szCs w:val="16"/>
          <w:lang w:val="fr-FR"/>
        </w:rPr>
        <w:t xml:space="preserve"> </w:t>
      </w:r>
      <w:r w:rsidR="008F37FD" w:rsidRPr="002F57E1">
        <w:rPr>
          <w:rFonts w:ascii="Arial" w:hAnsi="Arial" w:cs="Arial"/>
          <w:sz w:val="16"/>
          <w:szCs w:val="16"/>
          <w:lang w:val="fr-FR"/>
        </w:rPr>
        <w:t>dans les</w:t>
      </w:r>
      <w:r w:rsidR="00962E0D" w:rsidRPr="002F57E1">
        <w:rPr>
          <w:rFonts w:ascii="Arial" w:hAnsi="Arial" w:cs="Arial"/>
          <w:sz w:val="16"/>
          <w:szCs w:val="16"/>
          <w:lang w:val="fr-FR"/>
        </w:rPr>
        <w:t xml:space="preserve"> pratiques et</w:t>
      </w:r>
      <w:r w:rsidR="000A448F">
        <w:rPr>
          <w:rFonts w:ascii="Arial" w:hAnsi="Arial" w:cs="Arial"/>
          <w:sz w:val="16"/>
          <w:szCs w:val="16"/>
          <w:lang w:val="fr-FR"/>
        </w:rPr>
        <w:t xml:space="preserve"> </w:t>
      </w:r>
      <w:r w:rsidR="00962E0D" w:rsidRPr="002F57E1">
        <w:rPr>
          <w:rFonts w:ascii="Arial" w:hAnsi="Arial" w:cs="Arial"/>
          <w:sz w:val="16"/>
          <w:szCs w:val="16"/>
          <w:lang w:val="fr-FR"/>
        </w:rPr>
        <w:t>la méthodologie de notification, une</w:t>
      </w:r>
      <w:r w:rsidR="001C6472" w:rsidRPr="002F57E1">
        <w:rPr>
          <w:rFonts w:ascii="Arial" w:hAnsi="Arial" w:cs="Arial"/>
          <w:sz w:val="16"/>
          <w:szCs w:val="16"/>
          <w:lang w:val="fr-FR"/>
        </w:rPr>
        <w:t xml:space="preserve"> certaine prudence </w:t>
      </w:r>
      <w:r w:rsidR="00962E0D" w:rsidRPr="002F57E1">
        <w:rPr>
          <w:rFonts w:ascii="Arial" w:hAnsi="Arial" w:cs="Arial"/>
          <w:sz w:val="16"/>
          <w:szCs w:val="16"/>
          <w:lang w:val="fr-FR"/>
        </w:rPr>
        <w:t xml:space="preserve">s’impose </w:t>
      </w:r>
      <w:r w:rsidR="008F37FD" w:rsidRPr="002F57E1">
        <w:rPr>
          <w:rFonts w:ascii="Arial" w:hAnsi="Arial" w:cs="Arial"/>
          <w:sz w:val="16"/>
          <w:szCs w:val="16"/>
          <w:lang w:val="fr-FR"/>
        </w:rPr>
        <w:t>dans la comparaison des</w:t>
      </w:r>
      <w:r w:rsidR="00A50356" w:rsidRPr="002F57E1">
        <w:rPr>
          <w:rFonts w:ascii="Arial" w:hAnsi="Arial" w:cs="Arial"/>
          <w:sz w:val="16"/>
          <w:szCs w:val="16"/>
          <w:lang w:val="fr-FR"/>
        </w:rPr>
        <w:t xml:space="preserve"> différents pays</w:t>
      </w:r>
      <w:r w:rsidRPr="002F57E1">
        <w:rPr>
          <w:rFonts w:ascii="Arial" w:hAnsi="Arial" w:cs="Arial"/>
          <w:sz w:val="16"/>
          <w:szCs w:val="16"/>
          <w:lang w:val="fr-FR"/>
        </w:rPr>
        <w:t>.</w:t>
      </w:r>
    </w:p>
    <w:p w:rsidR="003C2E9B" w:rsidRPr="002F57E1" w:rsidRDefault="003C2E9B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="00E52320" w:rsidRPr="002F57E1">
        <w:rPr>
          <w:rFonts w:ascii="Arial" w:hAnsi="Arial" w:cs="Arial"/>
          <w:sz w:val="16"/>
          <w:szCs w:val="16"/>
          <w:vertAlign w:val="superscript"/>
          <w:lang w:val="fr-FR"/>
        </w:rPr>
        <w:t>3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12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www.eurosurveillance.org/ViewArticle.aspx?ArticleId=20648</w:t>
        </w:r>
      </w:hyperlink>
    </w:p>
    <w:p w:rsidR="003C2E9B" w:rsidRPr="002F57E1" w:rsidRDefault="003C2E9B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="00E52320" w:rsidRPr="002F57E1">
        <w:rPr>
          <w:rFonts w:ascii="Arial" w:hAnsi="Arial" w:cs="Arial"/>
          <w:sz w:val="16"/>
          <w:szCs w:val="16"/>
          <w:vertAlign w:val="superscript"/>
          <w:lang w:val="fr-FR"/>
        </w:rPr>
        <w:t>4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13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www.emcdda.europa.eu/publications/emcdda-papers/exploring-methamphetamine-trends-in-Europe</w:t>
        </w:r>
      </w:hyperlink>
    </w:p>
    <w:p w:rsidR="003C2E9B" w:rsidRPr="002F57E1" w:rsidRDefault="003C2E9B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="00E52320" w:rsidRPr="002F57E1">
        <w:rPr>
          <w:rFonts w:ascii="Arial" w:hAnsi="Arial" w:cs="Arial"/>
          <w:sz w:val="16"/>
          <w:szCs w:val="16"/>
          <w:vertAlign w:val="superscript"/>
          <w:lang w:val="fr-FR"/>
        </w:rPr>
        <w:t>5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14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www.emcdda.europa.eu/news/2014/europol-emcdda1</w:t>
        </w:r>
      </w:hyperlink>
    </w:p>
    <w:p w:rsidR="003C2E9B" w:rsidRPr="002F57E1" w:rsidRDefault="003C2E9B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="00E52320" w:rsidRPr="002F57E1">
        <w:rPr>
          <w:rFonts w:ascii="Arial" w:hAnsi="Arial" w:cs="Arial"/>
          <w:sz w:val="16"/>
          <w:szCs w:val="16"/>
          <w:vertAlign w:val="superscript"/>
          <w:lang w:val="fr-FR"/>
        </w:rPr>
        <w:t>6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15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www.emcdda.europa.eu/publications/implementation-reports/2013</w:t>
        </w:r>
      </w:hyperlink>
    </w:p>
    <w:p w:rsidR="003C2E9B" w:rsidRPr="002F57E1" w:rsidRDefault="003C2E9B" w:rsidP="003C2E9B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2F57E1">
        <w:rPr>
          <w:rFonts w:ascii="Arial" w:hAnsi="Arial" w:cs="Arial"/>
          <w:sz w:val="16"/>
          <w:szCs w:val="16"/>
          <w:lang w:val="fr-FR"/>
        </w:rPr>
        <w:t>(</w:t>
      </w:r>
      <w:r w:rsidR="00E52320" w:rsidRPr="002F57E1">
        <w:rPr>
          <w:rFonts w:ascii="Arial" w:hAnsi="Arial" w:cs="Arial"/>
          <w:sz w:val="16"/>
          <w:szCs w:val="16"/>
          <w:vertAlign w:val="superscript"/>
          <w:lang w:val="fr-FR"/>
        </w:rPr>
        <w:t>7</w:t>
      </w:r>
      <w:r w:rsidRPr="002F57E1">
        <w:rPr>
          <w:rFonts w:ascii="Arial" w:hAnsi="Arial" w:cs="Arial"/>
          <w:sz w:val="16"/>
          <w:szCs w:val="16"/>
          <w:lang w:val="fr-FR"/>
        </w:rPr>
        <w:t xml:space="preserve">) </w:t>
      </w:r>
      <w:hyperlink r:id="rId16" w:history="1">
        <w:r w:rsidRPr="002F57E1">
          <w:rPr>
            <w:rStyle w:val="Hyperlink"/>
            <w:rFonts w:cs="Arial"/>
            <w:sz w:val="16"/>
            <w:szCs w:val="16"/>
            <w:lang w:val="fr-FR"/>
          </w:rPr>
          <w:t>http://ec.europa.eu/public_opinion/flash/fl_330_en.pdf</w:t>
        </w:r>
      </w:hyperlink>
    </w:p>
    <w:p w:rsidR="003C2E9B" w:rsidRPr="002F57E1" w:rsidRDefault="003C2E9B" w:rsidP="003C2E9B">
      <w:pPr>
        <w:pStyle w:val="newsNotes"/>
        <w:rPr>
          <w:lang w:val="fr-FR"/>
        </w:rPr>
      </w:pPr>
    </w:p>
    <w:sectPr w:rsidR="003C2E9B" w:rsidRPr="002F57E1" w:rsidSect="008A6F08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276" w:right="1276" w:bottom="113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4D" w:rsidRDefault="008A6E4D" w:rsidP="009A28FB">
      <w:pPr>
        <w:spacing w:after="0" w:line="240" w:lineRule="auto"/>
      </w:pPr>
      <w:r>
        <w:separator/>
      </w:r>
    </w:p>
  </w:endnote>
  <w:endnote w:type="continuationSeparator" w:id="0">
    <w:p w:rsidR="008A6E4D" w:rsidRDefault="008A6E4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1"/>
      <w:gridCol w:w="2477"/>
    </w:tblGrid>
    <w:tr w:rsidR="008A6E4D" w:rsidTr="00D37865">
      <w:tc>
        <w:tcPr>
          <w:tcW w:w="1444" w:type="dxa"/>
        </w:tcPr>
        <w:p w:rsidR="008A6E4D" w:rsidRDefault="00A11438" w:rsidP="00D37865">
          <w:pPr>
            <w:pStyle w:val="newsCoordinates"/>
          </w:pPr>
          <w:r>
            <w:rPr>
              <w:noProof/>
              <w:lang w:eastAsia="en-GB"/>
            </w:rPr>
            <w:pict>
              <v:line id="Straight Connector 14" o:spid="_x0000_s10242" style="position:absolute;left:0;text-align:left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<o:lock v:ext="edit" shapetype="f"/>
                <w10:wrap anchorx="page" anchory="page"/>
              </v:line>
            </w:pict>
          </w:r>
          <w:r w:rsidR="008A6E4D" w:rsidRPr="006C0688">
            <w:rPr>
              <w:noProof/>
              <w:lang w:eastAsia="en-GB"/>
            </w:rPr>
            <w:t>www.emcdda.europa.eu/edr2014</w:t>
          </w:r>
        </w:p>
      </w:tc>
      <w:tc>
        <w:tcPr>
          <w:tcW w:w="3294" w:type="dxa"/>
          <w:vAlign w:val="bottom"/>
        </w:tcPr>
        <w:p w:rsidR="008A6E4D" w:rsidRDefault="008A6E4D" w:rsidP="00BF1E3B">
          <w:pPr>
            <w:pStyle w:val="newsReference"/>
            <w:jc w:val="right"/>
          </w:pPr>
        </w:p>
      </w:tc>
    </w:tr>
  </w:tbl>
  <w:p w:rsidR="008A6E4D" w:rsidRDefault="008A6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8A6E4D" w:rsidTr="0044259A">
      <w:tc>
        <w:tcPr>
          <w:tcW w:w="7196" w:type="dxa"/>
        </w:tcPr>
        <w:p w:rsidR="008A6E4D" w:rsidRPr="005E0D41" w:rsidRDefault="00A11438" w:rsidP="0044259A">
          <w:pPr>
            <w:pStyle w:val="newsCoordinates"/>
            <w:rPr>
              <w:lang w:val="fr-FR"/>
            </w:rPr>
          </w:pPr>
          <w:r>
            <w:rPr>
              <w:noProof/>
              <w:lang w:eastAsia="en-GB"/>
            </w:rPr>
            <w:pict>
              <v:line id="Straight Connector 4" o:spid="_x0000_s10241" style="position:absolute;left:0;text-align:left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<o:lock v:ext="edit" shapetype="f"/>
                <w10:wrap anchorx="page" anchory="page"/>
              </v:line>
            </w:pict>
          </w:r>
          <w:r w:rsidR="008A6E4D" w:rsidRPr="005E0D41">
            <w:rPr>
              <w:lang w:val="fr-FR"/>
            </w:rPr>
            <w:t>Contact: Kathy Robertson,</w:t>
          </w:r>
          <w:r w:rsidR="008A6E4D">
            <w:rPr>
              <w:lang w:val="fr-FR"/>
            </w:rPr>
            <w:t xml:space="preserve"> Relations avec les médias</w:t>
          </w:r>
        </w:p>
        <w:p w:rsidR="008A6E4D" w:rsidRPr="00855830" w:rsidRDefault="008A6E4D" w:rsidP="0044259A">
          <w:pPr>
            <w:pStyle w:val="newsCoordinates"/>
            <w:rPr>
              <w:lang w:val="pt-PT"/>
            </w:rPr>
          </w:pPr>
          <w:r w:rsidRPr="00855830">
            <w:rPr>
              <w:lang w:val="pt-PT"/>
            </w:rPr>
            <w:t xml:space="preserve">Praça Europa 1, Cais do Sodré, 1249-289 Lisbonne, Portugal </w:t>
          </w:r>
        </w:p>
        <w:p w:rsidR="008A6E4D" w:rsidRDefault="008A6E4D" w:rsidP="0044259A">
          <w:pPr>
            <w:pStyle w:val="newsCoordinates"/>
          </w:pPr>
          <w:r>
            <w:t xml:space="preserve">Tél.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8A6E4D" w:rsidRDefault="008A6E4D" w:rsidP="0074373D">
          <w:pPr>
            <w:pStyle w:val="newsReference"/>
            <w:jc w:val="right"/>
          </w:pPr>
          <w:r>
            <w:t>FR — N° 3</w:t>
          </w:r>
          <w:r w:rsidRPr="00FC0187">
            <w:t>/</w:t>
          </w:r>
          <w:r>
            <w:t>2014</w:t>
          </w:r>
        </w:p>
      </w:tc>
    </w:tr>
  </w:tbl>
  <w:p w:rsidR="008A6E4D" w:rsidRDefault="008A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4D" w:rsidRDefault="008A6E4D" w:rsidP="009A28FB">
      <w:pPr>
        <w:spacing w:after="0" w:line="240" w:lineRule="auto"/>
      </w:pPr>
      <w:r>
        <w:separator/>
      </w:r>
    </w:p>
  </w:footnote>
  <w:footnote w:type="continuationSeparator" w:id="0">
    <w:p w:rsidR="008A6E4D" w:rsidRDefault="008A6E4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8A6E4D" w:rsidTr="00BF1E3B">
      <w:tc>
        <w:tcPr>
          <w:tcW w:w="7196" w:type="dxa"/>
        </w:tcPr>
        <w:p w:rsidR="008A6E4D" w:rsidRPr="007A3F2A" w:rsidRDefault="00A11438" w:rsidP="007305B4">
          <w:pPr>
            <w:pStyle w:val="newsEmbargo"/>
            <w:rPr>
              <w:lang w:val="fr-LU"/>
            </w:rPr>
          </w:pPr>
          <w:r>
            <w:rPr>
              <w:noProof/>
              <w:lang w:eastAsia="en-GB"/>
            </w:rPr>
            <w:pict>
              <v:line id="Straight Connector 11" o:spid="_x0000_s10243" style="position:absolute;left:0;text-align:lef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<o:lock v:ext="edit" shapetype="f"/>
                <w10:wrap anchorx="page" anchory="page"/>
              </v:line>
            </w:pict>
          </w:r>
          <w:r w:rsidR="008A6E4D" w:rsidRPr="007A3F2A">
            <w:rPr>
              <w:noProof/>
              <w:lang w:val="fr-LU" w:eastAsia="en-GB"/>
            </w:rPr>
            <w:t xml:space="preserve">Rapport européen sur les drogues 2014 </w:t>
          </w:r>
          <w:r w:rsidR="008A6E4D" w:rsidRPr="00C25937">
            <w:rPr>
              <w:noProof/>
              <w:color w:val="FF0000"/>
              <w:sz w:val="18"/>
              <w:lang w:val="fr-LU" w:eastAsia="en-GB"/>
            </w:rPr>
            <w:t>I</w:t>
          </w:r>
          <w:r w:rsidR="008A6E4D" w:rsidRPr="00C25937">
            <w:rPr>
              <w:b/>
              <w:noProof/>
              <w:color w:val="FF0000"/>
              <w:lang w:val="fr-LU" w:eastAsia="en-GB"/>
            </w:rPr>
            <w:t>EMBARGO 10h00 UTC/heure de Lisbonne</w:t>
          </w:r>
        </w:p>
      </w:tc>
      <w:tc>
        <w:tcPr>
          <w:tcW w:w="3294" w:type="dxa"/>
          <w:vAlign w:val="bottom"/>
        </w:tcPr>
        <w:p w:rsidR="008A6E4D" w:rsidRDefault="008A6E4D" w:rsidP="006C0688">
          <w:pPr>
            <w:pStyle w:val="newsReference"/>
            <w:jc w:val="right"/>
          </w:pPr>
          <w:r w:rsidRPr="00CC4FDA">
            <w:t>2</w:t>
          </w:r>
          <w:r>
            <w:t>7.5</w:t>
          </w:r>
          <w:r w:rsidRPr="00CC4FDA">
            <w:t>.201</w:t>
          </w:r>
          <w:r>
            <w:t>4</w:t>
          </w:r>
        </w:p>
      </w:tc>
    </w:tr>
  </w:tbl>
  <w:p w:rsidR="008A6E4D" w:rsidRDefault="008A6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A5"/>
    <w:rsid w:val="00014545"/>
    <w:rsid w:val="00014E8E"/>
    <w:rsid w:val="000154A6"/>
    <w:rsid w:val="00020B10"/>
    <w:rsid w:val="000228DC"/>
    <w:rsid w:val="00034840"/>
    <w:rsid w:val="00036A81"/>
    <w:rsid w:val="00036C17"/>
    <w:rsid w:val="00036DAA"/>
    <w:rsid w:val="00043BD1"/>
    <w:rsid w:val="00045CA5"/>
    <w:rsid w:val="000535B7"/>
    <w:rsid w:val="00061022"/>
    <w:rsid w:val="00067DD3"/>
    <w:rsid w:val="000735BD"/>
    <w:rsid w:val="000875AB"/>
    <w:rsid w:val="00087CBC"/>
    <w:rsid w:val="000A448F"/>
    <w:rsid w:val="000A583C"/>
    <w:rsid w:val="000B172C"/>
    <w:rsid w:val="000B30FA"/>
    <w:rsid w:val="000B5BCC"/>
    <w:rsid w:val="000C20CD"/>
    <w:rsid w:val="000C6200"/>
    <w:rsid w:val="000D0412"/>
    <w:rsid w:val="000D5072"/>
    <w:rsid w:val="000E2AE9"/>
    <w:rsid w:val="000E4E81"/>
    <w:rsid w:val="000E5D5A"/>
    <w:rsid w:val="00100BDB"/>
    <w:rsid w:val="00105BFC"/>
    <w:rsid w:val="00107C96"/>
    <w:rsid w:val="00113345"/>
    <w:rsid w:val="00113B90"/>
    <w:rsid w:val="001150E2"/>
    <w:rsid w:val="00123067"/>
    <w:rsid w:val="00141073"/>
    <w:rsid w:val="001439BA"/>
    <w:rsid w:val="0015168E"/>
    <w:rsid w:val="00151B15"/>
    <w:rsid w:val="00152FD2"/>
    <w:rsid w:val="00157767"/>
    <w:rsid w:val="001618FC"/>
    <w:rsid w:val="0016352C"/>
    <w:rsid w:val="00163E6A"/>
    <w:rsid w:val="00164A1C"/>
    <w:rsid w:val="00171AB1"/>
    <w:rsid w:val="001756A3"/>
    <w:rsid w:val="0017713E"/>
    <w:rsid w:val="001800D0"/>
    <w:rsid w:val="00180402"/>
    <w:rsid w:val="00186A94"/>
    <w:rsid w:val="00193E4C"/>
    <w:rsid w:val="001957D6"/>
    <w:rsid w:val="001A04C3"/>
    <w:rsid w:val="001A27AD"/>
    <w:rsid w:val="001A3338"/>
    <w:rsid w:val="001A46CB"/>
    <w:rsid w:val="001A7B38"/>
    <w:rsid w:val="001B64CD"/>
    <w:rsid w:val="001C56D5"/>
    <w:rsid w:val="001C6472"/>
    <w:rsid w:val="001C795A"/>
    <w:rsid w:val="001D5647"/>
    <w:rsid w:val="001D5C26"/>
    <w:rsid w:val="001D5E5D"/>
    <w:rsid w:val="001D5F7E"/>
    <w:rsid w:val="001D7D99"/>
    <w:rsid w:val="001E2AE8"/>
    <w:rsid w:val="001F3610"/>
    <w:rsid w:val="001F6362"/>
    <w:rsid w:val="001F70B4"/>
    <w:rsid w:val="0020328B"/>
    <w:rsid w:val="002037AE"/>
    <w:rsid w:val="00214415"/>
    <w:rsid w:val="00223753"/>
    <w:rsid w:val="00224B71"/>
    <w:rsid w:val="00226257"/>
    <w:rsid w:val="00230CE5"/>
    <w:rsid w:val="002319B7"/>
    <w:rsid w:val="002357E6"/>
    <w:rsid w:val="00242B0F"/>
    <w:rsid w:val="00244910"/>
    <w:rsid w:val="00244ADA"/>
    <w:rsid w:val="00251310"/>
    <w:rsid w:val="002557B0"/>
    <w:rsid w:val="00257329"/>
    <w:rsid w:val="00257D4E"/>
    <w:rsid w:val="002646E4"/>
    <w:rsid w:val="002720CC"/>
    <w:rsid w:val="0027252D"/>
    <w:rsid w:val="002742B9"/>
    <w:rsid w:val="00276E20"/>
    <w:rsid w:val="002811B1"/>
    <w:rsid w:val="0028141E"/>
    <w:rsid w:val="002948E2"/>
    <w:rsid w:val="002A2233"/>
    <w:rsid w:val="002A61F7"/>
    <w:rsid w:val="002A6A68"/>
    <w:rsid w:val="002A70AB"/>
    <w:rsid w:val="002A77E6"/>
    <w:rsid w:val="002B05CE"/>
    <w:rsid w:val="002B0998"/>
    <w:rsid w:val="002B0C47"/>
    <w:rsid w:val="002B2C54"/>
    <w:rsid w:val="002B3EA5"/>
    <w:rsid w:val="002B45AC"/>
    <w:rsid w:val="002C0094"/>
    <w:rsid w:val="002C2886"/>
    <w:rsid w:val="002E631E"/>
    <w:rsid w:val="002E779C"/>
    <w:rsid w:val="002F1907"/>
    <w:rsid w:val="002F2090"/>
    <w:rsid w:val="002F2D95"/>
    <w:rsid w:val="002F4080"/>
    <w:rsid w:val="002F57E1"/>
    <w:rsid w:val="002F6302"/>
    <w:rsid w:val="00307E11"/>
    <w:rsid w:val="0033158E"/>
    <w:rsid w:val="00331DB2"/>
    <w:rsid w:val="0033351B"/>
    <w:rsid w:val="0033412B"/>
    <w:rsid w:val="00335CD5"/>
    <w:rsid w:val="0034411D"/>
    <w:rsid w:val="00346950"/>
    <w:rsid w:val="003470DE"/>
    <w:rsid w:val="00351483"/>
    <w:rsid w:val="00357861"/>
    <w:rsid w:val="00361036"/>
    <w:rsid w:val="0036121D"/>
    <w:rsid w:val="003623D8"/>
    <w:rsid w:val="003630DB"/>
    <w:rsid w:val="0036351A"/>
    <w:rsid w:val="003819FF"/>
    <w:rsid w:val="00382D15"/>
    <w:rsid w:val="0038441D"/>
    <w:rsid w:val="00387D02"/>
    <w:rsid w:val="003A195C"/>
    <w:rsid w:val="003A21D8"/>
    <w:rsid w:val="003A63B5"/>
    <w:rsid w:val="003B41B1"/>
    <w:rsid w:val="003B77FE"/>
    <w:rsid w:val="003C0395"/>
    <w:rsid w:val="003C16FC"/>
    <w:rsid w:val="003C2E9B"/>
    <w:rsid w:val="003C4C6F"/>
    <w:rsid w:val="003C4F2C"/>
    <w:rsid w:val="003C69C9"/>
    <w:rsid w:val="003D4538"/>
    <w:rsid w:val="003D65C2"/>
    <w:rsid w:val="003E2817"/>
    <w:rsid w:val="003E2A0F"/>
    <w:rsid w:val="003E3ABC"/>
    <w:rsid w:val="003E5379"/>
    <w:rsid w:val="003E719B"/>
    <w:rsid w:val="003F2504"/>
    <w:rsid w:val="003F6384"/>
    <w:rsid w:val="003F63B4"/>
    <w:rsid w:val="0041103B"/>
    <w:rsid w:val="004126AD"/>
    <w:rsid w:val="00412C93"/>
    <w:rsid w:val="004137B0"/>
    <w:rsid w:val="004221D3"/>
    <w:rsid w:val="004223BC"/>
    <w:rsid w:val="004272D2"/>
    <w:rsid w:val="00437871"/>
    <w:rsid w:val="0044111C"/>
    <w:rsid w:val="0044259A"/>
    <w:rsid w:val="00445080"/>
    <w:rsid w:val="004521D9"/>
    <w:rsid w:val="0045468D"/>
    <w:rsid w:val="00463CF1"/>
    <w:rsid w:val="00483B86"/>
    <w:rsid w:val="004847FB"/>
    <w:rsid w:val="00496AFE"/>
    <w:rsid w:val="00497BC6"/>
    <w:rsid w:val="004A062B"/>
    <w:rsid w:val="004A3583"/>
    <w:rsid w:val="004A4AB3"/>
    <w:rsid w:val="004A7E06"/>
    <w:rsid w:val="004B2B86"/>
    <w:rsid w:val="004C22FF"/>
    <w:rsid w:val="004C3028"/>
    <w:rsid w:val="004C54D4"/>
    <w:rsid w:val="004C6069"/>
    <w:rsid w:val="004C6C4D"/>
    <w:rsid w:val="004D040C"/>
    <w:rsid w:val="004D41B3"/>
    <w:rsid w:val="004D6E0C"/>
    <w:rsid w:val="004D76D1"/>
    <w:rsid w:val="004D7ED8"/>
    <w:rsid w:val="004E55FA"/>
    <w:rsid w:val="004F3225"/>
    <w:rsid w:val="004F3939"/>
    <w:rsid w:val="004F3F98"/>
    <w:rsid w:val="0050241D"/>
    <w:rsid w:val="00510277"/>
    <w:rsid w:val="005120CA"/>
    <w:rsid w:val="00512DAF"/>
    <w:rsid w:val="00520EF1"/>
    <w:rsid w:val="00523CC0"/>
    <w:rsid w:val="00527DCC"/>
    <w:rsid w:val="00533D5A"/>
    <w:rsid w:val="005352F5"/>
    <w:rsid w:val="005356FD"/>
    <w:rsid w:val="00542CEE"/>
    <w:rsid w:val="00543BD2"/>
    <w:rsid w:val="005446A6"/>
    <w:rsid w:val="00547F9E"/>
    <w:rsid w:val="005534D6"/>
    <w:rsid w:val="0056347B"/>
    <w:rsid w:val="00583906"/>
    <w:rsid w:val="0058400E"/>
    <w:rsid w:val="00584704"/>
    <w:rsid w:val="005863CD"/>
    <w:rsid w:val="005873DF"/>
    <w:rsid w:val="005A0DC8"/>
    <w:rsid w:val="005A3992"/>
    <w:rsid w:val="005A4A3C"/>
    <w:rsid w:val="005B0558"/>
    <w:rsid w:val="005B05A0"/>
    <w:rsid w:val="005B0882"/>
    <w:rsid w:val="005B0C86"/>
    <w:rsid w:val="005B1B63"/>
    <w:rsid w:val="005B2C68"/>
    <w:rsid w:val="005B396F"/>
    <w:rsid w:val="005B7104"/>
    <w:rsid w:val="005C4033"/>
    <w:rsid w:val="005D07AA"/>
    <w:rsid w:val="005D56BD"/>
    <w:rsid w:val="005E0BEB"/>
    <w:rsid w:val="005E0D41"/>
    <w:rsid w:val="005E29BD"/>
    <w:rsid w:val="005E73DF"/>
    <w:rsid w:val="005F3C14"/>
    <w:rsid w:val="00604E7C"/>
    <w:rsid w:val="006057F3"/>
    <w:rsid w:val="006116D9"/>
    <w:rsid w:val="00615379"/>
    <w:rsid w:val="0062088B"/>
    <w:rsid w:val="00623A55"/>
    <w:rsid w:val="00631FFD"/>
    <w:rsid w:val="00632560"/>
    <w:rsid w:val="006351CF"/>
    <w:rsid w:val="0063677C"/>
    <w:rsid w:val="00640354"/>
    <w:rsid w:val="00656A05"/>
    <w:rsid w:val="00666892"/>
    <w:rsid w:val="00666A63"/>
    <w:rsid w:val="00670ABE"/>
    <w:rsid w:val="00672D38"/>
    <w:rsid w:val="00677D6B"/>
    <w:rsid w:val="00677DA9"/>
    <w:rsid w:val="00692431"/>
    <w:rsid w:val="00696C90"/>
    <w:rsid w:val="006A4CEF"/>
    <w:rsid w:val="006A6420"/>
    <w:rsid w:val="006A7B43"/>
    <w:rsid w:val="006B0F58"/>
    <w:rsid w:val="006C0688"/>
    <w:rsid w:val="006C742D"/>
    <w:rsid w:val="006D2FFC"/>
    <w:rsid w:val="006D45ED"/>
    <w:rsid w:val="006D53AA"/>
    <w:rsid w:val="006E60BF"/>
    <w:rsid w:val="00701D16"/>
    <w:rsid w:val="00712CBC"/>
    <w:rsid w:val="0071618A"/>
    <w:rsid w:val="007204F5"/>
    <w:rsid w:val="00727154"/>
    <w:rsid w:val="007278E3"/>
    <w:rsid w:val="00730132"/>
    <w:rsid w:val="007305B4"/>
    <w:rsid w:val="00733CB7"/>
    <w:rsid w:val="0074373D"/>
    <w:rsid w:val="0075432B"/>
    <w:rsid w:val="0075686D"/>
    <w:rsid w:val="0076231F"/>
    <w:rsid w:val="007634E7"/>
    <w:rsid w:val="007713F8"/>
    <w:rsid w:val="00773814"/>
    <w:rsid w:val="00777B2A"/>
    <w:rsid w:val="0078461E"/>
    <w:rsid w:val="00784E69"/>
    <w:rsid w:val="00791A20"/>
    <w:rsid w:val="00791F09"/>
    <w:rsid w:val="007922B0"/>
    <w:rsid w:val="00792AF8"/>
    <w:rsid w:val="0079326C"/>
    <w:rsid w:val="007973BE"/>
    <w:rsid w:val="007A0978"/>
    <w:rsid w:val="007A3185"/>
    <w:rsid w:val="007A3F2A"/>
    <w:rsid w:val="007A5357"/>
    <w:rsid w:val="007A6817"/>
    <w:rsid w:val="007B0E03"/>
    <w:rsid w:val="007B1CCD"/>
    <w:rsid w:val="007B61B0"/>
    <w:rsid w:val="007C01E6"/>
    <w:rsid w:val="007C31BF"/>
    <w:rsid w:val="007D2D85"/>
    <w:rsid w:val="007D508B"/>
    <w:rsid w:val="007D697D"/>
    <w:rsid w:val="007E45A9"/>
    <w:rsid w:val="007E5748"/>
    <w:rsid w:val="007E5B97"/>
    <w:rsid w:val="007E6016"/>
    <w:rsid w:val="007F030B"/>
    <w:rsid w:val="007F05EE"/>
    <w:rsid w:val="0080632B"/>
    <w:rsid w:val="00807164"/>
    <w:rsid w:val="00813FB5"/>
    <w:rsid w:val="008145C0"/>
    <w:rsid w:val="008216AB"/>
    <w:rsid w:val="00830366"/>
    <w:rsid w:val="00830E09"/>
    <w:rsid w:val="008322B5"/>
    <w:rsid w:val="00833353"/>
    <w:rsid w:val="0083560C"/>
    <w:rsid w:val="0083565E"/>
    <w:rsid w:val="00841E86"/>
    <w:rsid w:val="00843F63"/>
    <w:rsid w:val="00854249"/>
    <w:rsid w:val="00854264"/>
    <w:rsid w:val="00855830"/>
    <w:rsid w:val="008559FD"/>
    <w:rsid w:val="00855B1B"/>
    <w:rsid w:val="0085757F"/>
    <w:rsid w:val="008663CD"/>
    <w:rsid w:val="00867D4B"/>
    <w:rsid w:val="00870146"/>
    <w:rsid w:val="00871EC7"/>
    <w:rsid w:val="00873E63"/>
    <w:rsid w:val="00874A35"/>
    <w:rsid w:val="00881730"/>
    <w:rsid w:val="008836E6"/>
    <w:rsid w:val="00884331"/>
    <w:rsid w:val="00887B04"/>
    <w:rsid w:val="008970B2"/>
    <w:rsid w:val="008A165A"/>
    <w:rsid w:val="008A6E4D"/>
    <w:rsid w:val="008A6F08"/>
    <w:rsid w:val="008A7450"/>
    <w:rsid w:val="008B4B4E"/>
    <w:rsid w:val="008C1172"/>
    <w:rsid w:val="008C1C34"/>
    <w:rsid w:val="008D29D1"/>
    <w:rsid w:val="008D54B3"/>
    <w:rsid w:val="008D574D"/>
    <w:rsid w:val="008D7C6C"/>
    <w:rsid w:val="008E3EEA"/>
    <w:rsid w:val="008E7BEE"/>
    <w:rsid w:val="008F177B"/>
    <w:rsid w:val="008F3406"/>
    <w:rsid w:val="008F379B"/>
    <w:rsid w:val="008F37FD"/>
    <w:rsid w:val="008F399E"/>
    <w:rsid w:val="00902300"/>
    <w:rsid w:val="00904FB1"/>
    <w:rsid w:val="0090704E"/>
    <w:rsid w:val="009146A3"/>
    <w:rsid w:val="0091655D"/>
    <w:rsid w:val="00923553"/>
    <w:rsid w:val="00923991"/>
    <w:rsid w:val="009252A3"/>
    <w:rsid w:val="0093106F"/>
    <w:rsid w:val="009335D1"/>
    <w:rsid w:val="009406A3"/>
    <w:rsid w:val="00954440"/>
    <w:rsid w:val="00955F0C"/>
    <w:rsid w:val="00957153"/>
    <w:rsid w:val="00962E0D"/>
    <w:rsid w:val="00963FC5"/>
    <w:rsid w:val="00964FAC"/>
    <w:rsid w:val="00965EAD"/>
    <w:rsid w:val="00974A27"/>
    <w:rsid w:val="00975D65"/>
    <w:rsid w:val="0098261D"/>
    <w:rsid w:val="00987007"/>
    <w:rsid w:val="00993DB2"/>
    <w:rsid w:val="00994329"/>
    <w:rsid w:val="00994B9D"/>
    <w:rsid w:val="00994D44"/>
    <w:rsid w:val="009A28FB"/>
    <w:rsid w:val="009A2ED4"/>
    <w:rsid w:val="009B171B"/>
    <w:rsid w:val="009B1E58"/>
    <w:rsid w:val="009B395C"/>
    <w:rsid w:val="009B3A3B"/>
    <w:rsid w:val="009C0DDA"/>
    <w:rsid w:val="009C625B"/>
    <w:rsid w:val="009C740B"/>
    <w:rsid w:val="009D494E"/>
    <w:rsid w:val="009D6255"/>
    <w:rsid w:val="009D6DC5"/>
    <w:rsid w:val="009E4681"/>
    <w:rsid w:val="009E62C8"/>
    <w:rsid w:val="009E6BDE"/>
    <w:rsid w:val="009F4FB0"/>
    <w:rsid w:val="009F5436"/>
    <w:rsid w:val="00A044E3"/>
    <w:rsid w:val="00A06C9D"/>
    <w:rsid w:val="00A0788A"/>
    <w:rsid w:val="00A11438"/>
    <w:rsid w:val="00A1195D"/>
    <w:rsid w:val="00A127D2"/>
    <w:rsid w:val="00A16B77"/>
    <w:rsid w:val="00A23945"/>
    <w:rsid w:val="00A25624"/>
    <w:rsid w:val="00A27A5B"/>
    <w:rsid w:val="00A310B6"/>
    <w:rsid w:val="00A311EF"/>
    <w:rsid w:val="00A3254D"/>
    <w:rsid w:val="00A4654D"/>
    <w:rsid w:val="00A50356"/>
    <w:rsid w:val="00A55F0E"/>
    <w:rsid w:val="00A567EF"/>
    <w:rsid w:val="00A61D61"/>
    <w:rsid w:val="00A63996"/>
    <w:rsid w:val="00A657B0"/>
    <w:rsid w:val="00A661E2"/>
    <w:rsid w:val="00A8012E"/>
    <w:rsid w:val="00A80952"/>
    <w:rsid w:val="00A856B7"/>
    <w:rsid w:val="00A936B1"/>
    <w:rsid w:val="00A974BE"/>
    <w:rsid w:val="00AB2D35"/>
    <w:rsid w:val="00AB3F60"/>
    <w:rsid w:val="00AB416A"/>
    <w:rsid w:val="00AB5EE0"/>
    <w:rsid w:val="00AB76A2"/>
    <w:rsid w:val="00AC01FA"/>
    <w:rsid w:val="00AC112A"/>
    <w:rsid w:val="00AC31CE"/>
    <w:rsid w:val="00AC7A28"/>
    <w:rsid w:val="00AD10C0"/>
    <w:rsid w:val="00AD4FD3"/>
    <w:rsid w:val="00AD7BFC"/>
    <w:rsid w:val="00AE093C"/>
    <w:rsid w:val="00AE1738"/>
    <w:rsid w:val="00AE3450"/>
    <w:rsid w:val="00AE68CC"/>
    <w:rsid w:val="00AE6FBD"/>
    <w:rsid w:val="00AF13B3"/>
    <w:rsid w:val="00AF259D"/>
    <w:rsid w:val="00AF25E9"/>
    <w:rsid w:val="00AF2C31"/>
    <w:rsid w:val="00AF37DC"/>
    <w:rsid w:val="00AF5C87"/>
    <w:rsid w:val="00AF6FE2"/>
    <w:rsid w:val="00B069AC"/>
    <w:rsid w:val="00B11B73"/>
    <w:rsid w:val="00B13E11"/>
    <w:rsid w:val="00B15F42"/>
    <w:rsid w:val="00B16BA2"/>
    <w:rsid w:val="00B2508F"/>
    <w:rsid w:val="00B2568B"/>
    <w:rsid w:val="00B25DA5"/>
    <w:rsid w:val="00B272F1"/>
    <w:rsid w:val="00B37943"/>
    <w:rsid w:val="00B43AC7"/>
    <w:rsid w:val="00B51E08"/>
    <w:rsid w:val="00B55D32"/>
    <w:rsid w:val="00B56ABF"/>
    <w:rsid w:val="00B57464"/>
    <w:rsid w:val="00B60263"/>
    <w:rsid w:val="00B61036"/>
    <w:rsid w:val="00B633BE"/>
    <w:rsid w:val="00B72DD3"/>
    <w:rsid w:val="00B72FD8"/>
    <w:rsid w:val="00B7335C"/>
    <w:rsid w:val="00B7657A"/>
    <w:rsid w:val="00B82805"/>
    <w:rsid w:val="00B97859"/>
    <w:rsid w:val="00B97BC5"/>
    <w:rsid w:val="00B97E8E"/>
    <w:rsid w:val="00BA4609"/>
    <w:rsid w:val="00BA4A0A"/>
    <w:rsid w:val="00BB23ED"/>
    <w:rsid w:val="00BB60CF"/>
    <w:rsid w:val="00BC0882"/>
    <w:rsid w:val="00BC1F8A"/>
    <w:rsid w:val="00BD0F67"/>
    <w:rsid w:val="00BD2782"/>
    <w:rsid w:val="00BE0F70"/>
    <w:rsid w:val="00BE2AB9"/>
    <w:rsid w:val="00BE5FD4"/>
    <w:rsid w:val="00BE646F"/>
    <w:rsid w:val="00BF1E3B"/>
    <w:rsid w:val="00C123B2"/>
    <w:rsid w:val="00C21001"/>
    <w:rsid w:val="00C22CEF"/>
    <w:rsid w:val="00C234FF"/>
    <w:rsid w:val="00C242C1"/>
    <w:rsid w:val="00C24896"/>
    <w:rsid w:val="00C25937"/>
    <w:rsid w:val="00C31894"/>
    <w:rsid w:val="00C361D6"/>
    <w:rsid w:val="00C36BC1"/>
    <w:rsid w:val="00C42E8F"/>
    <w:rsid w:val="00C46568"/>
    <w:rsid w:val="00C53151"/>
    <w:rsid w:val="00C628C4"/>
    <w:rsid w:val="00C63254"/>
    <w:rsid w:val="00C64802"/>
    <w:rsid w:val="00C67C6B"/>
    <w:rsid w:val="00C71EF9"/>
    <w:rsid w:val="00C74DE1"/>
    <w:rsid w:val="00C86FFB"/>
    <w:rsid w:val="00C874C0"/>
    <w:rsid w:val="00C8752C"/>
    <w:rsid w:val="00C93091"/>
    <w:rsid w:val="00C932D2"/>
    <w:rsid w:val="00C946CC"/>
    <w:rsid w:val="00C95989"/>
    <w:rsid w:val="00CA1130"/>
    <w:rsid w:val="00CA2FF5"/>
    <w:rsid w:val="00CB1C76"/>
    <w:rsid w:val="00CB49DA"/>
    <w:rsid w:val="00CC1F19"/>
    <w:rsid w:val="00CC2907"/>
    <w:rsid w:val="00CC4FDA"/>
    <w:rsid w:val="00CC6A8B"/>
    <w:rsid w:val="00CD2E65"/>
    <w:rsid w:val="00CD5634"/>
    <w:rsid w:val="00CE6C91"/>
    <w:rsid w:val="00CF7199"/>
    <w:rsid w:val="00D0011E"/>
    <w:rsid w:val="00D01335"/>
    <w:rsid w:val="00D03820"/>
    <w:rsid w:val="00D03EC6"/>
    <w:rsid w:val="00D04044"/>
    <w:rsid w:val="00D1181A"/>
    <w:rsid w:val="00D1198A"/>
    <w:rsid w:val="00D12CC3"/>
    <w:rsid w:val="00D250E2"/>
    <w:rsid w:val="00D3312B"/>
    <w:rsid w:val="00D35FE7"/>
    <w:rsid w:val="00D3693D"/>
    <w:rsid w:val="00D37865"/>
    <w:rsid w:val="00D41F29"/>
    <w:rsid w:val="00D423FF"/>
    <w:rsid w:val="00D4315A"/>
    <w:rsid w:val="00D46498"/>
    <w:rsid w:val="00D53B37"/>
    <w:rsid w:val="00D565CE"/>
    <w:rsid w:val="00D57367"/>
    <w:rsid w:val="00D62014"/>
    <w:rsid w:val="00D64FB5"/>
    <w:rsid w:val="00D81F9D"/>
    <w:rsid w:val="00D81FB4"/>
    <w:rsid w:val="00D84AE3"/>
    <w:rsid w:val="00D85C81"/>
    <w:rsid w:val="00D87450"/>
    <w:rsid w:val="00D92A34"/>
    <w:rsid w:val="00D93015"/>
    <w:rsid w:val="00D937D8"/>
    <w:rsid w:val="00D96C58"/>
    <w:rsid w:val="00DA5455"/>
    <w:rsid w:val="00DA64A4"/>
    <w:rsid w:val="00DB0F14"/>
    <w:rsid w:val="00DB58F8"/>
    <w:rsid w:val="00DB5B97"/>
    <w:rsid w:val="00DC1A7D"/>
    <w:rsid w:val="00DC6142"/>
    <w:rsid w:val="00DE4E8F"/>
    <w:rsid w:val="00DE598A"/>
    <w:rsid w:val="00DF2CB9"/>
    <w:rsid w:val="00DF30D5"/>
    <w:rsid w:val="00DF4736"/>
    <w:rsid w:val="00E0566E"/>
    <w:rsid w:val="00E07AC9"/>
    <w:rsid w:val="00E16809"/>
    <w:rsid w:val="00E24C7B"/>
    <w:rsid w:val="00E24E99"/>
    <w:rsid w:val="00E273B5"/>
    <w:rsid w:val="00E33AD1"/>
    <w:rsid w:val="00E33B7F"/>
    <w:rsid w:val="00E4069E"/>
    <w:rsid w:val="00E40F4B"/>
    <w:rsid w:val="00E40FE7"/>
    <w:rsid w:val="00E44A3E"/>
    <w:rsid w:val="00E52320"/>
    <w:rsid w:val="00E5609A"/>
    <w:rsid w:val="00E57C9D"/>
    <w:rsid w:val="00E66CCD"/>
    <w:rsid w:val="00E81F3D"/>
    <w:rsid w:val="00E83FC3"/>
    <w:rsid w:val="00E878CC"/>
    <w:rsid w:val="00E927E7"/>
    <w:rsid w:val="00EA287E"/>
    <w:rsid w:val="00EA3D6D"/>
    <w:rsid w:val="00EA5AF5"/>
    <w:rsid w:val="00EB35A1"/>
    <w:rsid w:val="00EB3A91"/>
    <w:rsid w:val="00EB52FD"/>
    <w:rsid w:val="00EB628E"/>
    <w:rsid w:val="00EC130C"/>
    <w:rsid w:val="00ED3294"/>
    <w:rsid w:val="00ED58D9"/>
    <w:rsid w:val="00ED6BF3"/>
    <w:rsid w:val="00EE23CC"/>
    <w:rsid w:val="00EE2A4D"/>
    <w:rsid w:val="00EE2B24"/>
    <w:rsid w:val="00EE2C3B"/>
    <w:rsid w:val="00EE390A"/>
    <w:rsid w:val="00EE6A32"/>
    <w:rsid w:val="00EF334C"/>
    <w:rsid w:val="00EF4354"/>
    <w:rsid w:val="00F00AD2"/>
    <w:rsid w:val="00F06CDE"/>
    <w:rsid w:val="00F07562"/>
    <w:rsid w:val="00F07D47"/>
    <w:rsid w:val="00F20C7F"/>
    <w:rsid w:val="00F21350"/>
    <w:rsid w:val="00F21CA9"/>
    <w:rsid w:val="00F24096"/>
    <w:rsid w:val="00F30E17"/>
    <w:rsid w:val="00F41226"/>
    <w:rsid w:val="00F414EF"/>
    <w:rsid w:val="00F430F4"/>
    <w:rsid w:val="00F47542"/>
    <w:rsid w:val="00F51613"/>
    <w:rsid w:val="00F518B4"/>
    <w:rsid w:val="00F51DE1"/>
    <w:rsid w:val="00F5344B"/>
    <w:rsid w:val="00F54A6F"/>
    <w:rsid w:val="00F56448"/>
    <w:rsid w:val="00F5666B"/>
    <w:rsid w:val="00F60F81"/>
    <w:rsid w:val="00F61D5F"/>
    <w:rsid w:val="00F6212D"/>
    <w:rsid w:val="00F70967"/>
    <w:rsid w:val="00F86466"/>
    <w:rsid w:val="00F95130"/>
    <w:rsid w:val="00F97AC0"/>
    <w:rsid w:val="00FA27F7"/>
    <w:rsid w:val="00FA3185"/>
    <w:rsid w:val="00FA492D"/>
    <w:rsid w:val="00FA5821"/>
    <w:rsid w:val="00FB0613"/>
    <w:rsid w:val="00FB06B5"/>
    <w:rsid w:val="00FB291B"/>
    <w:rsid w:val="00FB351B"/>
    <w:rsid w:val="00FB3925"/>
    <w:rsid w:val="00FC0187"/>
    <w:rsid w:val="00FC16E6"/>
    <w:rsid w:val="00FC49E7"/>
    <w:rsid w:val="00FD3B9B"/>
    <w:rsid w:val="00FD403C"/>
    <w:rsid w:val="00FD74C2"/>
    <w:rsid w:val="00FE3590"/>
    <w:rsid w:val="00FE3721"/>
    <w:rsid w:val="00FE4789"/>
    <w:rsid w:val="00FE525D"/>
    <w:rsid w:val="00FF12C8"/>
    <w:rsid w:val="00FF227E"/>
    <w:rsid w:val="00FF4679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34840"/>
    <w:pPr>
      <w:tabs>
        <w:tab w:val="left" w:pos="5205"/>
      </w:tabs>
      <w:spacing w:before="480" w:after="112" w:line="240" w:lineRule="auto"/>
    </w:pPr>
    <w:rPr>
      <w:rFonts w:ascii="Arial" w:hAnsi="Arial"/>
      <w:cap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07E11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3C2E9B"/>
    <w:pPr>
      <w:spacing w:after="260" w:line="260" w:lineRule="exact"/>
      <w:ind w:right="-285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214415"/>
    <w:pPr>
      <w:ind w:right="-144"/>
    </w:pPr>
    <w:rPr>
      <w:color w:val="auto"/>
      <w:szCs w:val="20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C2E9B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214415"/>
    <w:rPr>
      <w:rFonts w:ascii="Arial" w:hAnsi="Arial"/>
      <w:color w:val="000000" w:themeColor="text1"/>
      <w:sz w:val="20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paragraph" w:customStyle="1" w:styleId="CarcterCarcter">
    <w:name w:val="Carácter Carácter"/>
    <w:basedOn w:val="Normal"/>
    <w:rsid w:val="002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E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4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2CC3"/>
    <w:rPr>
      <w:b/>
      <w:bCs/>
      <w:i w:val="0"/>
      <w:iCs w:val="0"/>
    </w:rPr>
  </w:style>
  <w:style w:type="character" w:customStyle="1" w:styleId="st1">
    <w:name w:val="st1"/>
    <w:basedOn w:val="DefaultParagraphFont"/>
    <w:rsid w:val="00D12CC3"/>
  </w:style>
  <w:style w:type="character" w:customStyle="1" w:styleId="hps">
    <w:name w:val="hps"/>
    <w:basedOn w:val="DefaultParagraphFont"/>
    <w:rsid w:val="00B55D32"/>
  </w:style>
  <w:style w:type="character" w:customStyle="1" w:styleId="atn">
    <w:name w:val="atn"/>
    <w:basedOn w:val="DefaultParagraphFont"/>
    <w:rsid w:val="00335CD5"/>
  </w:style>
  <w:style w:type="character" w:styleId="FollowedHyperlink">
    <w:name w:val="FollowedHyperlink"/>
    <w:basedOn w:val="DefaultParagraphFont"/>
    <w:uiPriority w:val="99"/>
    <w:semiHidden/>
    <w:unhideWhenUsed/>
    <w:rsid w:val="002B3E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0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34840"/>
    <w:pPr>
      <w:tabs>
        <w:tab w:val="left" w:pos="5205"/>
      </w:tabs>
      <w:spacing w:before="480" w:after="112" w:line="240" w:lineRule="auto"/>
    </w:pPr>
    <w:rPr>
      <w:rFonts w:ascii="Arial" w:hAnsi="Arial"/>
      <w:cap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07E11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3C2E9B"/>
    <w:pPr>
      <w:spacing w:after="260" w:line="260" w:lineRule="exact"/>
      <w:ind w:right="-285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214415"/>
    <w:pPr>
      <w:ind w:right="-144"/>
    </w:pPr>
    <w:rPr>
      <w:color w:val="auto"/>
      <w:szCs w:val="20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C2E9B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214415"/>
    <w:rPr>
      <w:rFonts w:ascii="Arial" w:hAnsi="Arial"/>
      <w:color w:val="000000" w:themeColor="text1"/>
      <w:sz w:val="20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paragraph" w:customStyle="1" w:styleId="CarcterCarcter">
    <w:name w:val="Carácter Carácter"/>
    <w:basedOn w:val="Normal"/>
    <w:rsid w:val="002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E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4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2CC3"/>
    <w:rPr>
      <w:b/>
      <w:bCs/>
      <w:i w:val="0"/>
      <w:iCs w:val="0"/>
    </w:rPr>
  </w:style>
  <w:style w:type="character" w:customStyle="1" w:styleId="st1">
    <w:name w:val="st1"/>
    <w:basedOn w:val="DefaultParagraphFont"/>
    <w:rsid w:val="00D12CC3"/>
  </w:style>
  <w:style w:type="character" w:customStyle="1" w:styleId="hps">
    <w:name w:val="hps"/>
    <w:basedOn w:val="DefaultParagraphFont"/>
    <w:rsid w:val="00B55D32"/>
  </w:style>
  <w:style w:type="character" w:customStyle="1" w:styleId="atn">
    <w:name w:val="atn"/>
    <w:basedOn w:val="DefaultParagraphFont"/>
    <w:rsid w:val="00335CD5"/>
  </w:style>
  <w:style w:type="character" w:styleId="FollowedHyperlink">
    <w:name w:val="FollowedHyperlink"/>
    <w:basedOn w:val="DefaultParagraphFont"/>
    <w:uiPriority w:val="99"/>
    <w:semiHidden/>
    <w:unhideWhenUsed/>
    <w:rsid w:val="002B3E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publications/emcdda-papers/exploring-methamphetamine-trends-in-Europ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urveillance.org/ViewArticle.aspx?ArticleId=20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public_opinion/flash/fl_330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publications/implementation-reports/2013" TargetMode="External"/><Relationship Id="rId10" Type="http://schemas.openxmlformats.org/officeDocument/2006/relationships/hyperlink" Target="http://www.emcdda.europa.eu/edr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4/europol-emcdd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B8D6-8242-4C55-98B3-42135CE7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3103</Words>
  <Characters>17690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News release EN</vt:lpstr>
      <vt:lpstr>News release EN</vt:lpstr>
      <vt:lpstr>News release EN</vt:lpstr>
    </vt:vector>
  </TitlesOfParts>
  <Company>Translation Centre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5</cp:revision>
  <cp:lastPrinted>2014-05-20T14:35:00Z</cp:lastPrinted>
  <dcterms:created xsi:type="dcterms:W3CDTF">2014-05-20T12:48:00Z</dcterms:created>
  <dcterms:modified xsi:type="dcterms:W3CDTF">2014-05-20T14:35:00Z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