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margin" w:tblpXSpec="center" w:tblpY="710"/>
        <w:tblW w:w="5615" w:type="pct"/>
        <w:tblLayout w:type="fixed"/>
        <w:tblCellMar>
          <w:left w:w="142" w:type="dxa"/>
          <w:right w:w="0" w:type="dxa"/>
        </w:tblCellMar>
        <w:tblLook w:val="0080" w:firstRow="0" w:lastRow="0" w:firstColumn="1" w:lastColumn="0" w:noHBand="0" w:noVBand="0"/>
      </w:tblPr>
      <w:tblGrid>
        <w:gridCol w:w="4972"/>
        <w:gridCol w:w="5692"/>
      </w:tblGrid>
      <w:tr w:rsidR="00A27B0B" w:rsidRPr="00066532" w:rsidTr="00066532">
        <w:trPr>
          <w:trHeight w:val="1695"/>
        </w:trPr>
        <w:tc>
          <w:tcPr>
            <w:tcW w:w="2331" w:type="pct"/>
          </w:tcPr>
          <w:p w:rsidR="00A27B0B" w:rsidRPr="00066532" w:rsidRDefault="00090ED1" w:rsidP="00066532">
            <w:pPr>
              <w:spacing w:after="0" w:line="240" w:lineRule="auto"/>
              <w:rPr>
                <w:lang w:val="es-ES"/>
              </w:rPr>
            </w:pPr>
            <w:r>
              <w:rPr>
                <w:noProof/>
                <w:lang w:eastAsia="en-GB"/>
              </w:rPr>
              <w:drawing>
                <wp:inline distT="0" distB="0" distL="0" distR="0">
                  <wp:extent cx="2536190" cy="6121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612140"/>
                          </a:xfrm>
                          <a:prstGeom prst="rect">
                            <a:avLst/>
                          </a:prstGeom>
                          <a:noFill/>
                          <a:ln>
                            <a:noFill/>
                          </a:ln>
                        </pic:spPr>
                      </pic:pic>
                    </a:graphicData>
                  </a:graphic>
                </wp:inline>
              </w:drawing>
            </w:r>
          </w:p>
        </w:tc>
        <w:tc>
          <w:tcPr>
            <w:tcW w:w="2669" w:type="pct"/>
          </w:tcPr>
          <w:p w:rsidR="00A27B0B" w:rsidRPr="00066532" w:rsidRDefault="00A27B0B" w:rsidP="00066532">
            <w:pPr>
              <w:spacing w:after="0" w:line="240" w:lineRule="auto"/>
              <w:rPr>
                <w:lang w:val="es-ES"/>
              </w:rPr>
            </w:pPr>
          </w:p>
        </w:tc>
      </w:tr>
    </w:tbl>
    <w:p w:rsidR="0041535E" w:rsidRPr="0041535E" w:rsidRDefault="0041535E" w:rsidP="0041535E">
      <w:pPr>
        <w:spacing w:after="0"/>
        <w:rPr>
          <w:vanish/>
        </w:rPr>
      </w:pPr>
    </w:p>
    <w:tbl>
      <w:tblPr>
        <w:tblW w:w="12796" w:type="dxa"/>
        <w:tblInd w:w="-1271" w:type="dxa"/>
        <w:tblCellMar>
          <w:left w:w="0" w:type="dxa"/>
          <w:right w:w="0" w:type="dxa"/>
        </w:tblCellMar>
        <w:tblLook w:val="00A0" w:firstRow="1" w:lastRow="0" w:firstColumn="1" w:lastColumn="0" w:noHBand="0" w:noVBand="0"/>
      </w:tblPr>
      <w:tblGrid>
        <w:gridCol w:w="15078"/>
      </w:tblGrid>
      <w:tr w:rsidR="00A27B0B" w:rsidRPr="00066532" w:rsidTr="00066532">
        <w:trPr>
          <w:trHeight w:val="1304"/>
        </w:trPr>
        <w:tc>
          <w:tcPr>
            <w:tcW w:w="12796" w:type="dxa"/>
            <w:vAlign w:val="bottom"/>
          </w:tcPr>
          <w:p w:rsidR="00A27B0B" w:rsidRPr="00066532" w:rsidRDefault="00090ED1" w:rsidP="002E5103">
            <w:pPr>
              <w:spacing w:after="0" w:line="240" w:lineRule="auto"/>
              <w:ind w:right="3168"/>
              <w:rPr>
                <w:lang w:val="es-ES"/>
              </w:rPr>
            </w:pPr>
            <w:r>
              <w:rPr>
                <w:noProof/>
                <w:lang w:eastAsia="en-GB"/>
              </w:rPr>
              <w:drawing>
                <wp:inline distT="0" distB="0" distL="0" distR="0" wp14:anchorId="59BBEB06" wp14:editId="1934331A">
                  <wp:extent cx="7561580" cy="914400"/>
                  <wp:effectExtent l="0" t="0" r="127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914400"/>
                          </a:xfrm>
                          <a:prstGeom prst="rect">
                            <a:avLst/>
                          </a:prstGeom>
                          <a:noFill/>
                          <a:ln>
                            <a:noFill/>
                          </a:ln>
                        </pic:spPr>
                      </pic:pic>
                    </a:graphicData>
                  </a:graphic>
                </wp:inline>
              </w:drawing>
            </w:r>
          </w:p>
        </w:tc>
      </w:tr>
    </w:tbl>
    <w:p w:rsidR="00A27B0B" w:rsidRPr="00645465" w:rsidRDefault="00A27B0B" w:rsidP="00DA5A6F">
      <w:pPr>
        <w:pStyle w:val="newsTitle"/>
      </w:pPr>
      <w:r w:rsidRPr="00645465">
        <w:t>las drogas en un mercado europeo en evolución: análisis del emcdda 2014</w:t>
      </w:r>
    </w:p>
    <w:p w:rsidR="00A27B0B" w:rsidRPr="002E5103" w:rsidRDefault="00A27B0B" w:rsidP="002E5103">
      <w:pPr>
        <w:pStyle w:val="newsSubTitle"/>
      </w:pPr>
      <w:r w:rsidRPr="002E5103">
        <w:t xml:space="preserve">Se publica hoy el Informe </w:t>
      </w:r>
      <w:r w:rsidR="00DA5A6F">
        <w:t>Europeo sobre D</w:t>
      </w:r>
      <w:r w:rsidRPr="002E5103">
        <w:t xml:space="preserve">rogas </w:t>
      </w:r>
      <w:r w:rsidR="00DA5A6F">
        <w:t>—</w:t>
      </w:r>
      <w:r w:rsidRPr="002E5103">
        <w:t xml:space="preserve"> El problema de las drogas en Europa, «cada vez más complejo» </w:t>
      </w:r>
    </w:p>
    <w:p w:rsidR="00A27B0B" w:rsidRPr="00FF0C0F" w:rsidRDefault="00A27B0B" w:rsidP="00422CB4">
      <w:pPr>
        <w:pStyle w:val="newsContent"/>
        <w:rPr>
          <w:lang w:val="es-ES"/>
        </w:rPr>
      </w:pPr>
      <w:r w:rsidRPr="00FF0C0F">
        <w:rPr>
          <w:lang w:val="es-ES"/>
        </w:rPr>
        <w:t xml:space="preserve">(27.5.2014, LISBOA </w:t>
      </w:r>
      <w:r w:rsidRPr="002E5103">
        <w:rPr>
          <w:b/>
          <w:color w:val="FF0000"/>
          <w:lang w:val="es-ES"/>
        </w:rPr>
        <w:t>EMBARGO 10:00 WET/hora de Lisboa</w:t>
      </w:r>
      <w:r w:rsidRPr="00FF0C0F">
        <w:rPr>
          <w:lang w:val="es-ES"/>
        </w:rPr>
        <w:t>) El problema de las drogas es cada vez más complejo</w:t>
      </w:r>
      <w:r w:rsidR="00A44676" w:rsidRPr="00A44676">
        <w:rPr>
          <w:lang w:val="es-ES"/>
        </w:rPr>
        <w:t xml:space="preserve"> </w:t>
      </w:r>
      <w:r w:rsidR="00A44676" w:rsidRPr="00FF0C0F">
        <w:rPr>
          <w:lang w:val="es-ES"/>
        </w:rPr>
        <w:t>en Europa</w:t>
      </w:r>
      <w:r w:rsidRPr="002E5103">
        <w:rPr>
          <w:lang w:val="es-ES"/>
        </w:rPr>
        <w:t xml:space="preserve">, </w:t>
      </w:r>
      <w:r w:rsidR="007C177D" w:rsidRPr="002E5103">
        <w:rPr>
          <w:lang w:val="es-ES"/>
        </w:rPr>
        <w:t xml:space="preserve">planteando nuevos retos que crean inquietud para la </w:t>
      </w:r>
      <w:r w:rsidRPr="002E5103">
        <w:rPr>
          <w:lang w:val="es-ES"/>
        </w:rPr>
        <w:t>salud pública.</w:t>
      </w:r>
      <w:r w:rsidRPr="00FF0C0F">
        <w:rPr>
          <w:lang w:val="es-ES"/>
        </w:rPr>
        <w:t xml:space="preserve"> Así lo expresa el </w:t>
      </w:r>
      <w:r w:rsidRPr="00FF0C0F">
        <w:rPr>
          <w:b/>
          <w:i/>
          <w:lang w:val="es-ES"/>
        </w:rPr>
        <w:t xml:space="preserve">Informe </w:t>
      </w:r>
      <w:r w:rsidR="002E5103">
        <w:rPr>
          <w:b/>
          <w:i/>
          <w:lang w:val="es-ES"/>
        </w:rPr>
        <w:t>E</w:t>
      </w:r>
      <w:r w:rsidRPr="00FF0C0F">
        <w:rPr>
          <w:b/>
          <w:i/>
          <w:lang w:val="es-ES"/>
        </w:rPr>
        <w:t xml:space="preserve">uropeo sobre </w:t>
      </w:r>
      <w:r w:rsidR="002E5103">
        <w:rPr>
          <w:b/>
          <w:i/>
          <w:lang w:val="es-ES"/>
        </w:rPr>
        <w:t>D</w:t>
      </w:r>
      <w:r w:rsidRPr="00FF0C0F">
        <w:rPr>
          <w:b/>
          <w:i/>
          <w:lang w:val="es-ES"/>
        </w:rPr>
        <w:t>rogas 2014: Tendencias y novedades</w:t>
      </w:r>
      <w:r w:rsidRPr="00FF0C0F">
        <w:rPr>
          <w:lang w:val="es-ES"/>
        </w:rPr>
        <w:t xml:space="preserve">, publicado hoy </w:t>
      </w:r>
      <w:r w:rsidRPr="00422CB4">
        <w:rPr>
          <w:lang w:val="es-ES"/>
        </w:rPr>
        <w:t xml:space="preserve">por la </w:t>
      </w:r>
      <w:r w:rsidR="007C177D" w:rsidRPr="00422CB4">
        <w:rPr>
          <w:b/>
          <w:lang w:val="es-ES"/>
        </w:rPr>
        <w:t>A</w:t>
      </w:r>
      <w:r w:rsidRPr="00422CB4">
        <w:rPr>
          <w:b/>
          <w:lang w:val="es-ES"/>
        </w:rPr>
        <w:t>gencia</w:t>
      </w:r>
      <w:r w:rsidRPr="00FF0C0F">
        <w:rPr>
          <w:b/>
          <w:lang w:val="es-ES"/>
        </w:rPr>
        <w:t xml:space="preserve"> sobre drogas de la UE (EMCDDA) </w:t>
      </w:r>
      <w:r w:rsidRPr="00FF0C0F">
        <w:rPr>
          <w:lang w:val="es-ES"/>
        </w:rPr>
        <w:t>de Lisboa (</w:t>
      </w:r>
      <w:r w:rsidRPr="00FF0C0F">
        <w:rPr>
          <w:vertAlign w:val="superscript"/>
          <w:lang w:val="es-ES"/>
        </w:rPr>
        <w:t>1</w:t>
      </w:r>
      <w:r w:rsidRPr="00FF0C0F">
        <w:rPr>
          <w:lang w:val="es-ES"/>
        </w:rPr>
        <w:t xml:space="preserve">). En su </w:t>
      </w:r>
      <w:r w:rsidR="002E5103" w:rsidRPr="00281116">
        <w:rPr>
          <w:lang w:val="es-ES_tradnl"/>
        </w:rPr>
        <w:t xml:space="preserve">análisis </w:t>
      </w:r>
      <w:r w:rsidRPr="00FF0C0F">
        <w:rPr>
          <w:lang w:val="es-ES"/>
        </w:rPr>
        <w:t xml:space="preserve">anual del problema de las drogas, describe de nuevo una situación general estable, en la que se observan algunos signos positivos en lo que respecta a las drogas más </w:t>
      </w:r>
      <w:r w:rsidRPr="00FE45E8">
        <w:rPr>
          <w:lang w:val="es-ES"/>
        </w:rPr>
        <w:t>tradicionales</w:t>
      </w:r>
      <w:r w:rsidR="0049138C" w:rsidRPr="00FE45E8">
        <w:rPr>
          <w:lang w:val="es-ES"/>
        </w:rPr>
        <w:t>,</w:t>
      </w:r>
      <w:r w:rsidRPr="00FE45E8">
        <w:rPr>
          <w:lang w:val="es-ES"/>
        </w:rPr>
        <w:t xml:space="preserve"> </w:t>
      </w:r>
      <w:r w:rsidR="0049138C" w:rsidRPr="00FE45E8">
        <w:rPr>
          <w:lang w:val="es-ES"/>
        </w:rPr>
        <w:t>pero éstos,</w:t>
      </w:r>
      <w:r w:rsidRPr="00FE45E8">
        <w:rPr>
          <w:lang w:val="es-ES"/>
        </w:rPr>
        <w:t xml:space="preserve"> </w:t>
      </w:r>
      <w:r w:rsidR="0049138C" w:rsidRPr="00FE45E8">
        <w:rPr>
          <w:lang w:val="es-ES"/>
        </w:rPr>
        <w:t xml:space="preserve">sin embargo, </w:t>
      </w:r>
      <w:r w:rsidRPr="00FE45E8">
        <w:rPr>
          <w:lang w:val="es-ES"/>
        </w:rPr>
        <w:t>se ven</w:t>
      </w:r>
      <w:r w:rsidRPr="00FF0C0F">
        <w:rPr>
          <w:lang w:val="es-ES"/>
        </w:rPr>
        <w:t xml:space="preserve"> </w:t>
      </w:r>
      <w:proofErr w:type="spellStart"/>
      <w:r w:rsidRPr="00FF0C0F">
        <w:rPr>
          <w:lang w:val="es-ES"/>
        </w:rPr>
        <w:t>contra</w:t>
      </w:r>
      <w:r w:rsidR="0049138C">
        <w:rPr>
          <w:lang w:val="es-ES"/>
        </w:rPr>
        <w:t>restados</w:t>
      </w:r>
      <w:proofErr w:type="spellEnd"/>
      <w:r w:rsidRPr="00FF0C0F">
        <w:rPr>
          <w:lang w:val="es-ES"/>
        </w:rPr>
        <w:t>, por las nuevas amenazas que plantean las drogas sintéticas, incluidos estimulantes, nuevas sustancias psico</w:t>
      </w:r>
      <w:r w:rsidR="0049138C">
        <w:rPr>
          <w:lang w:val="es-ES"/>
        </w:rPr>
        <w:t>activas</w:t>
      </w:r>
      <w:r w:rsidRPr="00FF0C0F">
        <w:rPr>
          <w:lang w:val="es-ES"/>
        </w:rPr>
        <w:t xml:space="preserve"> y medicamentos, que tienen una presencia cada vez mayor en </w:t>
      </w:r>
      <w:r w:rsidR="00833E17">
        <w:rPr>
          <w:lang w:val="es-ES"/>
        </w:rPr>
        <w:t>un</w:t>
      </w:r>
      <w:r w:rsidRPr="00FF0C0F">
        <w:rPr>
          <w:lang w:val="es-ES"/>
        </w:rPr>
        <w:t xml:space="preserve"> mercado </w:t>
      </w:r>
      <w:r w:rsidR="00833E17" w:rsidRPr="00FF0C0F">
        <w:rPr>
          <w:lang w:val="es-ES"/>
        </w:rPr>
        <w:t xml:space="preserve">de drogas </w:t>
      </w:r>
      <w:r w:rsidRPr="00FF0C0F">
        <w:rPr>
          <w:lang w:val="es-ES"/>
        </w:rPr>
        <w:t>europeo en</w:t>
      </w:r>
      <w:r w:rsidR="00833E17">
        <w:rPr>
          <w:lang w:val="es-ES"/>
        </w:rPr>
        <w:t xml:space="preserve"> constante</w:t>
      </w:r>
      <w:r w:rsidRPr="00FF0C0F">
        <w:rPr>
          <w:lang w:val="es-ES"/>
        </w:rPr>
        <w:t xml:space="preserve"> evolución.</w:t>
      </w:r>
    </w:p>
    <w:p w:rsidR="00A27B0B" w:rsidRPr="00FF0C0F" w:rsidRDefault="00A27B0B" w:rsidP="00422CB4">
      <w:pPr>
        <w:pStyle w:val="newsContent"/>
        <w:rPr>
          <w:lang w:val="es-ES"/>
        </w:rPr>
      </w:pPr>
      <w:r w:rsidRPr="00FF0C0F">
        <w:rPr>
          <w:b/>
          <w:lang w:val="es-ES"/>
        </w:rPr>
        <w:t xml:space="preserve">En palabras de la Comisaria europea de Asuntos de Interior, Cecilia </w:t>
      </w:r>
      <w:proofErr w:type="spellStart"/>
      <w:r w:rsidRPr="00FF0C0F">
        <w:rPr>
          <w:b/>
          <w:lang w:val="es-ES"/>
        </w:rPr>
        <w:t>Malmström</w:t>
      </w:r>
      <w:proofErr w:type="spellEnd"/>
      <w:r w:rsidRPr="00FF0C0F">
        <w:rPr>
          <w:lang w:val="es-ES"/>
        </w:rPr>
        <w:t xml:space="preserve">: </w:t>
      </w:r>
      <w:r>
        <w:rPr>
          <w:rFonts w:cs="Arial"/>
          <w:lang w:val="es-ES"/>
        </w:rPr>
        <w:t>«</w:t>
      </w:r>
      <w:r w:rsidRPr="00FF0C0F">
        <w:rPr>
          <w:lang w:val="es-ES"/>
        </w:rPr>
        <w:t xml:space="preserve">Me preocupa profundamente que las drogas que se consumen ahora </w:t>
      </w:r>
      <w:r w:rsidR="005A382B">
        <w:rPr>
          <w:lang w:val="es-ES"/>
        </w:rPr>
        <w:t xml:space="preserve">en </w:t>
      </w:r>
      <w:r w:rsidRPr="00FF0C0F">
        <w:rPr>
          <w:lang w:val="es-ES"/>
        </w:rPr>
        <w:t xml:space="preserve">Europa puedan ser incluso más perjudiciales para la salud de los consumidores que en el pasado. Hay indicios de que el éxtasis y el cannabis que se venden en la calle son más potentes. Observo también cómo el Sistema de </w:t>
      </w:r>
      <w:r w:rsidR="000A3286">
        <w:rPr>
          <w:lang w:val="es-ES"/>
        </w:rPr>
        <w:t>A</w:t>
      </w:r>
      <w:r w:rsidRPr="00FF0C0F">
        <w:rPr>
          <w:lang w:val="es-ES"/>
        </w:rPr>
        <w:t xml:space="preserve">lerta </w:t>
      </w:r>
      <w:r w:rsidR="000A3286">
        <w:rPr>
          <w:lang w:val="es-ES"/>
        </w:rPr>
        <w:t>R</w:t>
      </w:r>
      <w:r w:rsidRPr="00FF0C0F">
        <w:rPr>
          <w:lang w:val="es-ES"/>
        </w:rPr>
        <w:t>ápida de la UE, nuestra primera línea de defensa contra las drogas de nueva aparición, se ve sometido a presiones crecientes, ante el rápido aumento del número y diversidad de sustancias. Este Sistema ha examinado este año cuatro nuevas sustancias relacionadas con intoxicaciones agudas y muertes en los Estados miembros</w:t>
      </w:r>
      <w:r>
        <w:rPr>
          <w:rFonts w:cs="Arial"/>
          <w:lang w:val="es-ES"/>
        </w:rPr>
        <w:t>»</w:t>
      </w:r>
      <w:r w:rsidRPr="00FF0C0F">
        <w:rPr>
          <w:lang w:val="es-ES"/>
        </w:rPr>
        <w:t xml:space="preserve">. </w:t>
      </w:r>
    </w:p>
    <w:p w:rsidR="00A27B0B" w:rsidRPr="00FF0C0F" w:rsidRDefault="000A3286" w:rsidP="00422CB4">
      <w:pPr>
        <w:pStyle w:val="newsContent"/>
        <w:rPr>
          <w:lang w:val="es-ES"/>
        </w:rPr>
      </w:pPr>
      <w:r w:rsidRPr="00FE45E8">
        <w:rPr>
          <w:b/>
          <w:lang w:val="es-ES"/>
        </w:rPr>
        <w:t xml:space="preserve">Además la </w:t>
      </w:r>
      <w:r w:rsidR="00A27B0B" w:rsidRPr="00FE45E8">
        <w:rPr>
          <w:b/>
          <w:lang w:val="es-ES"/>
        </w:rPr>
        <w:t xml:space="preserve">Comisaria </w:t>
      </w:r>
      <w:proofErr w:type="spellStart"/>
      <w:r w:rsidR="00A27B0B" w:rsidRPr="00FE45E8">
        <w:rPr>
          <w:b/>
          <w:lang w:val="es-ES"/>
        </w:rPr>
        <w:t>Malmström</w:t>
      </w:r>
      <w:proofErr w:type="spellEnd"/>
      <w:r w:rsidR="00A27B0B" w:rsidRPr="00FE45E8">
        <w:rPr>
          <w:lang w:val="es-ES"/>
        </w:rPr>
        <w:t xml:space="preserve"> añade: </w:t>
      </w:r>
      <w:r w:rsidR="00A27B0B" w:rsidRPr="00FE45E8">
        <w:rPr>
          <w:rFonts w:cs="Arial"/>
          <w:lang w:val="es-ES"/>
        </w:rPr>
        <w:t>«</w:t>
      </w:r>
      <w:r w:rsidR="00A27B0B" w:rsidRPr="00FE45E8">
        <w:rPr>
          <w:lang w:val="es-ES"/>
        </w:rPr>
        <w:t>L</w:t>
      </w:r>
      <w:r w:rsidR="001342DF" w:rsidRPr="00FE45E8">
        <w:rPr>
          <w:lang w:val="es-ES"/>
        </w:rPr>
        <w:t>a</w:t>
      </w:r>
      <w:r w:rsidR="00A27B0B" w:rsidRPr="00FE45E8">
        <w:rPr>
          <w:lang w:val="es-ES"/>
        </w:rPr>
        <w:t xml:space="preserve">s </w:t>
      </w:r>
      <w:r w:rsidR="001342DF" w:rsidRPr="00FE45E8">
        <w:rPr>
          <w:lang w:val="es-ES"/>
        </w:rPr>
        <w:t>fuerzas de seguridad</w:t>
      </w:r>
      <w:r w:rsidR="00A27B0B" w:rsidRPr="00FE45E8">
        <w:rPr>
          <w:lang w:val="es-ES"/>
        </w:rPr>
        <w:t xml:space="preserve"> </w:t>
      </w:r>
      <w:r w:rsidR="00FE45E8" w:rsidRPr="00FE45E8">
        <w:rPr>
          <w:lang w:val="es-ES"/>
        </w:rPr>
        <w:t xml:space="preserve">en </w:t>
      </w:r>
      <w:r w:rsidR="00A27B0B" w:rsidRPr="00FE45E8">
        <w:rPr>
          <w:lang w:val="es-ES"/>
        </w:rPr>
        <w:t>Europ</w:t>
      </w:r>
      <w:r w:rsidR="00FE45E8" w:rsidRPr="00FE45E8">
        <w:rPr>
          <w:lang w:val="es-ES"/>
        </w:rPr>
        <w:t>a</w:t>
      </w:r>
      <w:r w:rsidR="00A27B0B" w:rsidRPr="00FE45E8">
        <w:rPr>
          <w:lang w:val="es-ES"/>
        </w:rPr>
        <w:t xml:space="preserve"> </w:t>
      </w:r>
      <w:r w:rsidR="008526A4" w:rsidRPr="00FE45E8">
        <w:rPr>
          <w:lang w:val="es-ES"/>
        </w:rPr>
        <w:t>se en</w:t>
      </w:r>
      <w:r w:rsidR="00A27B0B" w:rsidRPr="00FE45E8">
        <w:rPr>
          <w:lang w:val="es-ES"/>
        </w:rPr>
        <w:t>frent</w:t>
      </w:r>
      <w:r w:rsidR="008526A4" w:rsidRPr="00FE45E8">
        <w:rPr>
          <w:lang w:val="es-ES"/>
        </w:rPr>
        <w:t>an</w:t>
      </w:r>
      <w:r w:rsidR="00A27B0B" w:rsidRPr="00FE45E8">
        <w:rPr>
          <w:lang w:val="es-ES"/>
        </w:rPr>
        <w:t xml:space="preserve"> cada vez más frecuente</w:t>
      </w:r>
      <w:r w:rsidR="008526A4" w:rsidRPr="00FE45E8">
        <w:rPr>
          <w:lang w:val="es-ES"/>
        </w:rPr>
        <w:t>mente</w:t>
      </w:r>
      <w:r w:rsidR="00A27B0B" w:rsidRPr="00FE45E8">
        <w:rPr>
          <w:lang w:val="es-ES"/>
        </w:rPr>
        <w:t xml:space="preserve"> </w:t>
      </w:r>
      <w:r w:rsidR="008526A4" w:rsidRPr="00FE45E8">
        <w:rPr>
          <w:lang w:val="es-ES"/>
        </w:rPr>
        <w:t>a</w:t>
      </w:r>
      <w:r w:rsidR="00A27B0B" w:rsidRPr="00FE45E8">
        <w:rPr>
          <w:lang w:val="es-ES"/>
        </w:rPr>
        <w:t xml:space="preserve"> la circulación de pequeños paquetes</w:t>
      </w:r>
      <w:r w:rsidR="008526A4" w:rsidRPr="00FE45E8">
        <w:rPr>
          <w:lang w:val="es-ES"/>
        </w:rPr>
        <w:t xml:space="preserve"> fáciles de transportar,</w:t>
      </w:r>
      <w:r w:rsidR="00A27B0B" w:rsidRPr="00FE45E8">
        <w:rPr>
          <w:lang w:val="es-ES"/>
        </w:rPr>
        <w:t xml:space="preserve"> </w:t>
      </w:r>
      <w:r w:rsidR="008526A4" w:rsidRPr="00FE45E8">
        <w:rPr>
          <w:lang w:val="es-ES"/>
        </w:rPr>
        <w:t>con</w:t>
      </w:r>
      <w:r w:rsidR="00A27B0B" w:rsidRPr="00FE45E8">
        <w:rPr>
          <w:lang w:val="es-ES"/>
        </w:rPr>
        <w:t xml:space="preserve"> polvos aparentemente inocuos que pueden contener varios miles de dosis individuales. Este análisis anual del EMCDDA nos </w:t>
      </w:r>
      <w:r w:rsidR="001342DF" w:rsidRPr="00FE45E8">
        <w:rPr>
          <w:lang w:val="es-ES"/>
        </w:rPr>
        <w:t xml:space="preserve">proporciona </w:t>
      </w:r>
      <w:r w:rsidR="00A27B0B" w:rsidRPr="00FE45E8">
        <w:rPr>
          <w:lang w:val="es-ES"/>
        </w:rPr>
        <w:t xml:space="preserve">una </w:t>
      </w:r>
      <w:r w:rsidR="001342DF" w:rsidRPr="00FE45E8">
        <w:rPr>
          <w:lang w:val="es-ES"/>
        </w:rPr>
        <w:t xml:space="preserve">visión de vital importancia </w:t>
      </w:r>
      <w:r w:rsidR="00A27B0B" w:rsidRPr="00FE45E8">
        <w:rPr>
          <w:lang w:val="es-ES"/>
        </w:rPr>
        <w:t>sobre la evolución de</w:t>
      </w:r>
      <w:r w:rsidR="001342DF" w:rsidRPr="00FE45E8">
        <w:rPr>
          <w:lang w:val="es-ES"/>
        </w:rPr>
        <w:t xml:space="preserve">l problema de las </w:t>
      </w:r>
      <w:r w:rsidR="00A27B0B" w:rsidRPr="00FE45E8">
        <w:rPr>
          <w:lang w:val="es-ES"/>
        </w:rPr>
        <w:t xml:space="preserve">drogas en Europa. Ahora esta información </w:t>
      </w:r>
      <w:r w:rsidR="001342DF" w:rsidRPr="00FE45E8">
        <w:rPr>
          <w:lang w:val="es-ES"/>
        </w:rPr>
        <w:t xml:space="preserve">debe llegar </w:t>
      </w:r>
      <w:r w:rsidR="00A27B0B" w:rsidRPr="00FE45E8">
        <w:rPr>
          <w:lang w:val="es-ES"/>
        </w:rPr>
        <w:t>a l</w:t>
      </w:r>
      <w:r w:rsidR="00AD09E4" w:rsidRPr="00FE45E8">
        <w:rPr>
          <w:lang w:val="es-ES"/>
        </w:rPr>
        <w:t>a</w:t>
      </w:r>
      <w:r w:rsidR="00A27B0B" w:rsidRPr="00FE45E8">
        <w:rPr>
          <w:lang w:val="es-ES"/>
        </w:rPr>
        <w:t xml:space="preserve"> fuerzas de seguridad</w:t>
      </w:r>
      <w:r w:rsidR="00AD09E4" w:rsidRPr="00FE45E8">
        <w:rPr>
          <w:lang w:val="es-ES"/>
        </w:rPr>
        <w:t xml:space="preserve"> </w:t>
      </w:r>
      <w:r w:rsidR="00F70D85" w:rsidRPr="00FE45E8">
        <w:rPr>
          <w:lang w:val="es-ES"/>
        </w:rPr>
        <w:t xml:space="preserve">y a los </w:t>
      </w:r>
      <w:r w:rsidR="00AD09E4" w:rsidRPr="00FE45E8">
        <w:rPr>
          <w:lang w:val="es-ES"/>
        </w:rPr>
        <w:t xml:space="preserve">servicios </w:t>
      </w:r>
      <w:r w:rsidR="00A27B0B" w:rsidRPr="00FE45E8">
        <w:rPr>
          <w:lang w:val="es-ES"/>
        </w:rPr>
        <w:t xml:space="preserve">de prevención y de tratamiento. Es esencial que usemos estos datos para garantizar </w:t>
      </w:r>
      <w:r w:rsidR="00AD09E4" w:rsidRPr="00FE45E8">
        <w:rPr>
          <w:lang w:val="es-ES"/>
        </w:rPr>
        <w:t xml:space="preserve">que la </w:t>
      </w:r>
      <w:r w:rsidR="00A27B0B" w:rsidRPr="00FE45E8">
        <w:rPr>
          <w:lang w:val="es-ES"/>
        </w:rPr>
        <w:t xml:space="preserve">respuesta de las autoridades europeas </w:t>
      </w:r>
      <w:r w:rsidR="00AD09E4" w:rsidRPr="00FE45E8">
        <w:rPr>
          <w:lang w:val="es-ES"/>
        </w:rPr>
        <w:t>se adapt</w:t>
      </w:r>
      <w:r w:rsidR="00FE45E8" w:rsidRPr="00FE45E8">
        <w:rPr>
          <w:lang w:val="es-ES"/>
        </w:rPr>
        <w:t>e</w:t>
      </w:r>
      <w:r w:rsidR="00AD09E4" w:rsidRPr="00FE45E8">
        <w:rPr>
          <w:lang w:val="es-ES"/>
        </w:rPr>
        <w:t xml:space="preserve"> a</w:t>
      </w:r>
      <w:r w:rsidR="00A27B0B" w:rsidRPr="00FE45E8">
        <w:rPr>
          <w:lang w:val="es-ES"/>
        </w:rPr>
        <w:t xml:space="preserve"> </w:t>
      </w:r>
      <w:r w:rsidR="00AD09E4" w:rsidRPr="00FE45E8">
        <w:rPr>
          <w:lang w:val="es-ES"/>
        </w:rPr>
        <w:t xml:space="preserve">los nuevos </w:t>
      </w:r>
      <w:r w:rsidR="00AC69C9" w:rsidRPr="00FE45E8">
        <w:rPr>
          <w:lang w:val="es-ES"/>
        </w:rPr>
        <w:t>desafíos</w:t>
      </w:r>
      <w:r w:rsidR="00A27B0B" w:rsidRPr="00FE45E8">
        <w:rPr>
          <w:lang w:val="es-ES"/>
        </w:rPr>
        <w:t xml:space="preserve"> con </w:t>
      </w:r>
      <w:r w:rsidR="00AD09E4" w:rsidRPr="00FE45E8">
        <w:rPr>
          <w:lang w:val="es-ES"/>
        </w:rPr>
        <w:t xml:space="preserve">los </w:t>
      </w:r>
      <w:r w:rsidR="00A27B0B" w:rsidRPr="00FE45E8">
        <w:rPr>
          <w:lang w:val="es-ES"/>
        </w:rPr>
        <w:t>que nos enfrentamos</w:t>
      </w:r>
      <w:r w:rsidR="00A27B0B" w:rsidRPr="00FE45E8">
        <w:rPr>
          <w:rFonts w:cs="Arial"/>
          <w:lang w:val="es-ES"/>
        </w:rPr>
        <w:t>»</w:t>
      </w:r>
      <w:r w:rsidR="00A27B0B" w:rsidRPr="00FE45E8">
        <w:rPr>
          <w:lang w:val="es-ES"/>
        </w:rPr>
        <w:t>.</w:t>
      </w:r>
      <w:r w:rsidR="00A27B0B" w:rsidRPr="00FF0C0F">
        <w:rPr>
          <w:lang w:val="es-ES"/>
        </w:rPr>
        <w:t xml:space="preserve"> </w:t>
      </w:r>
    </w:p>
    <w:p w:rsidR="00A27B0B" w:rsidRPr="00FF0C0F" w:rsidRDefault="00A27B0B" w:rsidP="00422CB4">
      <w:pPr>
        <w:pStyle w:val="newsContent"/>
        <w:rPr>
          <w:lang w:val="es-ES"/>
        </w:rPr>
      </w:pPr>
      <w:r w:rsidRPr="00FF0C0F">
        <w:rPr>
          <w:b/>
          <w:lang w:val="es-ES"/>
        </w:rPr>
        <w:t xml:space="preserve">Como ha señalado el Director del EMCDDA, Wolfgang </w:t>
      </w:r>
      <w:proofErr w:type="spellStart"/>
      <w:r w:rsidRPr="00FF0C0F">
        <w:rPr>
          <w:b/>
          <w:lang w:val="es-ES"/>
        </w:rPr>
        <w:t>Götz</w:t>
      </w:r>
      <w:proofErr w:type="spellEnd"/>
      <w:r w:rsidRPr="00FF0C0F">
        <w:rPr>
          <w:lang w:val="es-ES"/>
        </w:rPr>
        <w:t xml:space="preserve">: </w:t>
      </w:r>
      <w:r>
        <w:rPr>
          <w:rFonts w:cs="Arial"/>
          <w:lang w:val="es-ES"/>
        </w:rPr>
        <w:t>«</w:t>
      </w:r>
      <w:r w:rsidRPr="00FF0C0F">
        <w:rPr>
          <w:lang w:val="es-ES"/>
        </w:rPr>
        <w:t xml:space="preserve">Vistas las cosas en </w:t>
      </w:r>
      <w:r w:rsidR="006C20F9">
        <w:rPr>
          <w:lang w:val="es-ES"/>
        </w:rPr>
        <w:t xml:space="preserve">su </w:t>
      </w:r>
      <w:r w:rsidRPr="00FF0C0F">
        <w:rPr>
          <w:lang w:val="es-ES"/>
        </w:rPr>
        <w:t xml:space="preserve">conjunto, es evidente que se han hecho progresos en Europa en el cumplimiento de algunos de los grandes objetivos de la política sanitaria del pasado. No obstante, la perspectiva europea puede </w:t>
      </w:r>
      <w:r w:rsidR="006C20F9">
        <w:rPr>
          <w:lang w:val="es-ES"/>
        </w:rPr>
        <w:t>ocultar</w:t>
      </w:r>
      <w:r w:rsidR="006C20F9" w:rsidRPr="00FF0C0F">
        <w:rPr>
          <w:lang w:val="es-ES"/>
        </w:rPr>
        <w:t xml:space="preserve"> </w:t>
      </w:r>
      <w:r w:rsidRPr="00FF0C0F">
        <w:rPr>
          <w:lang w:val="es-ES"/>
        </w:rPr>
        <w:t>algunas diferencias nacionales</w:t>
      </w:r>
      <w:r w:rsidR="006C20F9">
        <w:rPr>
          <w:lang w:val="es-ES"/>
        </w:rPr>
        <w:t xml:space="preserve"> </w:t>
      </w:r>
      <w:r w:rsidR="006C20F9" w:rsidRPr="00FF0C0F">
        <w:rPr>
          <w:lang w:val="es-ES"/>
        </w:rPr>
        <w:t>importantes</w:t>
      </w:r>
      <w:r w:rsidRPr="00FF0C0F">
        <w:rPr>
          <w:lang w:val="es-ES"/>
        </w:rPr>
        <w:t xml:space="preserve">. Nuestros últimos datos sobre las alentadoras tendencias generales de </w:t>
      </w:r>
      <w:smartTag w:uri="urn:schemas-microsoft-com:office:smarttags" w:element="PersonName">
        <w:smartTagPr>
          <w:attr w:name="ProductID" w:val="la UE"/>
        </w:smartTagPr>
        <w:r w:rsidRPr="00FF0C0F">
          <w:rPr>
            <w:lang w:val="es-ES"/>
          </w:rPr>
          <w:t>la UE</w:t>
        </w:r>
      </w:smartTag>
      <w:r w:rsidRPr="00FF0C0F">
        <w:rPr>
          <w:lang w:val="es-ES"/>
        </w:rPr>
        <w:t xml:space="preserve"> en cuanto a las muertes por sobredosis y a las infecciones por el VIH relacionadas con las drogas, por ejemplo, contrastan fuertemente con la preocupante evolución que se observa en algunos Estados miembros</w:t>
      </w:r>
      <w:r>
        <w:rPr>
          <w:rFonts w:cs="Arial"/>
          <w:lang w:val="es-ES"/>
        </w:rPr>
        <w:t>»</w:t>
      </w:r>
      <w:r w:rsidRPr="00FF0C0F">
        <w:rPr>
          <w:lang w:val="es-ES"/>
        </w:rPr>
        <w:t xml:space="preserve">. </w:t>
      </w:r>
    </w:p>
    <w:p w:rsidR="00A27B0B" w:rsidRPr="00FF0C0F" w:rsidRDefault="00A27B0B" w:rsidP="00422CB4">
      <w:pPr>
        <w:pStyle w:val="newsContent"/>
        <w:rPr>
          <w:lang w:val="es-ES"/>
        </w:rPr>
      </w:pPr>
      <w:r w:rsidRPr="00FF0C0F">
        <w:rPr>
          <w:lang w:val="es-ES"/>
        </w:rPr>
        <w:t>Reconociendo esta complejidad, el informe ofrece una descripción general a</w:t>
      </w:r>
      <w:r>
        <w:rPr>
          <w:lang w:val="es-ES"/>
        </w:rPr>
        <w:t>l más alto</w:t>
      </w:r>
      <w:r w:rsidRPr="00FF0C0F">
        <w:rPr>
          <w:lang w:val="es-ES"/>
        </w:rPr>
        <w:t xml:space="preserve"> nivel de las tendencias y la evolución a largo plazo del problema de las drogas a escala europea, pero se ocupa también de los problemas recientemente aparecidos en algunos países.</w:t>
      </w:r>
    </w:p>
    <w:p w:rsidR="00422CB4" w:rsidRDefault="00422CB4" w:rsidP="00422CB4">
      <w:pPr>
        <w:pStyle w:val="newsContent"/>
        <w:rPr>
          <w:b/>
          <w:lang w:val="es-ES_tradnl"/>
        </w:rPr>
      </w:pPr>
    </w:p>
    <w:p w:rsidR="00422CB4" w:rsidRDefault="00422CB4" w:rsidP="00422CB4">
      <w:pPr>
        <w:pStyle w:val="newsContent"/>
        <w:rPr>
          <w:b/>
          <w:lang w:val="es-ES_tradnl"/>
        </w:rPr>
      </w:pPr>
    </w:p>
    <w:p w:rsidR="00A27B0B" w:rsidRPr="00422CB4" w:rsidRDefault="00A27B0B" w:rsidP="00422CB4">
      <w:pPr>
        <w:pStyle w:val="newsContent"/>
        <w:rPr>
          <w:b/>
          <w:lang w:val="es-ES_tradnl"/>
        </w:rPr>
      </w:pPr>
      <w:r w:rsidRPr="00422CB4">
        <w:rPr>
          <w:b/>
          <w:lang w:val="es-ES_tradnl"/>
        </w:rPr>
        <w:lastRenderedPageBreak/>
        <w:t xml:space="preserve">La heroína está en declive, pero sustancias </w:t>
      </w:r>
      <w:r w:rsidR="006C20F9" w:rsidRPr="00422CB4">
        <w:rPr>
          <w:b/>
          <w:lang w:val="es-ES_tradnl"/>
        </w:rPr>
        <w:t>alternativas causan preocupación</w:t>
      </w:r>
    </w:p>
    <w:p w:rsidR="00A27B0B" w:rsidRPr="00FF0C0F" w:rsidRDefault="00A27B0B" w:rsidP="00422CB4">
      <w:pPr>
        <w:pStyle w:val="newsContent"/>
        <w:rPr>
          <w:lang w:val="es-ES"/>
        </w:rPr>
      </w:pPr>
      <w:r w:rsidRPr="00FF0C0F">
        <w:rPr>
          <w:lang w:val="es-ES"/>
        </w:rPr>
        <w:t xml:space="preserve">Aunque la producción mundial de heroína continúa siendo elevada y las cantidades incautadas en </w:t>
      </w:r>
      <w:r w:rsidRPr="00FF0C0F">
        <w:rPr>
          <w:b/>
          <w:lang w:val="es-ES"/>
        </w:rPr>
        <w:t>Turquía</w:t>
      </w:r>
      <w:r w:rsidRPr="00FF0C0F">
        <w:rPr>
          <w:lang w:val="es-ES"/>
        </w:rPr>
        <w:t xml:space="preserve"> están aumentando (gráficos 1.4 y 1.5), los últimos datos sobre </w:t>
      </w:r>
      <w:r w:rsidR="000D24BD">
        <w:rPr>
          <w:lang w:val="es-ES"/>
        </w:rPr>
        <w:t>admisiones</w:t>
      </w:r>
      <w:r w:rsidRPr="00FF0C0F">
        <w:rPr>
          <w:lang w:val="es-ES"/>
        </w:rPr>
        <w:t xml:space="preserve"> </w:t>
      </w:r>
      <w:r w:rsidR="000D24BD">
        <w:rPr>
          <w:lang w:val="es-ES"/>
        </w:rPr>
        <w:t>a</w:t>
      </w:r>
      <w:r w:rsidRPr="00FF0C0F">
        <w:rPr>
          <w:lang w:val="es-ES"/>
        </w:rPr>
        <w:t xml:space="preserve"> tratamiento </w:t>
      </w:r>
      <w:r w:rsidR="000D24BD">
        <w:rPr>
          <w:lang w:val="es-ES"/>
        </w:rPr>
        <w:t>e</w:t>
      </w:r>
      <w:r w:rsidRPr="00FF0C0F">
        <w:rPr>
          <w:lang w:val="es-ES"/>
        </w:rPr>
        <w:t xml:space="preserve"> incautaciones practicadas en Europa apuntan a una tendencia a la baja en su consumo y disponibilidad. El número de consumidores que iniciaron tratamiento </w:t>
      </w:r>
      <w:r w:rsidR="000D24BD">
        <w:rPr>
          <w:lang w:val="es-ES"/>
        </w:rPr>
        <w:t xml:space="preserve">por primera vez en centros </w:t>
      </w:r>
      <w:r w:rsidRPr="00FF0C0F">
        <w:rPr>
          <w:lang w:val="es-ES"/>
        </w:rPr>
        <w:t>especializado</w:t>
      </w:r>
      <w:r w:rsidR="000D24BD">
        <w:rPr>
          <w:lang w:val="es-ES"/>
        </w:rPr>
        <w:t>s</w:t>
      </w:r>
      <w:r w:rsidRPr="00FF0C0F">
        <w:rPr>
          <w:lang w:val="es-ES"/>
        </w:rPr>
        <w:t xml:space="preserve"> </w:t>
      </w:r>
      <w:r w:rsidR="000D24BD">
        <w:rPr>
          <w:lang w:val="es-ES"/>
        </w:rPr>
        <w:t>en</w:t>
      </w:r>
      <w:r w:rsidRPr="00FF0C0F">
        <w:rPr>
          <w:lang w:val="es-ES"/>
        </w:rPr>
        <w:t xml:space="preserve"> problemas de heroína se redujo de</w:t>
      </w:r>
      <w:r w:rsidR="000D24BD">
        <w:rPr>
          <w:lang w:val="es-ES"/>
        </w:rPr>
        <w:t>sde</w:t>
      </w:r>
      <w:r w:rsidRPr="00FF0C0F">
        <w:rPr>
          <w:lang w:val="es-ES"/>
        </w:rPr>
        <w:t xml:space="preserve"> un máximo de 59</w:t>
      </w:r>
      <w:r>
        <w:rPr>
          <w:lang w:val="es-ES"/>
        </w:rPr>
        <w:t> </w:t>
      </w:r>
      <w:r w:rsidRPr="00FF0C0F">
        <w:rPr>
          <w:lang w:val="es-ES"/>
        </w:rPr>
        <w:t xml:space="preserve">000 en </w:t>
      </w:r>
      <w:smartTag w:uri="urn:schemas-microsoft-com:office:smarttags" w:element="metricconverter">
        <w:smartTagPr>
          <w:attr w:name="ProductID" w:val="2007 a"/>
        </w:smartTagPr>
        <w:r w:rsidRPr="00FF0C0F">
          <w:rPr>
            <w:lang w:val="es-ES"/>
          </w:rPr>
          <w:t>2007 a</w:t>
        </w:r>
      </w:smartTag>
      <w:r w:rsidRPr="00FF0C0F">
        <w:rPr>
          <w:lang w:val="es-ES"/>
        </w:rPr>
        <w:t xml:space="preserve"> 31</w:t>
      </w:r>
      <w:r>
        <w:rPr>
          <w:lang w:val="es-ES"/>
        </w:rPr>
        <w:t> </w:t>
      </w:r>
      <w:r w:rsidRPr="00FF0C0F">
        <w:rPr>
          <w:lang w:val="es-ES"/>
        </w:rPr>
        <w:t xml:space="preserve">000 en 2012. Los datos sobre </w:t>
      </w:r>
      <w:r w:rsidR="000D24BD">
        <w:rPr>
          <w:lang w:val="es-ES"/>
        </w:rPr>
        <w:t xml:space="preserve">la oferta de droga </w:t>
      </w:r>
      <w:r w:rsidRPr="00FF0C0F">
        <w:rPr>
          <w:lang w:val="es-ES"/>
        </w:rPr>
        <w:t>indican que la cantidad de heroína incautada en 2012 (5 toneladas) fue la más baja de la última década</w:t>
      </w:r>
      <w:r w:rsidR="000D24BD">
        <w:rPr>
          <w:lang w:val="es-ES"/>
        </w:rPr>
        <w:t>,</w:t>
      </w:r>
      <w:r w:rsidRPr="00FF0C0F">
        <w:rPr>
          <w:lang w:val="es-ES"/>
        </w:rPr>
        <w:t xml:space="preserve"> la mitad de la cantidad incautada en 2002 (10 toneladas). También descendió el número de incautaciones, de unas 50</w:t>
      </w:r>
      <w:r>
        <w:rPr>
          <w:lang w:val="es-ES"/>
        </w:rPr>
        <w:t> </w:t>
      </w:r>
      <w:r w:rsidRPr="00FF0C0F">
        <w:rPr>
          <w:lang w:val="es-ES"/>
        </w:rPr>
        <w:t xml:space="preserve">000 en </w:t>
      </w:r>
      <w:smartTag w:uri="urn:schemas-microsoft-com:office:smarttags" w:element="metricconverter">
        <w:smartTagPr>
          <w:attr w:name="ProductID" w:val="2010 a"/>
        </w:smartTagPr>
        <w:r w:rsidRPr="00FF0C0F">
          <w:rPr>
            <w:lang w:val="es-ES"/>
          </w:rPr>
          <w:t>2010 a</w:t>
        </w:r>
      </w:smartTag>
      <w:r w:rsidRPr="00FF0C0F">
        <w:rPr>
          <w:lang w:val="es-ES"/>
        </w:rPr>
        <w:t xml:space="preserve"> 32</w:t>
      </w:r>
      <w:r>
        <w:rPr>
          <w:lang w:val="es-ES"/>
        </w:rPr>
        <w:t> </w:t>
      </w:r>
      <w:r w:rsidRPr="00FF0C0F">
        <w:rPr>
          <w:lang w:val="es-ES"/>
        </w:rPr>
        <w:t xml:space="preserve">000 en 2012. </w:t>
      </w:r>
    </w:p>
    <w:p w:rsidR="00A27B0B" w:rsidRPr="00FF0C0F" w:rsidRDefault="00A27B0B" w:rsidP="00422CB4">
      <w:pPr>
        <w:pStyle w:val="newsContent"/>
        <w:rPr>
          <w:lang w:val="es-ES"/>
        </w:rPr>
      </w:pPr>
      <w:r w:rsidRPr="00FF0C0F">
        <w:rPr>
          <w:lang w:val="es-ES"/>
        </w:rPr>
        <w:t xml:space="preserve">Se estima que hay en Europa 1,3 millones de consumidores problemáticos de </w:t>
      </w:r>
      <w:proofErr w:type="spellStart"/>
      <w:r>
        <w:rPr>
          <w:lang w:val="es-ES"/>
        </w:rPr>
        <w:t>opiodes</w:t>
      </w:r>
      <w:proofErr w:type="spellEnd"/>
      <w:r w:rsidRPr="00FF0C0F">
        <w:rPr>
          <w:lang w:val="es-ES"/>
        </w:rPr>
        <w:t xml:space="preserve">, en su mayoría de heroína. El informe expone las preocupaciones ligadas a la sustitución de la heroína por otras sustancias, como los </w:t>
      </w:r>
      <w:r w:rsidR="00D338BA">
        <w:rPr>
          <w:lang w:val="es-ES"/>
        </w:rPr>
        <w:t>opioides</w:t>
      </w:r>
      <w:r w:rsidRPr="00FF0C0F">
        <w:rPr>
          <w:lang w:val="es-ES"/>
        </w:rPr>
        <w:t xml:space="preserve"> sintéticos. Producidos ilegalmente o desviados de suministros farmacéuticos, se incluyen entre </w:t>
      </w:r>
      <w:r w:rsidRPr="00C12BCB">
        <w:rPr>
          <w:lang w:val="es-ES"/>
        </w:rPr>
        <w:t xml:space="preserve">ellos </w:t>
      </w:r>
      <w:proofErr w:type="spellStart"/>
      <w:r w:rsidRPr="00C12BCB">
        <w:rPr>
          <w:lang w:val="es-ES"/>
        </w:rPr>
        <w:t>fentanilos</w:t>
      </w:r>
      <w:proofErr w:type="spellEnd"/>
      <w:r w:rsidRPr="00C12BCB">
        <w:rPr>
          <w:lang w:val="es-ES"/>
        </w:rPr>
        <w:t xml:space="preserve"> muy</w:t>
      </w:r>
      <w:r w:rsidRPr="00FF0C0F">
        <w:rPr>
          <w:lang w:val="es-ES"/>
        </w:rPr>
        <w:t xml:space="preserve"> potentes y sustancias usadas en tratamiento</w:t>
      </w:r>
      <w:r w:rsidR="00D338BA">
        <w:rPr>
          <w:lang w:val="es-ES"/>
        </w:rPr>
        <w:t>s</w:t>
      </w:r>
      <w:r w:rsidRPr="00FF0C0F">
        <w:rPr>
          <w:lang w:val="es-ES"/>
        </w:rPr>
        <w:t xml:space="preserve"> </w:t>
      </w:r>
      <w:r w:rsidR="00D338BA">
        <w:rPr>
          <w:lang w:val="es-ES"/>
        </w:rPr>
        <w:t>sustitutivos con opioides</w:t>
      </w:r>
      <w:r w:rsidRPr="00FF0C0F">
        <w:rPr>
          <w:lang w:val="es-ES"/>
        </w:rPr>
        <w:t xml:space="preserve"> (TSO) </w:t>
      </w:r>
      <w:r w:rsidR="00FE45E8">
        <w:rPr>
          <w:lang w:val="es-ES"/>
        </w:rPr>
        <w:t xml:space="preserve"> </w:t>
      </w:r>
      <w:r w:rsidRPr="00FF0C0F">
        <w:rPr>
          <w:lang w:val="es-ES"/>
        </w:rPr>
        <w:t xml:space="preserve">(por ejemplo, metadona, </w:t>
      </w:r>
      <w:proofErr w:type="spellStart"/>
      <w:r w:rsidRPr="00FF0C0F">
        <w:rPr>
          <w:lang w:val="es-ES"/>
        </w:rPr>
        <w:t>buprenorfina</w:t>
      </w:r>
      <w:proofErr w:type="spellEnd"/>
      <w:r w:rsidRPr="00FF0C0F">
        <w:rPr>
          <w:lang w:val="es-ES"/>
        </w:rPr>
        <w:t xml:space="preserve">). En 2012, </w:t>
      </w:r>
      <w:r w:rsidR="00D338BA">
        <w:rPr>
          <w:lang w:val="es-ES"/>
        </w:rPr>
        <w:t>diecisiete</w:t>
      </w:r>
      <w:r w:rsidRPr="00FF0C0F">
        <w:rPr>
          <w:lang w:val="es-ES"/>
        </w:rPr>
        <w:t xml:space="preserve"> países informaron que más del 10% de los consumidores de </w:t>
      </w:r>
      <w:r w:rsidR="00D338BA">
        <w:rPr>
          <w:lang w:val="es-ES"/>
        </w:rPr>
        <w:t>opioides</w:t>
      </w:r>
      <w:r w:rsidRPr="00FF0C0F">
        <w:rPr>
          <w:lang w:val="es-ES"/>
        </w:rPr>
        <w:t xml:space="preserve"> que iniciaron tratamiento </w:t>
      </w:r>
      <w:r w:rsidR="00D338BA">
        <w:rPr>
          <w:lang w:val="es-ES"/>
        </w:rPr>
        <w:t xml:space="preserve">por primera vez en un centro </w:t>
      </w:r>
      <w:r w:rsidRPr="00FF0C0F">
        <w:rPr>
          <w:lang w:val="es-ES"/>
        </w:rPr>
        <w:t xml:space="preserve">especializado consumían </w:t>
      </w:r>
      <w:r w:rsidR="00D338BA">
        <w:rPr>
          <w:lang w:val="es-ES"/>
        </w:rPr>
        <w:t>opioides</w:t>
      </w:r>
      <w:r w:rsidRPr="00FF0C0F">
        <w:rPr>
          <w:lang w:val="es-ES"/>
        </w:rPr>
        <w:t xml:space="preserve"> diferentes de la heroína (gráfico 2.9). </w:t>
      </w:r>
    </w:p>
    <w:p w:rsidR="00A27B0B" w:rsidRPr="00422CB4" w:rsidRDefault="00A27B0B" w:rsidP="00422CB4">
      <w:pPr>
        <w:pStyle w:val="newsContent"/>
        <w:rPr>
          <w:b/>
          <w:lang w:val="es-ES_tradnl"/>
        </w:rPr>
      </w:pPr>
      <w:r w:rsidRPr="00422CB4">
        <w:rPr>
          <w:b/>
          <w:lang w:val="es-ES_tradnl"/>
        </w:rPr>
        <w:t>Muertes relacionadas con las drogas: reducción general, pero aumentos en algunos países</w:t>
      </w:r>
    </w:p>
    <w:p w:rsidR="00A27B0B" w:rsidRPr="00FF0C0F" w:rsidRDefault="00D338BA" w:rsidP="00422CB4">
      <w:pPr>
        <w:pStyle w:val="newsContent"/>
        <w:rPr>
          <w:lang w:val="es-ES"/>
        </w:rPr>
      </w:pPr>
      <w:r>
        <w:rPr>
          <w:lang w:val="es-ES"/>
        </w:rPr>
        <w:t>E</w:t>
      </w:r>
      <w:r w:rsidRPr="00FF0C0F">
        <w:rPr>
          <w:lang w:val="es-ES"/>
        </w:rPr>
        <w:t xml:space="preserve">n Europa </w:t>
      </w:r>
      <w:r>
        <w:rPr>
          <w:lang w:val="es-ES"/>
        </w:rPr>
        <w:t>e</w:t>
      </w:r>
      <w:r w:rsidR="00A27B0B" w:rsidRPr="00FF0C0F">
        <w:rPr>
          <w:lang w:val="es-ES"/>
        </w:rPr>
        <w:t>l consumo de drogas es una de las principales causas de mortalidad entre los jóvenes, tanto directamente por sobredosis (muertes inducidas por drogas) como indirectamente por enfermedades</w:t>
      </w:r>
      <w:r>
        <w:rPr>
          <w:lang w:val="es-ES"/>
        </w:rPr>
        <w:t>,</w:t>
      </w:r>
      <w:r w:rsidR="00A27B0B" w:rsidRPr="00FF0C0F">
        <w:rPr>
          <w:lang w:val="es-ES"/>
        </w:rPr>
        <w:t xml:space="preserve">  accidentes, actos de violencia y suicidios. En conjunto</w:t>
      </w:r>
      <w:r w:rsidR="006437F6">
        <w:rPr>
          <w:lang w:val="es-ES"/>
        </w:rPr>
        <w:t xml:space="preserve"> </w:t>
      </w:r>
      <w:r w:rsidR="00A27B0B" w:rsidRPr="00FF0C0F">
        <w:rPr>
          <w:lang w:val="es-ES"/>
        </w:rPr>
        <w:t>se notificaron en 2012 unas 6</w:t>
      </w:r>
      <w:r w:rsidR="00A27B0B">
        <w:rPr>
          <w:lang w:val="es-ES"/>
        </w:rPr>
        <w:t> </w:t>
      </w:r>
      <w:r w:rsidR="00A27B0B" w:rsidRPr="00FF0C0F">
        <w:rPr>
          <w:lang w:val="es-ES"/>
        </w:rPr>
        <w:t xml:space="preserve">100 muertes por sobredosis, principalmente relacionadas con </w:t>
      </w:r>
      <w:r w:rsidRPr="00FF0C0F">
        <w:rPr>
          <w:lang w:val="es-ES"/>
        </w:rPr>
        <w:t>op</w:t>
      </w:r>
      <w:r>
        <w:rPr>
          <w:lang w:val="es-ES"/>
        </w:rPr>
        <w:t>ioides</w:t>
      </w:r>
      <w:r w:rsidR="00A27B0B" w:rsidRPr="00FF0C0F">
        <w:rPr>
          <w:lang w:val="es-ES"/>
        </w:rPr>
        <w:t>. Esta cifra contrasta con los 6</w:t>
      </w:r>
      <w:r w:rsidR="00A27B0B">
        <w:rPr>
          <w:lang w:val="es-ES"/>
        </w:rPr>
        <w:t> 500 casos de 2011 y los 7 </w:t>
      </w:r>
      <w:r w:rsidR="00A27B0B" w:rsidRPr="00FF0C0F">
        <w:rPr>
          <w:lang w:val="es-ES"/>
        </w:rPr>
        <w:t>100 de 2009. Los progresos en este ámbito puede</w:t>
      </w:r>
      <w:r w:rsidR="00A27B0B">
        <w:rPr>
          <w:lang w:val="es-ES"/>
        </w:rPr>
        <w:t>n</w:t>
      </w:r>
      <w:r w:rsidR="00A27B0B" w:rsidRPr="00FF0C0F">
        <w:rPr>
          <w:lang w:val="es-ES"/>
        </w:rPr>
        <w:t xml:space="preserve"> atribuirse en parte al aumento de </w:t>
      </w:r>
      <w:r w:rsidR="006437F6">
        <w:rPr>
          <w:lang w:val="es-ES"/>
        </w:rPr>
        <w:t>los</w:t>
      </w:r>
      <w:r w:rsidR="00A27B0B" w:rsidRPr="00FF0C0F">
        <w:rPr>
          <w:lang w:val="es-ES"/>
        </w:rPr>
        <w:t xml:space="preserve"> tratamiento</w:t>
      </w:r>
      <w:r w:rsidR="006437F6">
        <w:rPr>
          <w:lang w:val="es-ES"/>
        </w:rPr>
        <w:t>s</w:t>
      </w:r>
      <w:r w:rsidR="00A27B0B" w:rsidRPr="00FF0C0F">
        <w:rPr>
          <w:lang w:val="es-ES"/>
        </w:rPr>
        <w:t xml:space="preserve"> </w:t>
      </w:r>
      <w:r w:rsidR="006437F6">
        <w:rPr>
          <w:lang w:val="es-ES"/>
        </w:rPr>
        <w:t>e</w:t>
      </w:r>
      <w:r w:rsidR="00A27B0B" w:rsidRPr="00FF0C0F">
        <w:rPr>
          <w:lang w:val="es-ES"/>
        </w:rPr>
        <w:t xml:space="preserve"> </w:t>
      </w:r>
      <w:r w:rsidR="006437F6">
        <w:rPr>
          <w:lang w:val="es-ES"/>
        </w:rPr>
        <w:t>intervenciones de</w:t>
      </w:r>
      <w:r w:rsidR="00A27B0B" w:rsidRPr="00FF0C0F">
        <w:rPr>
          <w:lang w:val="es-ES"/>
        </w:rPr>
        <w:t xml:space="preserve"> reducción </w:t>
      </w:r>
      <w:proofErr w:type="gramStart"/>
      <w:r w:rsidR="00A27B0B" w:rsidRPr="00FF0C0F">
        <w:rPr>
          <w:lang w:val="es-ES"/>
        </w:rPr>
        <w:t>del daños</w:t>
      </w:r>
      <w:proofErr w:type="gramEnd"/>
      <w:r w:rsidR="00A27B0B" w:rsidRPr="00FF0C0F">
        <w:rPr>
          <w:lang w:val="es-ES"/>
        </w:rPr>
        <w:t xml:space="preserve"> (por ejemplo, TSO). No obstante, en contraste con esta alentadora tendencia a escala europea, el número de muertes por sobredosis sigue siendo alto, o incluso va en aumento, en algunos países. </w:t>
      </w:r>
    </w:p>
    <w:p w:rsidR="00A27B0B" w:rsidRPr="00FF0C0F" w:rsidRDefault="00A27B0B" w:rsidP="00422CB4">
      <w:pPr>
        <w:pStyle w:val="newsContent"/>
        <w:rPr>
          <w:lang w:val="es-ES"/>
        </w:rPr>
      </w:pPr>
      <w:r w:rsidRPr="00FF0C0F">
        <w:rPr>
          <w:lang w:val="es-ES"/>
        </w:rPr>
        <w:t xml:space="preserve">La tasa de mortalidad media por sobredosis en Europa se estima en 17 casos por millón de habitantes </w:t>
      </w:r>
      <w:r w:rsidR="00FE45E8">
        <w:rPr>
          <w:lang w:val="es-ES"/>
        </w:rPr>
        <w:t xml:space="preserve">           </w:t>
      </w:r>
      <w:r w:rsidRPr="00FF0C0F">
        <w:rPr>
          <w:lang w:val="es-ES"/>
        </w:rPr>
        <w:t xml:space="preserve">(de </w:t>
      </w:r>
      <w:smartTag w:uri="urn:schemas-microsoft-com:office:smarttags" w:element="metricconverter">
        <w:smartTagPr>
          <w:attr w:name="ProductID" w:val="15 a"/>
        </w:smartTagPr>
        <w:r w:rsidRPr="00FF0C0F">
          <w:rPr>
            <w:lang w:val="es-ES"/>
          </w:rPr>
          <w:t>15 a</w:t>
        </w:r>
      </w:smartTag>
      <w:r w:rsidRPr="00FF0C0F">
        <w:rPr>
          <w:lang w:val="es-ES"/>
        </w:rPr>
        <w:t xml:space="preserve"> 64 años), pero </w:t>
      </w:r>
      <w:r w:rsidR="006437F6">
        <w:rPr>
          <w:lang w:val="es-ES"/>
        </w:rPr>
        <w:t xml:space="preserve">con grandes </w:t>
      </w:r>
      <w:r w:rsidRPr="00FF0C0F">
        <w:rPr>
          <w:lang w:val="es-ES"/>
        </w:rPr>
        <w:t xml:space="preserve">variaciones </w:t>
      </w:r>
      <w:r w:rsidR="006437F6">
        <w:rPr>
          <w:lang w:val="es-ES"/>
        </w:rPr>
        <w:t xml:space="preserve">a nivel </w:t>
      </w:r>
      <w:r w:rsidRPr="00FF0C0F">
        <w:rPr>
          <w:lang w:val="es-ES"/>
        </w:rPr>
        <w:t xml:space="preserve">nacional. Se notificaron tasas de más de 50 muertes por millón de habitantes en cinco países, registrándose las más elevadas en </w:t>
      </w:r>
      <w:r w:rsidRPr="00FF0C0F">
        <w:rPr>
          <w:b/>
          <w:lang w:val="es-ES"/>
        </w:rPr>
        <w:t>Estonia</w:t>
      </w:r>
      <w:r w:rsidRPr="00FF0C0F">
        <w:rPr>
          <w:lang w:val="es-ES"/>
        </w:rPr>
        <w:t xml:space="preserve"> (191 por millón de habitantes) y </w:t>
      </w:r>
      <w:r w:rsidRPr="00FF0C0F">
        <w:rPr>
          <w:b/>
          <w:lang w:val="es-ES"/>
        </w:rPr>
        <w:t>Noruega</w:t>
      </w:r>
      <w:r w:rsidRPr="00FF0C0F">
        <w:rPr>
          <w:lang w:val="es-ES"/>
        </w:rPr>
        <w:t xml:space="preserve"> (76 por millón de habitantes), seguidas de</w:t>
      </w:r>
      <w:r w:rsidRPr="00FF0C0F">
        <w:rPr>
          <w:b/>
          <w:lang w:val="es-ES"/>
        </w:rPr>
        <w:t xml:space="preserve"> Irlanda</w:t>
      </w:r>
      <w:r w:rsidRPr="00FF0C0F">
        <w:rPr>
          <w:lang w:val="es-ES"/>
        </w:rPr>
        <w:t xml:space="preserve"> (70 por millón de habitantes), </w:t>
      </w:r>
      <w:r w:rsidRPr="00FF0C0F">
        <w:rPr>
          <w:b/>
          <w:lang w:val="es-ES"/>
        </w:rPr>
        <w:t>Suecia</w:t>
      </w:r>
      <w:r w:rsidRPr="00FF0C0F">
        <w:rPr>
          <w:lang w:val="es-ES"/>
        </w:rPr>
        <w:t xml:space="preserve"> (63 por millón de habitantes) y </w:t>
      </w:r>
      <w:r w:rsidRPr="00FF0C0F">
        <w:rPr>
          <w:b/>
          <w:lang w:val="es-ES"/>
        </w:rPr>
        <w:t>Finlandia</w:t>
      </w:r>
      <w:r w:rsidRPr="00FF0C0F">
        <w:rPr>
          <w:lang w:val="es-ES"/>
        </w:rPr>
        <w:t xml:space="preserve"> (58 por millón de habitantes) (gráfico 2.13) (</w:t>
      </w:r>
      <w:r w:rsidRPr="00FF0C0F">
        <w:rPr>
          <w:vertAlign w:val="superscript"/>
          <w:lang w:val="es-ES"/>
        </w:rPr>
        <w:t>2</w:t>
      </w:r>
      <w:r w:rsidRPr="00FF0C0F">
        <w:rPr>
          <w:lang w:val="es-ES"/>
        </w:rPr>
        <w:t xml:space="preserve">). </w:t>
      </w:r>
    </w:p>
    <w:p w:rsidR="00A27B0B" w:rsidRPr="00FF0C0F" w:rsidRDefault="00A27B0B" w:rsidP="00422CB4">
      <w:pPr>
        <w:pStyle w:val="newsContent"/>
        <w:rPr>
          <w:lang w:val="es-ES"/>
        </w:rPr>
      </w:pPr>
      <w:r w:rsidRPr="00FF0C0F">
        <w:rPr>
          <w:lang w:val="es-ES"/>
        </w:rPr>
        <w:t xml:space="preserve">Aunque la heroína sigue presente en muchos casos de sobredosis mortal, en algunos países se observa una disminución de las muertes relacionadas con ella, pero un aumento de las relacionadas con </w:t>
      </w:r>
      <w:r w:rsidR="00D338BA">
        <w:rPr>
          <w:lang w:val="es-ES"/>
        </w:rPr>
        <w:t>opioides</w:t>
      </w:r>
      <w:r w:rsidRPr="00FF0C0F">
        <w:rPr>
          <w:lang w:val="es-ES"/>
        </w:rPr>
        <w:t xml:space="preserve"> sintéticos. En 2012, las muertes por sobredosis aumentaron notablemente (en un 38%) en </w:t>
      </w:r>
      <w:r w:rsidRPr="00FF0C0F">
        <w:rPr>
          <w:b/>
          <w:lang w:val="es-ES"/>
        </w:rPr>
        <w:t>Estonia</w:t>
      </w:r>
      <w:r w:rsidRPr="00FF0C0F">
        <w:rPr>
          <w:lang w:val="es-ES"/>
        </w:rPr>
        <w:t xml:space="preserve">, comunicándose en la mayoría de los casos la presencia de </w:t>
      </w:r>
      <w:proofErr w:type="spellStart"/>
      <w:r w:rsidRPr="00FF0C0F">
        <w:rPr>
          <w:lang w:val="es-ES"/>
        </w:rPr>
        <w:t>fentanilo</w:t>
      </w:r>
      <w:proofErr w:type="spellEnd"/>
      <w:r w:rsidRPr="00FF0C0F">
        <w:rPr>
          <w:lang w:val="es-ES"/>
        </w:rPr>
        <w:t xml:space="preserve"> y sus derivados. Se ha notificado a través del </w:t>
      </w:r>
      <w:r w:rsidR="00422CB4" w:rsidRPr="00422CB4">
        <w:rPr>
          <w:b/>
          <w:lang w:val="es-ES"/>
        </w:rPr>
        <w:t>Sistema de Alerta Rápida de la UE</w:t>
      </w:r>
      <w:r w:rsidR="00422CB4">
        <w:rPr>
          <w:b/>
          <w:lang w:val="es-ES"/>
        </w:rPr>
        <w:t xml:space="preserve"> (</w:t>
      </w:r>
      <w:r w:rsidR="007901E2">
        <w:rPr>
          <w:b/>
          <w:lang w:val="es-ES"/>
        </w:rPr>
        <w:t>SAR</w:t>
      </w:r>
      <w:r w:rsidR="00422CB4">
        <w:rPr>
          <w:b/>
          <w:lang w:val="es-ES"/>
        </w:rPr>
        <w:t xml:space="preserve">) </w:t>
      </w:r>
      <w:r w:rsidRPr="00FF0C0F">
        <w:rPr>
          <w:lang w:val="es-ES"/>
        </w:rPr>
        <w:t xml:space="preserve">la presencia cada vez </w:t>
      </w:r>
      <w:r w:rsidR="00E7397E">
        <w:rPr>
          <w:lang w:val="es-ES"/>
        </w:rPr>
        <w:t xml:space="preserve">con mayor </w:t>
      </w:r>
      <w:r w:rsidRPr="00FF0C0F">
        <w:rPr>
          <w:lang w:val="es-ES"/>
        </w:rPr>
        <w:t>frecuen</w:t>
      </w:r>
      <w:r w:rsidR="00E7397E">
        <w:rPr>
          <w:lang w:val="es-ES"/>
        </w:rPr>
        <w:t>cia,</w:t>
      </w:r>
      <w:r w:rsidRPr="00FF0C0F">
        <w:rPr>
          <w:lang w:val="es-ES"/>
        </w:rPr>
        <w:t xml:space="preserve"> de derivados de </w:t>
      </w:r>
      <w:proofErr w:type="spellStart"/>
      <w:r w:rsidRPr="00FF0C0F">
        <w:rPr>
          <w:lang w:val="es-ES"/>
        </w:rPr>
        <w:t>fentanilo</w:t>
      </w:r>
      <w:proofErr w:type="spellEnd"/>
      <w:r w:rsidRPr="00FF0C0F">
        <w:rPr>
          <w:lang w:val="es-ES"/>
        </w:rPr>
        <w:t xml:space="preserve"> no controlados y de varios otros </w:t>
      </w:r>
      <w:r w:rsidR="00E7397E" w:rsidRPr="00FF0C0F">
        <w:rPr>
          <w:lang w:val="es-ES"/>
        </w:rPr>
        <w:t>potentes</w:t>
      </w:r>
      <w:r w:rsidR="00E7397E" w:rsidDel="00D338BA">
        <w:rPr>
          <w:lang w:val="es-ES"/>
        </w:rPr>
        <w:t xml:space="preserve"> </w:t>
      </w:r>
      <w:r w:rsidR="00D338BA">
        <w:rPr>
          <w:lang w:val="es-ES"/>
        </w:rPr>
        <w:t>opioides</w:t>
      </w:r>
      <w:r w:rsidRPr="00FF0C0F">
        <w:rPr>
          <w:lang w:val="es-ES"/>
        </w:rPr>
        <w:t xml:space="preserve"> sintéticos </w:t>
      </w:r>
      <w:r w:rsidR="00C830DE">
        <w:rPr>
          <w:lang w:val="es-ES"/>
        </w:rPr>
        <w:t xml:space="preserve">(por ejemplo, </w:t>
      </w:r>
      <w:r w:rsidRPr="00FF0C0F">
        <w:rPr>
          <w:lang w:val="es-ES"/>
        </w:rPr>
        <w:t xml:space="preserve">AH-7921). </w:t>
      </w:r>
    </w:p>
    <w:p w:rsidR="00A27B0B" w:rsidRPr="00422CB4" w:rsidRDefault="00A27B0B" w:rsidP="00422CB4">
      <w:pPr>
        <w:pStyle w:val="newsContent"/>
        <w:rPr>
          <w:b/>
          <w:lang w:val="es-ES_tradnl"/>
        </w:rPr>
      </w:pPr>
      <w:r w:rsidRPr="00422CB4">
        <w:rPr>
          <w:b/>
          <w:lang w:val="es-ES_tradnl"/>
        </w:rPr>
        <w:t xml:space="preserve">VIH: </w:t>
      </w:r>
      <w:r w:rsidR="00F12870" w:rsidRPr="00422CB4">
        <w:rPr>
          <w:b/>
          <w:lang w:val="es-ES_tradnl"/>
        </w:rPr>
        <w:t xml:space="preserve">impacto </w:t>
      </w:r>
      <w:r w:rsidRPr="00422CB4">
        <w:rPr>
          <w:b/>
          <w:lang w:val="es-ES_tradnl"/>
        </w:rPr>
        <w:t>negativ</w:t>
      </w:r>
      <w:r w:rsidR="00F12870" w:rsidRPr="00422CB4">
        <w:rPr>
          <w:b/>
          <w:lang w:val="es-ES_tradnl"/>
        </w:rPr>
        <w:t>o</w:t>
      </w:r>
      <w:r w:rsidRPr="00422CB4">
        <w:rPr>
          <w:b/>
          <w:lang w:val="es-ES_tradnl"/>
        </w:rPr>
        <w:t xml:space="preserve"> de los brotes de esta infección en la tendencia de la UE </w:t>
      </w:r>
    </w:p>
    <w:p w:rsidR="00A27B0B" w:rsidRPr="00FF0C0F" w:rsidRDefault="00A27B0B" w:rsidP="00422CB4">
      <w:pPr>
        <w:pStyle w:val="newsContent"/>
        <w:rPr>
          <w:lang w:val="es-ES"/>
        </w:rPr>
      </w:pPr>
      <w:r w:rsidRPr="00FF0C0F">
        <w:rPr>
          <w:lang w:val="es-ES"/>
        </w:rPr>
        <w:t xml:space="preserve">En los últimos diez años, se han logrado grandes avances en </w:t>
      </w:r>
      <w:smartTag w:uri="urn:schemas-microsoft-com:office:smarttags" w:element="PersonName">
        <w:smartTagPr>
          <w:attr w:name="ProductID" w:val="la UE"/>
        </w:smartTagPr>
        <w:r w:rsidRPr="00FF0C0F">
          <w:rPr>
            <w:lang w:val="es-ES"/>
          </w:rPr>
          <w:t>la UE</w:t>
        </w:r>
      </w:smartTag>
      <w:r w:rsidRPr="00FF0C0F">
        <w:rPr>
          <w:lang w:val="es-ES"/>
        </w:rPr>
        <w:t xml:space="preserve"> en la lucha contra la infección por el VIH entre los consumidores de drogas por vía parenteral, como una mayor cobertura de las medidas de prevención, tratamiento y reducción de daños. Los últimos hallazgos demuestran, sin embargo, que la evolución en algunos países repercute negativamente en la tendencia de disminución a largo plazo observada en el número de nuevos diagnósticos de VIH en Europa. </w:t>
      </w:r>
      <w:r>
        <w:rPr>
          <w:rFonts w:cs="Arial"/>
          <w:lang w:val="es-ES"/>
        </w:rPr>
        <w:t>«</w:t>
      </w:r>
      <w:r w:rsidRPr="00FF0C0F">
        <w:rPr>
          <w:lang w:val="es-ES"/>
        </w:rPr>
        <w:t xml:space="preserve">Los brotes del VIH entre consumidores </w:t>
      </w:r>
      <w:r w:rsidR="00F12870">
        <w:rPr>
          <w:lang w:val="es-ES"/>
        </w:rPr>
        <w:t xml:space="preserve">de drogas </w:t>
      </w:r>
      <w:r w:rsidRPr="00FF0C0F">
        <w:rPr>
          <w:lang w:val="es-ES"/>
        </w:rPr>
        <w:t xml:space="preserve">en </w:t>
      </w:r>
      <w:r w:rsidRPr="00FF0C0F">
        <w:rPr>
          <w:b/>
          <w:lang w:val="es-ES"/>
        </w:rPr>
        <w:t>Grecia</w:t>
      </w:r>
      <w:r w:rsidRPr="00FF0C0F">
        <w:rPr>
          <w:lang w:val="es-ES"/>
        </w:rPr>
        <w:t xml:space="preserve"> y </w:t>
      </w:r>
      <w:r w:rsidRPr="00FF0C0F">
        <w:rPr>
          <w:b/>
          <w:lang w:val="es-ES"/>
        </w:rPr>
        <w:t>Rumanía</w:t>
      </w:r>
      <w:r w:rsidRPr="00FF0C0F">
        <w:rPr>
          <w:lang w:val="es-ES"/>
        </w:rPr>
        <w:t xml:space="preserve">, junto con los problemas existentes en algunos </w:t>
      </w:r>
      <w:r w:rsidRPr="00FF0C0F">
        <w:rPr>
          <w:b/>
          <w:lang w:val="es-ES"/>
        </w:rPr>
        <w:t>países bálticos</w:t>
      </w:r>
      <w:r w:rsidRPr="00FF0C0F">
        <w:rPr>
          <w:lang w:val="es-ES"/>
        </w:rPr>
        <w:t xml:space="preserve">, han supuesto un freno para los avances a escala europea en la reducción del número de nuevas infecciones </w:t>
      </w:r>
      <w:r w:rsidR="00F12870">
        <w:rPr>
          <w:lang w:val="es-ES"/>
        </w:rPr>
        <w:t xml:space="preserve">de VIH </w:t>
      </w:r>
      <w:r w:rsidRPr="00FF0C0F">
        <w:rPr>
          <w:lang w:val="es-ES"/>
        </w:rPr>
        <w:t>relacionadas con las drogas</w:t>
      </w:r>
      <w:r>
        <w:rPr>
          <w:rFonts w:cs="Arial"/>
          <w:lang w:val="es-ES"/>
        </w:rPr>
        <w:t>»</w:t>
      </w:r>
      <w:r w:rsidRPr="00FF0C0F">
        <w:rPr>
          <w:lang w:val="es-ES"/>
        </w:rPr>
        <w:t xml:space="preserve">, </w:t>
      </w:r>
      <w:r w:rsidR="00F76D1A">
        <w:rPr>
          <w:lang w:val="es-ES"/>
        </w:rPr>
        <w:t>afirma</w:t>
      </w:r>
      <w:r w:rsidR="00F76D1A" w:rsidRPr="00FF0C0F">
        <w:rPr>
          <w:lang w:val="es-ES"/>
        </w:rPr>
        <w:t xml:space="preserve"> </w:t>
      </w:r>
      <w:r w:rsidRPr="00FF0C0F">
        <w:rPr>
          <w:lang w:val="es-ES"/>
        </w:rPr>
        <w:t xml:space="preserve">el informe. </w:t>
      </w:r>
    </w:p>
    <w:p w:rsidR="00A27B0B" w:rsidRPr="00FF0C0F" w:rsidRDefault="00A27B0B" w:rsidP="00422CB4">
      <w:pPr>
        <w:pStyle w:val="newsContent"/>
        <w:rPr>
          <w:lang w:val="es-ES"/>
        </w:rPr>
      </w:pPr>
      <w:r w:rsidRPr="00FF0C0F">
        <w:rPr>
          <w:lang w:val="es-ES"/>
        </w:rPr>
        <w:lastRenderedPageBreak/>
        <w:t xml:space="preserve">En 2012, la tasa media de nuevos diagnósticos de VIH por consumo de drogas por vía parenteral fue de </w:t>
      </w:r>
      <w:r w:rsidR="00871D8F">
        <w:rPr>
          <w:lang w:val="es-ES"/>
        </w:rPr>
        <w:t xml:space="preserve"> </w:t>
      </w:r>
      <w:r w:rsidRPr="00FF0C0F">
        <w:rPr>
          <w:lang w:val="es-ES"/>
        </w:rPr>
        <w:t xml:space="preserve">3,1 por un millón de habitantes. En </w:t>
      </w:r>
      <w:r w:rsidRPr="00FF0C0F">
        <w:rPr>
          <w:b/>
          <w:lang w:val="es-ES"/>
        </w:rPr>
        <w:t>Estonia</w:t>
      </w:r>
      <w:r w:rsidRPr="00FF0C0F">
        <w:rPr>
          <w:lang w:val="es-ES"/>
        </w:rPr>
        <w:t xml:space="preserve">, la tasa de nuevos diagnósticos sigue siendo elevada (53,7 casos por un millón de habitantes en 2012), mientras que en </w:t>
      </w:r>
      <w:r w:rsidRPr="00FF0C0F">
        <w:rPr>
          <w:b/>
          <w:lang w:val="es-ES"/>
        </w:rPr>
        <w:t>Letonia</w:t>
      </w:r>
      <w:r w:rsidRPr="00FF0C0F">
        <w:rPr>
          <w:lang w:val="es-ES"/>
        </w:rPr>
        <w:t xml:space="preserve"> ha aumentado desde 2009 (de 34,5 casos por un millón de habitantes en </w:t>
      </w:r>
      <w:smartTag w:uri="urn:schemas-microsoft-com:office:smarttags" w:element="metricconverter">
        <w:smartTagPr>
          <w:attr w:name="ProductID" w:val="2009 a"/>
        </w:smartTagPr>
        <w:r w:rsidRPr="00FF0C0F">
          <w:rPr>
            <w:lang w:val="es-ES"/>
          </w:rPr>
          <w:t>2009 a</w:t>
        </w:r>
      </w:smartTag>
      <w:r w:rsidRPr="00FF0C0F">
        <w:rPr>
          <w:lang w:val="es-ES"/>
        </w:rPr>
        <w:t xml:space="preserve"> 46,0 en 2012). En 2012 hubo 1</w:t>
      </w:r>
      <w:r>
        <w:rPr>
          <w:lang w:val="es-ES"/>
        </w:rPr>
        <w:t> </w:t>
      </w:r>
      <w:r w:rsidRPr="00FF0C0F">
        <w:rPr>
          <w:lang w:val="es-ES"/>
        </w:rPr>
        <w:t xml:space="preserve">788 notificaciones de nuevos diagnósticos de infección por </w:t>
      </w:r>
      <w:r>
        <w:rPr>
          <w:lang w:val="es-ES"/>
        </w:rPr>
        <w:t>el VIH, algo más que en 2011 (1 </w:t>
      </w:r>
      <w:r w:rsidRPr="00FF0C0F">
        <w:rPr>
          <w:lang w:val="es-ES"/>
        </w:rPr>
        <w:t xml:space="preserve">732), siguiendo la tendencia al alza que se observa desde 2010 (gráfico 2.11). Mientras que en 2010 </w:t>
      </w:r>
      <w:r w:rsidRPr="00FF0C0F">
        <w:rPr>
          <w:b/>
          <w:lang w:val="es-ES"/>
        </w:rPr>
        <w:t>Grecia</w:t>
      </w:r>
      <w:r w:rsidRPr="00FF0C0F">
        <w:rPr>
          <w:lang w:val="es-ES"/>
        </w:rPr>
        <w:t xml:space="preserve"> y </w:t>
      </w:r>
      <w:r w:rsidRPr="00FF0C0F">
        <w:rPr>
          <w:b/>
          <w:lang w:val="es-ES"/>
        </w:rPr>
        <w:t>Rumanía</w:t>
      </w:r>
      <w:r w:rsidRPr="00FF0C0F">
        <w:rPr>
          <w:lang w:val="es-ES"/>
        </w:rPr>
        <w:t xml:space="preserve"> contribuyeron tan sólo con un 2% al número total de nuevos diagnósticos entre los consumidores de drogas por vía parenteral en la UE, en 2012 esta cifra aumentó al 37% (registrándose en </w:t>
      </w:r>
      <w:r w:rsidRPr="00FF0C0F">
        <w:rPr>
          <w:b/>
          <w:lang w:val="es-ES"/>
        </w:rPr>
        <w:t>Grecia</w:t>
      </w:r>
      <w:r w:rsidRPr="00FF0C0F">
        <w:rPr>
          <w:lang w:val="es-ES"/>
        </w:rPr>
        <w:t xml:space="preserve"> una tasa de 42,9 casos por millón de habitantes y en </w:t>
      </w:r>
      <w:r w:rsidRPr="00FF0C0F">
        <w:rPr>
          <w:b/>
          <w:lang w:val="es-ES"/>
        </w:rPr>
        <w:t>Rumanía</w:t>
      </w:r>
      <w:r w:rsidRPr="00FF0C0F">
        <w:rPr>
          <w:lang w:val="es-ES"/>
        </w:rPr>
        <w:t xml:space="preserve"> de 8,0 casos).</w:t>
      </w:r>
    </w:p>
    <w:p w:rsidR="00A27B0B" w:rsidRPr="00FF0C0F" w:rsidRDefault="00A27B0B" w:rsidP="00422CB4">
      <w:pPr>
        <w:pStyle w:val="newsContent"/>
        <w:rPr>
          <w:lang w:val="es-ES"/>
        </w:rPr>
      </w:pPr>
      <w:r w:rsidRPr="00FF0C0F">
        <w:rPr>
          <w:lang w:val="es-ES"/>
        </w:rPr>
        <w:t xml:space="preserve">A pesar del éxito a escala europea en la lucha contra la transmisión del VIH entre los consumidores de drogas, el virus mantiene la capacidad de propagarse con rapidez en determinados grupos. Un ejercicio de evaluación de riesgos realizado en 2013 conjuntamente por </w:t>
      </w:r>
      <w:r w:rsidRPr="00FF0C0F">
        <w:rPr>
          <w:b/>
          <w:lang w:val="es-ES"/>
        </w:rPr>
        <w:t>EMCDDA</w:t>
      </w:r>
      <w:r w:rsidR="002E5103">
        <w:rPr>
          <w:b/>
          <w:lang w:val="es-ES"/>
        </w:rPr>
        <w:t>–</w:t>
      </w:r>
      <w:r w:rsidRPr="00FF0C0F">
        <w:rPr>
          <w:b/>
          <w:lang w:val="es-ES"/>
        </w:rPr>
        <w:t>ECDC</w:t>
      </w:r>
      <w:r w:rsidRPr="00FF0C0F">
        <w:rPr>
          <w:lang w:val="es-ES"/>
        </w:rPr>
        <w:t xml:space="preserve"> para examinar los países vulnerables a la aparición de nuevos brotes de VIH reveló la existencia de uno o más indicadores de riesgo en aproximadamente un tercio de los 30 países examinados (</w:t>
      </w:r>
      <w:r w:rsidRPr="00FF0C0F">
        <w:rPr>
          <w:vertAlign w:val="superscript"/>
          <w:lang w:val="es-ES"/>
        </w:rPr>
        <w:t>3</w:t>
      </w:r>
      <w:r w:rsidRPr="00FF0C0F">
        <w:rPr>
          <w:lang w:val="es-ES"/>
        </w:rPr>
        <w:t>). De ahí la necesidad de mantener la vigilancia y mejorar la cobertura de las medidas de prevención de la infección por el VIH (gráfico 3.5).</w:t>
      </w:r>
    </w:p>
    <w:p w:rsidR="00A27B0B" w:rsidRPr="00871D8F" w:rsidRDefault="00A27B0B" w:rsidP="00422CB4">
      <w:pPr>
        <w:pStyle w:val="newsContent"/>
        <w:rPr>
          <w:b/>
          <w:lang w:val="es-ES_tradnl"/>
        </w:rPr>
      </w:pPr>
      <w:r w:rsidRPr="00871D8F">
        <w:rPr>
          <w:b/>
          <w:lang w:val="es-ES_tradnl"/>
        </w:rPr>
        <w:t>Estimulantes: se mantiene estable o disminuye el consumo de cocaína, pero suscitan preocupación la metanfetamina y la MDMA</w:t>
      </w:r>
    </w:p>
    <w:p w:rsidR="00A27B0B" w:rsidRPr="00FF0C0F" w:rsidRDefault="00A27B0B" w:rsidP="00422CB4">
      <w:pPr>
        <w:pStyle w:val="newsNotes"/>
        <w:rPr>
          <w:lang w:val="es-ES"/>
        </w:rPr>
      </w:pPr>
      <w:r w:rsidRPr="00FF0C0F">
        <w:rPr>
          <w:lang w:val="es-ES"/>
        </w:rPr>
        <w:t xml:space="preserve">La cocaína sigue siendo la droga estimulante ilegal más consumida en Europa, aunque la mayoría de los consumidores se concentra en un número reducido de países de Europa occidental. Aproximadamente 14,1 millones de adultos europeos (de 15 a 64 años) han consumido esta droga alguna vez; 3,1 millones </w:t>
      </w:r>
      <w:r w:rsidR="00C5141A">
        <w:rPr>
          <w:lang w:val="es-ES"/>
        </w:rPr>
        <w:t xml:space="preserve"> </w:t>
      </w:r>
      <w:r w:rsidRPr="00FF0C0F">
        <w:rPr>
          <w:lang w:val="es-ES"/>
        </w:rPr>
        <w:t xml:space="preserve">lo han hecho durante el último año (véase el cuadro </w:t>
      </w:r>
      <w:r>
        <w:rPr>
          <w:rFonts w:cs="Arial"/>
          <w:lang w:val="es-ES"/>
        </w:rPr>
        <w:t>«</w:t>
      </w:r>
      <w:r w:rsidRPr="00FF0C0F">
        <w:rPr>
          <w:lang w:val="es-ES"/>
        </w:rPr>
        <w:t>De un vistazo</w:t>
      </w:r>
      <w:r>
        <w:rPr>
          <w:rFonts w:cs="Arial"/>
          <w:lang w:val="es-ES"/>
        </w:rPr>
        <w:t>»</w:t>
      </w:r>
      <w:r w:rsidRPr="00FF0C0F">
        <w:rPr>
          <w:lang w:val="es-ES"/>
        </w:rPr>
        <w:t xml:space="preserve">). Datos recientes indican una disminución del consumo, </w:t>
      </w:r>
      <w:r w:rsidR="00FC5751">
        <w:rPr>
          <w:lang w:val="es-ES"/>
        </w:rPr>
        <w:t>en</w:t>
      </w:r>
      <w:r w:rsidRPr="00FF0C0F">
        <w:rPr>
          <w:lang w:val="es-ES"/>
        </w:rPr>
        <w:t xml:space="preserve"> 11 de los 12 países que realizaron encuestas entre 2011 y 2013 notificaron descensos de la prevalencia entre adultos jóvenes (de 15 a 34 años). Considerando las tendencias a largo plazo, se registraron descensos en </w:t>
      </w:r>
      <w:r w:rsidRPr="00FF0C0F">
        <w:rPr>
          <w:b/>
          <w:lang w:val="es-ES"/>
        </w:rPr>
        <w:t xml:space="preserve">Dinamarca, España </w:t>
      </w:r>
      <w:r w:rsidRPr="00FF0C0F">
        <w:rPr>
          <w:lang w:val="es-ES"/>
        </w:rPr>
        <w:t>y</w:t>
      </w:r>
      <w:r w:rsidRPr="00FF0C0F">
        <w:rPr>
          <w:b/>
          <w:lang w:val="es-ES"/>
        </w:rPr>
        <w:t xml:space="preserve"> Reino Unido</w:t>
      </w:r>
      <w:r w:rsidRPr="00FF0C0F">
        <w:rPr>
          <w:lang w:val="es-ES"/>
        </w:rPr>
        <w:t xml:space="preserve"> (aunque en los tres casos las tasas de prevalencia fueron relativamente altas), tras el máximo alcanzado en 2008 (gráfico 2.5). En la mayor parte de los </w:t>
      </w:r>
      <w:r w:rsidR="00FC5751">
        <w:rPr>
          <w:lang w:val="es-ES"/>
        </w:rPr>
        <w:t>restantes</w:t>
      </w:r>
      <w:r w:rsidR="00FC5751" w:rsidRPr="00FF0C0F">
        <w:rPr>
          <w:lang w:val="es-ES"/>
        </w:rPr>
        <w:t xml:space="preserve"> </w:t>
      </w:r>
      <w:r w:rsidRPr="00FF0C0F">
        <w:rPr>
          <w:lang w:val="es-ES"/>
        </w:rPr>
        <w:t xml:space="preserve">países, las tendencias son estables o </w:t>
      </w:r>
      <w:r w:rsidR="00F7201C">
        <w:rPr>
          <w:lang w:val="es-ES"/>
        </w:rPr>
        <w:t>descienden</w:t>
      </w:r>
      <w:r w:rsidRPr="00FF0C0F">
        <w:rPr>
          <w:lang w:val="es-ES"/>
        </w:rPr>
        <w:t xml:space="preserve">. </w:t>
      </w:r>
    </w:p>
    <w:p w:rsidR="00A27B0B" w:rsidRPr="00FF0C0F" w:rsidRDefault="00F7201C" w:rsidP="00422CB4">
      <w:pPr>
        <w:pStyle w:val="newsNotes"/>
        <w:rPr>
          <w:lang w:val="es-ES"/>
        </w:rPr>
      </w:pPr>
      <w:r>
        <w:rPr>
          <w:lang w:val="es-ES"/>
        </w:rPr>
        <w:t>E</w:t>
      </w:r>
      <w:r w:rsidRPr="00FF0C0F">
        <w:rPr>
          <w:lang w:val="es-ES"/>
        </w:rPr>
        <w:t xml:space="preserve">n Europa </w:t>
      </w:r>
      <w:r>
        <w:rPr>
          <w:lang w:val="es-ES"/>
        </w:rPr>
        <w:t>e</w:t>
      </w:r>
      <w:r w:rsidR="00A27B0B" w:rsidRPr="00FF0C0F">
        <w:rPr>
          <w:lang w:val="es-ES"/>
        </w:rPr>
        <w:t>l consumo de anfetaminas (incluidas anfetamina y metanfetamina) sigue siendo en general más bajo que el de cocaína: 11,4 millones de adultos declaran haberlas consumido alguna vez y 1,5 millones haberlas consumido el año pasado. De l</w:t>
      </w:r>
      <w:r w:rsidR="00A27B0B">
        <w:rPr>
          <w:lang w:val="es-ES"/>
        </w:rPr>
        <w:t>a</w:t>
      </w:r>
      <w:r w:rsidR="00A27B0B" w:rsidRPr="00FF0C0F">
        <w:rPr>
          <w:lang w:val="es-ES"/>
        </w:rPr>
        <w:t>s dos drogas, la anfetamina es la más común, pero suscita preocupación en Europa la disponibilidad y el consumo de metanfetamina. El informe describe cómo han aumentado en los últimos diez años las incautaciones de esta droga, aun siendo todavía pequeñas en número y en volumen, lo que indica una mayor disponibilidad (gráfico 1.10). En 2012 se notificaron 7</w:t>
      </w:r>
      <w:r w:rsidR="00A27B0B">
        <w:rPr>
          <w:lang w:val="es-ES"/>
        </w:rPr>
        <w:t> </w:t>
      </w:r>
      <w:r w:rsidR="00A27B0B" w:rsidRPr="00FF0C0F">
        <w:rPr>
          <w:lang w:val="es-ES"/>
        </w:rPr>
        <w:t xml:space="preserve">000 incautaciones, con un total de 343 kg, en la </w:t>
      </w:r>
      <w:r w:rsidR="00A27B0B" w:rsidRPr="00FF0C0F">
        <w:rPr>
          <w:b/>
          <w:lang w:val="es-ES"/>
        </w:rPr>
        <w:t>UE</w:t>
      </w:r>
      <w:r w:rsidR="00A27B0B">
        <w:rPr>
          <w:lang w:val="es-ES"/>
        </w:rPr>
        <w:t>. Se produjeron además 4 </w:t>
      </w:r>
      <w:r w:rsidR="00A27B0B" w:rsidRPr="00FF0C0F">
        <w:rPr>
          <w:lang w:val="es-ES"/>
        </w:rPr>
        <w:t>000 incautaciones, con un total de 637 kg, en</w:t>
      </w:r>
      <w:r w:rsidR="00A27B0B" w:rsidRPr="00FF0C0F">
        <w:rPr>
          <w:b/>
          <w:lang w:val="es-ES"/>
        </w:rPr>
        <w:t xml:space="preserve"> Turquía </w:t>
      </w:r>
      <w:r w:rsidR="00A27B0B" w:rsidRPr="00FF0C0F">
        <w:rPr>
          <w:lang w:val="es-ES"/>
        </w:rPr>
        <w:t xml:space="preserve">y </w:t>
      </w:r>
      <w:r w:rsidR="00A27B0B" w:rsidRPr="00FF0C0F">
        <w:rPr>
          <w:b/>
          <w:lang w:val="es-ES"/>
        </w:rPr>
        <w:t>Noruega</w:t>
      </w:r>
      <w:r w:rsidR="00A27B0B" w:rsidRPr="00FF0C0F">
        <w:rPr>
          <w:lang w:val="es-ES"/>
        </w:rPr>
        <w:t xml:space="preserve"> (casi el doble de la cantidad incautada en toda la </w:t>
      </w:r>
      <w:r w:rsidR="00A27B0B" w:rsidRPr="00FF0C0F">
        <w:rPr>
          <w:b/>
          <w:lang w:val="es-ES"/>
        </w:rPr>
        <w:t>UE</w:t>
      </w:r>
      <w:r w:rsidR="00A27B0B">
        <w:rPr>
          <w:lang w:val="es-ES"/>
        </w:rPr>
        <w:t>).</w:t>
      </w:r>
    </w:p>
    <w:p w:rsidR="00A27B0B" w:rsidRPr="00FF0C0F" w:rsidRDefault="00A27B0B" w:rsidP="00422CB4">
      <w:pPr>
        <w:pStyle w:val="newsNotes"/>
        <w:rPr>
          <w:lang w:val="es-ES"/>
        </w:rPr>
      </w:pPr>
      <w:r w:rsidRPr="00FF0C0F">
        <w:rPr>
          <w:lang w:val="es-ES"/>
        </w:rPr>
        <w:t xml:space="preserve">El consumo de metanfetamina, históricamente bajo en Europa </w:t>
      </w:r>
      <w:r w:rsidRPr="00244A23">
        <w:rPr>
          <w:lang w:val="es-ES"/>
        </w:rPr>
        <w:t>y limitado sobre todo a la</w:t>
      </w:r>
      <w:r w:rsidRPr="00FF0C0F">
        <w:rPr>
          <w:lang w:val="es-ES"/>
        </w:rPr>
        <w:t xml:space="preserve"> </w:t>
      </w:r>
      <w:r w:rsidRPr="00244A23">
        <w:rPr>
          <w:b/>
          <w:lang w:val="es-ES"/>
        </w:rPr>
        <w:t>República</w:t>
      </w:r>
      <w:r w:rsidRPr="00FF0C0F">
        <w:rPr>
          <w:lang w:val="es-ES"/>
        </w:rPr>
        <w:t xml:space="preserve"> </w:t>
      </w:r>
      <w:r w:rsidRPr="00244A23">
        <w:rPr>
          <w:b/>
          <w:lang w:val="es-ES"/>
        </w:rPr>
        <w:t>Checa</w:t>
      </w:r>
      <w:r w:rsidRPr="00FF0C0F">
        <w:rPr>
          <w:lang w:val="es-ES"/>
        </w:rPr>
        <w:t xml:space="preserve"> y a </w:t>
      </w:r>
      <w:r w:rsidRPr="00244A23">
        <w:rPr>
          <w:b/>
          <w:lang w:val="es-ES"/>
        </w:rPr>
        <w:t>Eslovaquia</w:t>
      </w:r>
      <w:r w:rsidRPr="00FF0C0F">
        <w:rPr>
          <w:lang w:val="es-ES"/>
        </w:rPr>
        <w:t xml:space="preserve">, parece estar ahora extendiéndose (por ejemplo, en </w:t>
      </w:r>
      <w:r w:rsidRPr="00FF0C0F">
        <w:rPr>
          <w:b/>
          <w:lang w:val="es-ES"/>
        </w:rPr>
        <w:t>Alemania</w:t>
      </w:r>
      <w:r w:rsidRPr="00FF0C0F">
        <w:rPr>
          <w:lang w:val="es-ES"/>
        </w:rPr>
        <w:t>). Empieza a haber informes preocupantes de Europa sudoriental (</w:t>
      </w:r>
      <w:r w:rsidRPr="00FF0C0F">
        <w:rPr>
          <w:b/>
          <w:lang w:val="es-ES"/>
        </w:rPr>
        <w:t>Grecia, Chipre, Turquía</w:t>
      </w:r>
      <w:r w:rsidRPr="00FF0C0F">
        <w:rPr>
          <w:lang w:val="es-ES"/>
        </w:rPr>
        <w:t xml:space="preserve">) sobre el nuevo problema, aunque todavía limitado, del consumo </w:t>
      </w:r>
      <w:r w:rsidR="00F7201C" w:rsidRPr="00422CB4">
        <w:rPr>
          <w:i/>
          <w:lang w:val="es-ES"/>
        </w:rPr>
        <w:t>fumado</w:t>
      </w:r>
      <w:r w:rsidR="00F7201C">
        <w:rPr>
          <w:lang w:val="es-ES"/>
        </w:rPr>
        <w:t xml:space="preserve"> </w:t>
      </w:r>
      <w:r w:rsidRPr="00FF0C0F">
        <w:rPr>
          <w:lang w:val="es-ES"/>
        </w:rPr>
        <w:t xml:space="preserve">de metanfetamina en forma cristalina, dada su posible propagación entre poblaciones vulnerables. Se ha notificado el consumo de metanfetamina </w:t>
      </w:r>
      <w:r w:rsidRPr="00FF0C0F">
        <w:rPr>
          <w:i/>
          <w:lang w:val="es-ES"/>
        </w:rPr>
        <w:t>por vía parenteral</w:t>
      </w:r>
      <w:r w:rsidRPr="00FF0C0F">
        <w:rPr>
          <w:lang w:val="es-ES"/>
        </w:rPr>
        <w:t xml:space="preserve"> como una nueva tendencia entre pequeños grupos de hombres que mantienen relaciones </w:t>
      </w:r>
      <w:r w:rsidR="007901E2">
        <w:rPr>
          <w:lang w:val="es-ES"/>
        </w:rPr>
        <w:t>sexuales con otros</w:t>
      </w:r>
      <w:r w:rsidRPr="00FF0C0F">
        <w:rPr>
          <w:lang w:val="es-ES"/>
        </w:rPr>
        <w:t xml:space="preserve"> hombres en algunas grandes ciudades europeas (</w:t>
      </w:r>
      <w:r w:rsidRPr="00FF0C0F">
        <w:rPr>
          <w:vertAlign w:val="superscript"/>
          <w:lang w:val="es-ES"/>
        </w:rPr>
        <w:t>4</w:t>
      </w:r>
      <w:r w:rsidRPr="00FF0C0F">
        <w:rPr>
          <w:lang w:val="es-ES"/>
        </w:rPr>
        <w:t xml:space="preserve">). </w:t>
      </w:r>
    </w:p>
    <w:p w:rsidR="00A27B0B" w:rsidRPr="00FF0C0F" w:rsidRDefault="00A27B0B" w:rsidP="00422CB4">
      <w:pPr>
        <w:pStyle w:val="newsNotes"/>
        <w:rPr>
          <w:lang w:val="es-ES"/>
        </w:rPr>
      </w:pPr>
      <w:r w:rsidRPr="00FF0C0F">
        <w:rPr>
          <w:lang w:val="es-ES"/>
        </w:rPr>
        <w:t xml:space="preserve">El informe expone asimismo las preocupaciones ligadas a la reaparición </w:t>
      </w:r>
      <w:r w:rsidR="007901E2" w:rsidRPr="00FF0C0F">
        <w:rPr>
          <w:lang w:val="es-ES"/>
        </w:rPr>
        <w:t>de éxtasis (MDMA)</w:t>
      </w:r>
      <w:r w:rsidR="007901E2">
        <w:rPr>
          <w:lang w:val="es-ES"/>
        </w:rPr>
        <w:t xml:space="preserve"> en</w:t>
      </w:r>
      <w:r w:rsidRPr="00FF0C0F">
        <w:rPr>
          <w:lang w:val="es-ES"/>
        </w:rPr>
        <w:t xml:space="preserve"> polvo y p</w:t>
      </w:r>
      <w:r w:rsidR="007901E2">
        <w:rPr>
          <w:lang w:val="es-ES"/>
        </w:rPr>
        <w:t>astillas</w:t>
      </w:r>
      <w:r w:rsidRPr="00FF0C0F">
        <w:rPr>
          <w:lang w:val="es-ES"/>
        </w:rPr>
        <w:t xml:space="preserve"> de alta calidad. Las incautaciones y las notificaciones de </w:t>
      </w:r>
      <w:r>
        <w:rPr>
          <w:lang w:val="es-ES"/>
        </w:rPr>
        <w:t>resultados sanitarios</w:t>
      </w:r>
      <w:r w:rsidRPr="00FF0C0F">
        <w:rPr>
          <w:lang w:val="es-ES"/>
        </w:rPr>
        <w:t xml:space="preserve"> adversos han impulsado a </w:t>
      </w:r>
      <w:proofErr w:type="spellStart"/>
      <w:r w:rsidRPr="00FF0C0F">
        <w:rPr>
          <w:b/>
          <w:lang w:val="es-ES"/>
        </w:rPr>
        <w:t>Europol</w:t>
      </w:r>
      <w:proofErr w:type="spellEnd"/>
      <w:r w:rsidRPr="00FF0C0F">
        <w:rPr>
          <w:lang w:val="es-ES"/>
        </w:rPr>
        <w:t xml:space="preserve"> y al </w:t>
      </w:r>
      <w:r w:rsidRPr="00FF0C0F">
        <w:rPr>
          <w:b/>
          <w:lang w:val="es-ES"/>
        </w:rPr>
        <w:t>EMCDDA</w:t>
      </w:r>
      <w:r w:rsidRPr="00FF0C0F">
        <w:rPr>
          <w:lang w:val="es-ES"/>
        </w:rPr>
        <w:t xml:space="preserve"> a publicar una advertencia conjunta sobre la disponibilidad de productos de potencia extremadamente alta que contienen MDMA (</w:t>
      </w:r>
      <w:r w:rsidRPr="00FF0C0F">
        <w:rPr>
          <w:vertAlign w:val="superscript"/>
          <w:lang w:val="es-ES"/>
        </w:rPr>
        <w:t>5</w:t>
      </w:r>
      <w:r w:rsidRPr="00FF0C0F">
        <w:rPr>
          <w:lang w:val="es-ES"/>
        </w:rPr>
        <w:t xml:space="preserve">). </w:t>
      </w:r>
      <w:proofErr w:type="spellStart"/>
      <w:r w:rsidRPr="00FF0C0F">
        <w:rPr>
          <w:b/>
          <w:lang w:val="es-ES"/>
        </w:rPr>
        <w:t>Europol</w:t>
      </w:r>
      <w:proofErr w:type="spellEnd"/>
      <w:r w:rsidRPr="00FF0C0F">
        <w:rPr>
          <w:b/>
          <w:lang w:val="es-ES"/>
        </w:rPr>
        <w:t xml:space="preserve"> </w:t>
      </w:r>
      <w:r w:rsidRPr="00FF0C0F">
        <w:rPr>
          <w:lang w:val="es-ES"/>
        </w:rPr>
        <w:t xml:space="preserve">informa del desmantelamiento en </w:t>
      </w:r>
      <w:r w:rsidRPr="00FF0C0F">
        <w:rPr>
          <w:b/>
          <w:lang w:val="es-ES"/>
        </w:rPr>
        <w:t>Bélgica</w:t>
      </w:r>
      <w:r w:rsidRPr="00FF0C0F">
        <w:rPr>
          <w:lang w:val="es-ES"/>
        </w:rPr>
        <w:t xml:space="preserve"> en 2013 de los dos mayores centros de producción de droga localizados en el </w:t>
      </w:r>
      <w:r w:rsidRPr="00FF0C0F">
        <w:rPr>
          <w:b/>
          <w:lang w:val="es-ES"/>
        </w:rPr>
        <w:t>UE</w:t>
      </w:r>
      <w:r w:rsidRPr="00FF0C0F">
        <w:rPr>
          <w:lang w:val="es-ES"/>
        </w:rPr>
        <w:t>, capaces de producir grandes volúmenes de MDMA.</w:t>
      </w:r>
    </w:p>
    <w:p w:rsidR="00A27B0B" w:rsidRPr="00871D8F" w:rsidRDefault="00A27B0B" w:rsidP="00422CB4">
      <w:pPr>
        <w:pStyle w:val="newsContent"/>
        <w:rPr>
          <w:b/>
          <w:lang w:val="es-ES_tradnl"/>
        </w:rPr>
      </w:pPr>
      <w:r w:rsidRPr="00871D8F">
        <w:rPr>
          <w:b/>
          <w:lang w:val="es-ES_tradnl"/>
        </w:rPr>
        <w:lastRenderedPageBreak/>
        <w:t xml:space="preserve">Nuevas sustancias </w:t>
      </w:r>
      <w:proofErr w:type="spellStart"/>
      <w:r w:rsidR="007901E2" w:rsidRPr="00871D8F">
        <w:rPr>
          <w:b/>
          <w:lang w:val="es-ES_tradnl"/>
        </w:rPr>
        <w:t>psicotactivas</w:t>
      </w:r>
      <w:proofErr w:type="spellEnd"/>
      <w:r w:rsidRPr="00871D8F">
        <w:rPr>
          <w:b/>
          <w:lang w:val="es-ES_tradnl"/>
        </w:rPr>
        <w:t xml:space="preserve">: el Sistema de </w:t>
      </w:r>
      <w:r w:rsidR="007901E2" w:rsidRPr="00871D8F">
        <w:rPr>
          <w:b/>
          <w:lang w:val="es-ES_tradnl"/>
        </w:rPr>
        <w:t>A</w:t>
      </w:r>
      <w:r w:rsidRPr="00871D8F">
        <w:rPr>
          <w:b/>
          <w:lang w:val="es-ES_tradnl"/>
        </w:rPr>
        <w:t xml:space="preserve">lerta </w:t>
      </w:r>
      <w:r w:rsidR="007901E2" w:rsidRPr="00871D8F">
        <w:rPr>
          <w:b/>
          <w:lang w:val="es-ES_tradnl"/>
        </w:rPr>
        <w:t>R</w:t>
      </w:r>
      <w:r w:rsidRPr="00871D8F">
        <w:rPr>
          <w:b/>
          <w:lang w:val="es-ES_tradnl"/>
        </w:rPr>
        <w:t xml:space="preserve">ápida de la UE </w:t>
      </w:r>
      <w:r w:rsidR="007901E2" w:rsidRPr="00871D8F">
        <w:rPr>
          <w:b/>
          <w:lang w:val="es-ES_tradnl"/>
        </w:rPr>
        <w:t xml:space="preserve">(SAR) </w:t>
      </w:r>
      <w:r w:rsidRPr="00871D8F">
        <w:rPr>
          <w:b/>
          <w:lang w:val="es-ES_tradnl"/>
        </w:rPr>
        <w:t xml:space="preserve">se ve sometido a </w:t>
      </w:r>
      <w:r w:rsidR="007901E2" w:rsidRPr="00871D8F">
        <w:rPr>
          <w:b/>
          <w:lang w:val="es-ES_tradnl"/>
        </w:rPr>
        <w:t xml:space="preserve">una </w:t>
      </w:r>
      <w:r w:rsidRPr="00871D8F">
        <w:rPr>
          <w:b/>
          <w:lang w:val="es-ES_tradnl"/>
        </w:rPr>
        <w:t>«presi</w:t>
      </w:r>
      <w:r w:rsidR="007901E2" w:rsidRPr="00871D8F">
        <w:rPr>
          <w:b/>
          <w:lang w:val="es-ES_tradnl"/>
        </w:rPr>
        <w:t>ó</w:t>
      </w:r>
      <w:r w:rsidRPr="00871D8F">
        <w:rPr>
          <w:b/>
          <w:lang w:val="es-ES_tradnl"/>
        </w:rPr>
        <w:t>n creciente»</w:t>
      </w:r>
    </w:p>
    <w:p w:rsidR="00A27B0B" w:rsidRPr="00FF0C0F" w:rsidRDefault="00A27B0B" w:rsidP="00422CB4">
      <w:pPr>
        <w:pStyle w:val="newsNotes"/>
        <w:rPr>
          <w:lang w:val="es-ES"/>
        </w:rPr>
      </w:pPr>
      <w:r w:rsidRPr="00FF0C0F">
        <w:rPr>
          <w:lang w:val="es-ES"/>
        </w:rPr>
        <w:t xml:space="preserve">El aumento del número, tipo y disponibilidad de </w:t>
      </w:r>
      <w:r w:rsidR="007901E2">
        <w:rPr>
          <w:lang w:val="es-ES"/>
        </w:rPr>
        <w:t>N</w:t>
      </w:r>
      <w:r w:rsidRPr="00FF0C0F">
        <w:rPr>
          <w:lang w:val="es-ES"/>
        </w:rPr>
        <w:t xml:space="preserve">uevas </w:t>
      </w:r>
      <w:r w:rsidR="007901E2">
        <w:rPr>
          <w:lang w:val="es-ES"/>
        </w:rPr>
        <w:t>S</w:t>
      </w:r>
      <w:r w:rsidRPr="00FF0C0F">
        <w:rPr>
          <w:lang w:val="es-ES"/>
        </w:rPr>
        <w:t xml:space="preserve">ustancias </w:t>
      </w:r>
      <w:r w:rsidR="007901E2">
        <w:rPr>
          <w:lang w:val="es-ES"/>
        </w:rPr>
        <w:t>P</w:t>
      </w:r>
      <w:r w:rsidRPr="00FF0C0F">
        <w:rPr>
          <w:lang w:val="es-ES"/>
        </w:rPr>
        <w:t>sico</w:t>
      </w:r>
      <w:r w:rsidR="007901E2">
        <w:rPr>
          <w:lang w:val="es-ES"/>
        </w:rPr>
        <w:t>activas</w:t>
      </w:r>
      <w:r w:rsidRPr="00FF0C0F">
        <w:rPr>
          <w:lang w:val="es-ES"/>
        </w:rPr>
        <w:t xml:space="preserve"> (NSP o </w:t>
      </w:r>
      <w:r>
        <w:rPr>
          <w:rFonts w:cs="Arial"/>
          <w:lang w:val="es-ES"/>
        </w:rPr>
        <w:t>«</w:t>
      </w:r>
      <w:r w:rsidRPr="00FF0C0F">
        <w:rPr>
          <w:lang w:val="es-ES"/>
        </w:rPr>
        <w:t>nuevas drogas</w:t>
      </w:r>
      <w:r>
        <w:rPr>
          <w:rFonts w:cs="Arial"/>
          <w:lang w:val="es-ES"/>
        </w:rPr>
        <w:t>»</w:t>
      </w:r>
      <w:r w:rsidRPr="00FF0C0F">
        <w:rPr>
          <w:lang w:val="es-ES"/>
        </w:rPr>
        <w:t xml:space="preserve">) en Europa no muestra signos de reducción, afirma el </w:t>
      </w:r>
      <w:r w:rsidRPr="00FF0C0F">
        <w:rPr>
          <w:b/>
          <w:lang w:val="es-ES"/>
        </w:rPr>
        <w:t>EMCDDA</w:t>
      </w:r>
      <w:r w:rsidRPr="00FF0C0F">
        <w:rPr>
          <w:lang w:val="es-ES"/>
        </w:rPr>
        <w:t xml:space="preserve">. En 2013 se notificaron por primera vez </w:t>
      </w:r>
      <w:r w:rsidR="007D15D1">
        <w:rPr>
          <w:lang w:val="es-ES"/>
        </w:rPr>
        <w:t xml:space="preserve"> </w:t>
      </w:r>
      <w:r w:rsidRPr="00FF0C0F">
        <w:rPr>
          <w:lang w:val="es-ES"/>
        </w:rPr>
        <w:t xml:space="preserve">81 nuevas drogas al </w:t>
      </w:r>
      <w:r w:rsidRPr="00FF0C0F">
        <w:rPr>
          <w:b/>
          <w:lang w:val="es-ES"/>
        </w:rPr>
        <w:t>S</w:t>
      </w:r>
      <w:r w:rsidR="007901E2">
        <w:rPr>
          <w:b/>
          <w:lang w:val="es-ES"/>
        </w:rPr>
        <w:t>AR</w:t>
      </w:r>
      <w:r w:rsidRPr="00FF0C0F">
        <w:rPr>
          <w:b/>
          <w:lang w:val="es-ES"/>
        </w:rPr>
        <w:t xml:space="preserve"> de la UE</w:t>
      </w:r>
      <w:r w:rsidRPr="00FF0C0F">
        <w:rPr>
          <w:lang w:val="es-ES"/>
        </w:rPr>
        <w:t xml:space="preserve"> (</w:t>
      </w:r>
      <w:r w:rsidRPr="00FF0C0F">
        <w:rPr>
          <w:vertAlign w:val="superscript"/>
          <w:lang w:val="es-ES"/>
        </w:rPr>
        <w:t>6</w:t>
      </w:r>
      <w:r w:rsidRPr="00FF0C0F">
        <w:rPr>
          <w:lang w:val="es-ES"/>
        </w:rPr>
        <w:t xml:space="preserve">). Con ello, el número de nuevas sustancias controladas por la </w:t>
      </w:r>
      <w:r w:rsidR="007901E2">
        <w:rPr>
          <w:lang w:val="es-ES"/>
        </w:rPr>
        <w:t>A</w:t>
      </w:r>
      <w:r w:rsidRPr="00FF0C0F">
        <w:rPr>
          <w:lang w:val="es-ES"/>
        </w:rPr>
        <w:t xml:space="preserve">gencia se eleva a más de 350. Según el informe, el Sistema se </w:t>
      </w:r>
      <w:r>
        <w:rPr>
          <w:rFonts w:cs="Arial"/>
          <w:lang w:val="es-ES"/>
        </w:rPr>
        <w:t>«</w:t>
      </w:r>
      <w:r w:rsidRPr="00FF0C0F">
        <w:rPr>
          <w:lang w:val="es-ES"/>
        </w:rPr>
        <w:t>ve sometido a presiones crecientes derivadas del volumen y variedad de las sustancias que aparecen en el mercado</w:t>
      </w:r>
      <w:r>
        <w:rPr>
          <w:rFonts w:cs="Arial"/>
          <w:lang w:val="es-ES"/>
        </w:rPr>
        <w:t>»</w:t>
      </w:r>
      <w:r w:rsidRPr="00FF0C0F">
        <w:rPr>
          <w:lang w:val="es-ES"/>
        </w:rPr>
        <w:t xml:space="preserve">. Casi 250 sustancias </w:t>
      </w:r>
      <w:r>
        <w:rPr>
          <w:lang w:val="es-ES"/>
        </w:rPr>
        <w:t xml:space="preserve">nuevas </w:t>
      </w:r>
      <w:r w:rsidRPr="00FF0C0F">
        <w:rPr>
          <w:lang w:val="es-ES"/>
        </w:rPr>
        <w:t xml:space="preserve">se han detectado en los últimos cuatro años. </w:t>
      </w:r>
    </w:p>
    <w:p w:rsidR="00A27B0B" w:rsidRPr="00FF0C0F" w:rsidRDefault="00A27B0B" w:rsidP="00422CB4">
      <w:pPr>
        <w:pStyle w:val="newsNotes"/>
        <w:rPr>
          <w:lang w:val="es-ES"/>
        </w:rPr>
      </w:pPr>
      <w:r w:rsidRPr="00FF0C0F">
        <w:rPr>
          <w:lang w:val="es-ES"/>
        </w:rPr>
        <w:t xml:space="preserve">Las nuevas sustancias </w:t>
      </w:r>
      <w:r w:rsidR="00E8308C" w:rsidRPr="00FF0C0F">
        <w:rPr>
          <w:lang w:val="es-ES"/>
        </w:rPr>
        <w:t>psi</w:t>
      </w:r>
      <w:r w:rsidR="00E8308C">
        <w:rPr>
          <w:lang w:val="es-ES"/>
        </w:rPr>
        <w:t>coactivas</w:t>
      </w:r>
      <w:r w:rsidRPr="00FF0C0F">
        <w:rPr>
          <w:lang w:val="es-ES"/>
        </w:rPr>
        <w:t xml:space="preserve">, no controladas de acuerdo con el </w:t>
      </w:r>
      <w:r w:rsidR="005A382B">
        <w:rPr>
          <w:lang w:val="es-ES"/>
        </w:rPr>
        <w:t>d</w:t>
      </w:r>
      <w:r w:rsidRPr="00FF0C0F">
        <w:rPr>
          <w:lang w:val="es-ES"/>
        </w:rPr>
        <w:t xml:space="preserve">erecho internacional, suelen venderse en el mercado como </w:t>
      </w:r>
      <w:r>
        <w:rPr>
          <w:rFonts w:cs="Arial"/>
          <w:lang w:val="es-ES"/>
        </w:rPr>
        <w:t>«</w:t>
      </w:r>
      <w:r w:rsidRPr="00FF0C0F">
        <w:rPr>
          <w:lang w:val="es-ES"/>
        </w:rPr>
        <w:t>euforizantes legales</w:t>
      </w:r>
      <w:r w:rsidR="00FE45E8">
        <w:rPr>
          <w:rFonts w:cs="Arial"/>
          <w:lang w:val="es-ES"/>
        </w:rPr>
        <w:t>»</w:t>
      </w:r>
      <w:r w:rsidR="00FE45E8">
        <w:rPr>
          <w:rFonts w:cs="Arial"/>
          <w:lang w:val="es-ES"/>
        </w:rPr>
        <w:t xml:space="preserve"> (</w:t>
      </w:r>
      <w:r w:rsidR="00E8308C" w:rsidRPr="00FE45E8">
        <w:rPr>
          <w:i/>
          <w:lang w:val="es-ES"/>
        </w:rPr>
        <w:t xml:space="preserve">legal </w:t>
      </w:r>
      <w:proofErr w:type="spellStart"/>
      <w:r w:rsidR="00E8308C" w:rsidRPr="00FE45E8">
        <w:rPr>
          <w:i/>
          <w:lang w:val="es-ES"/>
        </w:rPr>
        <w:t>highs</w:t>
      </w:r>
      <w:proofErr w:type="spellEnd"/>
      <w:r w:rsidR="00FE45E8">
        <w:rPr>
          <w:lang w:val="es-ES"/>
        </w:rPr>
        <w:t>)</w:t>
      </w:r>
      <w:r w:rsidRPr="00FF0C0F">
        <w:rPr>
          <w:lang w:val="es-ES"/>
        </w:rPr>
        <w:t xml:space="preserve"> y se producen con intención de imitar los efectos de las drogas </w:t>
      </w:r>
      <w:r w:rsidR="00D74E92">
        <w:rPr>
          <w:lang w:val="es-ES"/>
        </w:rPr>
        <w:t xml:space="preserve">bajo </w:t>
      </w:r>
      <w:r w:rsidRPr="00FF0C0F">
        <w:rPr>
          <w:lang w:val="es-ES"/>
        </w:rPr>
        <w:t xml:space="preserve">control. Veintinueve </w:t>
      </w:r>
      <w:r w:rsidR="00D74E92">
        <w:rPr>
          <w:lang w:val="es-ES"/>
        </w:rPr>
        <w:t xml:space="preserve">de las </w:t>
      </w:r>
      <w:r w:rsidRPr="00FF0C0F">
        <w:rPr>
          <w:lang w:val="es-ES"/>
        </w:rPr>
        <w:t xml:space="preserve">drogas detectadas </w:t>
      </w:r>
      <w:r w:rsidR="00D74E92">
        <w:rPr>
          <w:lang w:val="es-ES"/>
        </w:rPr>
        <w:t xml:space="preserve">en </w:t>
      </w:r>
      <w:r w:rsidRPr="00FF0C0F">
        <w:rPr>
          <w:lang w:val="es-ES"/>
        </w:rPr>
        <w:t xml:space="preserve">el último año </w:t>
      </w:r>
      <w:r w:rsidRPr="007A7548">
        <w:rPr>
          <w:lang w:val="es-ES"/>
        </w:rPr>
        <w:t xml:space="preserve">eran </w:t>
      </w:r>
      <w:proofErr w:type="spellStart"/>
      <w:r w:rsidRPr="007A7548">
        <w:rPr>
          <w:lang w:val="es-ES"/>
        </w:rPr>
        <w:t>cannabinoides</w:t>
      </w:r>
      <w:proofErr w:type="spellEnd"/>
      <w:r w:rsidRPr="007A7548">
        <w:rPr>
          <w:lang w:val="es-ES"/>
        </w:rPr>
        <w:t xml:space="preserve"> sintéticos</w:t>
      </w:r>
      <w:r w:rsidRPr="00FF0C0F">
        <w:rPr>
          <w:lang w:val="es-ES"/>
        </w:rPr>
        <w:t>, el grupo más numeroso de las drogas actualmente controladas por el S</w:t>
      </w:r>
      <w:r w:rsidR="00D74E92">
        <w:rPr>
          <w:lang w:val="es-ES"/>
        </w:rPr>
        <w:t>AR</w:t>
      </w:r>
      <w:r w:rsidRPr="00FF0C0F">
        <w:rPr>
          <w:lang w:val="es-ES"/>
        </w:rPr>
        <w:t xml:space="preserve">. </w:t>
      </w:r>
      <w:r w:rsidR="007D15D1">
        <w:rPr>
          <w:lang w:val="es-ES"/>
        </w:rPr>
        <w:t xml:space="preserve">             </w:t>
      </w:r>
      <w:r w:rsidRPr="00FF0C0F">
        <w:rPr>
          <w:lang w:val="es-ES"/>
        </w:rPr>
        <w:t>La velocidad con que drogas recientemente controladas son sustituidas por nuevas sustancias ha inducido variadas respuestas legales innovadoras en toda Europa (capítulo 4).</w:t>
      </w:r>
    </w:p>
    <w:p w:rsidR="00A27B0B" w:rsidRPr="00FF0C0F" w:rsidRDefault="00A27B0B" w:rsidP="00422CB4">
      <w:pPr>
        <w:pStyle w:val="newsNotes"/>
        <w:rPr>
          <w:lang w:val="es-ES"/>
        </w:rPr>
      </w:pPr>
      <w:r w:rsidRPr="00FF0C0F">
        <w:rPr>
          <w:lang w:val="es-ES"/>
        </w:rPr>
        <w:t xml:space="preserve">Las nuevas drogas pueden producirse en laboratorios clandestinos en Europa. Es más habitual, sin embargo, que se obtengan legalmente en forma de polvo, sobre todo en </w:t>
      </w:r>
      <w:r w:rsidRPr="00FF0C0F">
        <w:rPr>
          <w:b/>
          <w:lang w:val="es-ES"/>
        </w:rPr>
        <w:t xml:space="preserve">China </w:t>
      </w:r>
      <w:r w:rsidRPr="00FF0C0F">
        <w:rPr>
          <w:lang w:val="es-ES"/>
        </w:rPr>
        <w:t xml:space="preserve">y la </w:t>
      </w:r>
      <w:r w:rsidRPr="00FF0C0F">
        <w:rPr>
          <w:b/>
          <w:lang w:val="es-ES"/>
        </w:rPr>
        <w:t>India</w:t>
      </w:r>
      <w:r w:rsidRPr="00FF0C0F">
        <w:rPr>
          <w:lang w:val="es-ES"/>
        </w:rPr>
        <w:t xml:space="preserve">, y se importen </w:t>
      </w:r>
      <w:r w:rsidR="0052396A">
        <w:rPr>
          <w:lang w:val="es-ES"/>
        </w:rPr>
        <w:t>a</w:t>
      </w:r>
      <w:r w:rsidR="0052396A" w:rsidRPr="00FF0C0F">
        <w:rPr>
          <w:lang w:val="es-ES"/>
        </w:rPr>
        <w:t xml:space="preserve"> </w:t>
      </w:r>
      <w:r w:rsidRPr="00FF0C0F">
        <w:rPr>
          <w:lang w:val="es-ES"/>
        </w:rPr>
        <w:t xml:space="preserve">Europa, donde se transforman, envasan y venden como </w:t>
      </w:r>
      <w:r>
        <w:rPr>
          <w:rFonts w:cs="Arial"/>
          <w:lang w:val="es-ES"/>
        </w:rPr>
        <w:t>«</w:t>
      </w:r>
      <w:r w:rsidRPr="00FF0C0F">
        <w:rPr>
          <w:lang w:val="es-ES"/>
        </w:rPr>
        <w:t>euforizantes legales</w:t>
      </w:r>
      <w:r>
        <w:rPr>
          <w:rFonts w:cs="Arial"/>
          <w:lang w:val="es-ES"/>
        </w:rPr>
        <w:t>»</w:t>
      </w:r>
      <w:r w:rsidRPr="00FF0C0F">
        <w:rPr>
          <w:lang w:val="es-ES"/>
        </w:rPr>
        <w:t xml:space="preserve"> o </w:t>
      </w:r>
      <w:r>
        <w:rPr>
          <w:rFonts w:cs="Arial"/>
          <w:lang w:val="es-ES"/>
        </w:rPr>
        <w:t>«</w:t>
      </w:r>
      <w:r w:rsidRPr="00FF0C0F">
        <w:rPr>
          <w:lang w:val="es-ES"/>
        </w:rPr>
        <w:t>productos químicos en investigación</w:t>
      </w:r>
      <w:r>
        <w:rPr>
          <w:rFonts w:cs="Arial"/>
          <w:lang w:val="es-ES"/>
        </w:rPr>
        <w:t>»</w:t>
      </w:r>
      <w:r w:rsidRPr="00FF0C0F">
        <w:rPr>
          <w:lang w:val="es-ES"/>
        </w:rPr>
        <w:t xml:space="preserve">, o se venden directamente en el mercado de drogas ilegales. Internet sigue desempeñando un papel fundamental en la configuración del mercado de NSP. En 2013, el </w:t>
      </w:r>
      <w:r w:rsidRPr="00FF0C0F">
        <w:rPr>
          <w:b/>
          <w:lang w:val="es-ES"/>
        </w:rPr>
        <w:t xml:space="preserve">EMCDDA </w:t>
      </w:r>
      <w:r w:rsidRPr="00FF0C0F">
        <w:rPr>
          <w:lang w:val="es-ES"/>
        </w:rPr>
        <w:t xml:space="preserve">identificó unos 650 sitios web que vendían estas sustancias a los europeos. La compra de nuevas y </w:t>
      </w:r>
      <w:r>
        <w:rPr>
          <w:rFonts w:cs="Arial"/>
          <w:lang w:val="es-ES"/>
        </w:rPr>
        <w:t>«</w:t>
      </w:r>
      <w:r w:rsidRPr="00FF0C0F">
        <w:rPr>
          <w:lang w:val="es-ES"/>
        </w:rPr>
        <w:t>antiguas drogas</w:t>
      </w:r>
      <w:r>
        <w:rPr>
          <w:rFonts w:cs="Arial"/>
          <w:lang w:val="es-ES"/>
        </w:rPr>
        <w:t>»</w:t>
      </w:r>
      <w:r w:rsidRPr="00FF0C0F">
        <w:rPr>
          <w:lang w:val="es-ES"/>
        </w:rPr>
        <w:t xml:space="preserve"> a través de </w:t>
      </w:r>
      <w:r>
        <w:rPr>
          <w:rFonts w:cs="Arial"/>
          <w:lang w:val="es-ES"/>
        </w:rPr>
        <w:t>«</w:t>
      </w:r>
      <w:r w:rsidRPr="00FF0C0F">
        <w:rPr>
          <w:lang w:val="es-ES"/>
        </w:rPr>
        <w:t>redes oscuras</w:t>
      </w:r>
      <w:r>
        <w:rPr>
          <w:rFonts w:cs="Arial"/>
          <w:lang w:val="es-ES"/>
        </w:rPr>
        <w:t>»</w:t>
      </w:r>
      <w:r w:rsidRPr="00FF0C0F">
        <w:rPr>
          <w:lang w:val="es-ES"/>
        </w:rPr>
        <w:t xml:space="preserve"> – redes en línea que permiten la comunicación anónima – representa además otro nuevo desafío para los cuerpos y fuerzas de seguridad. </w:t>
      </w:r>
    </w:p>
    <w:p w:rsidR="00A27B0B" w:rsidRPr="00FF0C0F" w:rsidRDefault="00A27B0B" w:rsidP="00422CB4">
      <w:pPr>
        <w:pStyle w:val="newsNotes"/>
        <w:rPr>
          <w:lang w:val="es-ES"/>
        </w:rPr>
      </w:pPr>
      <w:r w:rsidRPr="00FF0C0F">
        <w:rPr>
          <w:lang w:val="es-ES"/>
        </w:rPr>
        <w:t xml:space="preserve">El informe señala la existencia de signos en algunos países </w:t>
      </w:r>
      <w:r w:rsidR="0052396A">
        <w:rPr>
          <w:lang w:val="es-ES"/>
        </w:rPr>
        <w:t xml:space="preserve">que </w:t>
      </w:r>
      <w:r w:rsidRPr="00FF0C0F">
        <w:rPr>
          <w:lang w:val="es-ES"/>
        </w:rPr>
        <w:t xml:space="preserve">estas sustancias se dirigen ahora a los </w:t>
      </w:r>
      <w:r w:rsidR="0052396A" w:rsidRPr="00FF0C0F">
        <w:rPr>
          <w:lang w:val="es-ES"/>
        </w:rPr>
        <w:t xml:space="preserve">principales </w:t>
      </w:r>
      <w:r w:rsidRPr="00FF0C0F">
        <w:rPr>
          <w:lang w:val="es-ES"/>
        </w:rPr>
        <w:t xml:space="preserve">segmentos del mercado de las drogas. En abril de 2014, el </w:t>
      </w:r>
      <w:r w:rsidRPr="00FF0C0F">
        <w:rPr>
          <w:b/>
          <w:lang w:val="es-ES"/>
        </w:rPr>
        <w:t>Comité científico del EMCDDA</w:t>
      </w:r>
      <w:r w:rsidRPr="00FF0C0F">
        <w:rPr>
          <w:lang w:val="es-ES"/>
        </w:rPr>
        <w:t xml:space="preserve"> hizo una evaluación de riesgos de cuatro potentes y peligrosas nuevas sustancias: 25I-NBOMe, AH-7921, MDPV y </w:t>
      </w:r>
      <w:proofErr w:type="spellStart"/>
      <w:r w:rsidRPr="00FF0C0F">
        <w:rPr>
          <w:lang w:val="es-ES"/>
        </w:rPr>
        <w:t>metoxetamina</w:t>
      </w:r>
      <w:proofErr w:type="spellEnd"/>
      <w:r w:rsidRPr="00FF0C0F">
        <w:rPr>
          <w:lang w:val="es-ES"/>
        </w:rPr>
        <w:t xml:space="preserve">. </w:t>
      </w:r>
      <w:r w:rsidR="0052396A">
        <w:rPr>
          <w:lang w:val="es-ES"/>
        </w:rPr>
        <w:t>Éstas s</w:t>
      </w:r>
      <w:r w:rsidRPr="00FF0C0F">
        <w:rPr>
          <w:lang w:val="es-ES"/>
        </w:rPr>
        <w:t xml:space="preserve">e venden </w:t>
      </w:r>
      <w:r w:rsidR="0052396A">
        <w:rPr>
          <w:lang w:val="es-ES"/>
        </w:rPr>
        <w:t>como</w:t>
      </w:r>
      <w:r w:rsidRPr="00FF0C0F">
        <w:rPr>
          <w:lang w:val="es-ES"/>
        </w:rPr>
        <w:t xml:space="preserve"> </w:t>
      </w:r>
      <w:r w:rsidR="0052396A">
        <w:rPr>
          <w:lang w:val="es-ES"/>
        </w:rPr>
        <w:t>alternativa</w:t>
      </w:r>
      <w:r w:rsidRPr="00FF0C0F">
        <w:rPr>
          <w:lang w:val="es-ES"/>
        </w:rPr>
        <w:t xml:space="preserve"> </w:t>
      </w:r>
      <w:r w:rsidR="0052396A">
        <w:rPr>
          <w:lang w:val="es-ES"/>
        </w:rPr>
        <w:t>a las dr</w:t>
      </w:r>
      <w:r w:rsidRPr="00FF0C0F">
        <w:rPr>
          <w:lang w:val="es-ES"/>
        </w:rPr>
        <w:t xml:space="preserve">ogas a las que imitan y pueden ser incluso más nocivas que estas: LSD (alucinógeno), morfina (opiáceo), cocaína (estimulante) y </w:t>
      </w:r>
      <w:proofErr w:type="spellStart"/>
      <w:r w:rsidRPr="00FF0C0F">
        <w:rPr>
          <w:lang w:val="es-ES"/>
        </w:rPr>
        <w:t>ketamina</w:t>
      </w:r>
      <w:proofErr w:type="spellEnd"/>
      <w:r w:rsidRPr="00FF0C0F">
        <w:rPr>
          <w:lang w:val="es-ES"/>
        </w:rPr>
        <w:t xml:space="preserve"> (fármaco con propiedades analgésicas y anestésicas). Se han presentado a la </w:t>
      </w:r>
      <w:r w:rsidRPr="00FF0C0F">
        <w:rPr>
          <w:b/>
          <w:lang w:val="es-ES"/>
        </w:rPr>
        <w:t>Comisión Europea</w:t>
      </w:r>
      <w:r w:rsidRPr="00FF0C0F">
        <w:rPr>
          <w:lang w:val="es-ES"/>
        </w:rPr>
        <w:t xml:space="preserve"> y al </w:t>
      </w:r>
      <w:r w:rsidRPr="00FF0C0F">
        <w:rPr>
          <w:b/>
          <w:lang w:val="es-ES"/>
        </w:rPr>
        <w:t>Consejo de la UE</w:t>
      </w:r>
      <w:r w:rsidRPr="00FF0C0F">
        <w:rPr>
          <w:lang w:val="es-ES"/>
        </w:rPr>
        <w:t xml:space="preserve"> los correspondientes informes de evaluación de riesgos de las cuatro sustancias, para la posible adopción de decisiones sobre la implantación de medidas de control </w:t>
      </w:r>
      <w:r w:rsidR="0052396A">
        <w:rPr>
          <w:lang w:val="es-ES"/>
        </w:rPr>
        <w:t>en</w:t>
      </w:r>
      <w:r w:rsidRPr="00FF0C0F">
        <w:rPr>
          <w:lang w:val="es-ES"/>
        </w:rPr>
        <w:t xml:space="preserve"> la UE. </w:t>
      </w:r>
    </w:p>
    <w:p w:rsidR="00A27B0B" w:rsidRPr="00FF0C0F" w:rsidRDefault="00A27B0B" w:rsidP="00422CB4">
      <w:pPr>
        <w:pStyle w:val="newsNotes"/>
        <w:rPr>
          <w:lang w:val="es-ES"/>
        </w:rPr>
      </w:pPr>
      <w:r w:rsidRPr="00FF0C0F">
        <w:rPr>
          <w:lang w:val="es-ES"/>
        </w:rPr>
        <w:t xml:space="preserve">La aparición de sustancias sintéticas extremadamente potentes constituye un motivo de preocupación, como confirman las notificaciones al </w:t>
      </w:r>
      <w:r w:rsidRPr="00FF0C0F">
        <w:rPr>
          <w:b/>
          <w:lang w:val="es-ES"/>
        </w:rPr>
        <w:t>S</w:t>
      </w:r>
      <w:r w:rsidR="0052396A">
        <w:rPr>
          <w:b/>
          <w:lang w:val="es-ES"/>
        </w:rPr>
        <w:t>AR</w:t>
      </w:r>
      <w:r w:rsidRPr="00FF0C0F">
        <w:rPr>
          <w:lang w:val="es-ES"/>
        </w:rPr>
        <w:t>. Se trata de un fenómeno que tiene consecuencias tanto para los consumidores como para l</w:t>
      </w:r>
      <w:r w:rsidR="0052396A">
        <w:rPr>
          <w:lang w:val="es-ES"/>
        </w:rPr>
        <w:t>as</w:t>
      </w:r>
      <w:r w:rsidRPr="00FF0C0F">
        <w:rPr>
          <w:lang w:val="es-ES"/>
        </w:rPr>
        <w:t xml:space="preserve"> </w:t>
      </w:r>
      <w:r w:rsidRPr="002E5103">
        <w:rPr>
          <w:lang w:val="es-ES"/>
        </w:rPr>
        <w:t>fuerzas de seguridad</w:t>
      </w:r>
      <w:r w:rsidR="0092151B" w:rsidRPr="002E5103">
        <w:rPr>
          <w:lang w:val="es-ES"/>
        </w:rPr>
        <w:t>.</w:t>
      </w:r>
      <w:r w:rsidRPr="00FF0C0F">
        <w:rPr>
          <w:lang w:val="es-ES"/>
        </w:rPr>
        <w:t xml:space="preserve"> </w:t>
      </w:r>
      <w:r w:rsidR="0092151B">
        <w:rPr>
          <w:lang w:val="es-ES"/>
        </w:rPr>
        <w:t>E</w:t>
      </w:r>
      <w:r w:rsidRPr="00FF0C0F">
        <w:rPr>
          <w:lang w:val="es-ES"/>
        </w:rPr>
        <w:t>stas sustancias pueden ser tóxicas a dosis muy bajas</w:t>
      </w:r>
      <w:r w:rsidR="0092151B">
        <w:rPr>
          <w:lang w:val="es-ES"/>
        </w:rPr>
        <w:t xml:space="preserve"> e </w:t>
      </w:r>
      <w:r w:rsidRPr="00FF0C0F">
        <w:rPr>
          <w:lang w:val="es-ES"/>
        </w:rPr>
        <w:t>incluso en pequeñas cantidades pueden utilizarse para obtener numerosas dosis individuales.</w:t>
      </w:r>
    </w:p>
    <w:p w:rsidR="00A27B0B" w:rsidRPr="00575D93" w:rsidRDefault="00A27B0B" w:rsidP="00422CB4">
      <w:pPr>
        <w:pStyle w:val="newsContent"/>
        <w:rPr>
          <w:b/>
          <w:lang w:val="es-ES_tradnl"/>
        </w:rPr>
      </w:pPr>
      <w:r w:rsidRPr="00575D93">
        <w:rPr>
          <w:b/>
          <w:lang w:val="es-ES_tradnl"/>
        </w:rPr>
        <w:t xml:space="preserve">Cannabis: controversias, contrastes y contradicciones </w:t>
      </w:r>
    </w:p>
    <w:p w:rsidR="00A27B0B" w:rsidRPr="00FF0C0F" w:rsidRDefault="00A27B0B" w:rsidP="00422CB4">
      <w:pPr>
        <w:pStyle w:val="newsNotes"/>
        <w:rPr>
          <w:lang w:val="es-ES"/>
        </w:rPr>
      </w:pPr>
      <w:r w:rsidRPr="00FF0C0F">
        <w:rPr>
          <w:lang w:val="es-ES"/>
        </w:rPr>
        <w:t xml:space="preserve">Las encuestas de actitud </w:t>
      </w:r>
      <w:r w:rsidR="005E37F1">
        <w:rPr>
          <w:lang w:val="es-ES"/>
        </w:rPr>
        <w:t xml:space="preserve">realizadas </w:t>
      </w:r>
      <w:r w:rsidRPr="00FF0C0F">
        <w:rPr>
          <w:lang w:val="es-ES"/>
        </w:rPr>
        <w:t>e</w:t>
      </w:r>
      <w:r w:rsidR="005E37F1">
        <w:rPr>
          <w:lang w:val="es-ES"/>
        </w:rPr>
        <w:t>n</w:t>
      </w:r>
      <w:r w:rsidRPr="00FF0C0F">
        <w:rPr>
          <w:lang w:val="es-ES"/>
        </w:rPr>
        <w:t xml:space="preserve"> la </w:t>
      </w:r>
      <w:r w:rsidRPr="00FF0C0F">
        <w:rPr>
          <w:b/>
          <w:lang w:val="es-ES"/>
        </w:rPr>
        <w:t>UE</w:t>
      </w:r>
      <w:r w:rsidRPr="00FF0C0F">
        <w:rPr>
          <w:lang w:val="es-ES"/>
        </w:rPr>
        <w:t xml:space="preserve"> (</w:t>
      </w:r>
      <w:r w:rsidRPr="00FF0C0F">
        <w:rPr>
          <w:vertAlign w:val="superscript"/>
          <w:lang w:val="es-ES"/>
        </w:rPr>
        <w:t>7</w:t>
      </w:r>
      <w:r w:rsidRPr="00FF0C0F">
        <w:rPr>
          <w:lang w:val="es-ES"/>
        </w:rPr>
        <w:t xml:space="preserve">) indican que el cannabis sigue siendo la droga que más polariza la opinión pública. Se favorece así un intenso debate público, recientemente avivado por las modificaciones internacionales producidas en los medios de control de la disponibilidad y del consumo de cannabis (por ejemplo, reformas legislativas en algunos estados de los </w:t>
      </w:r>
      <w:r w:rsidRPr="00FF0C0F">
        <w:rPr>
          <w:b/>
          <w:lang w:val="es-ES"/>
        </w:rPr>
        <w:t>Estados Unidos</w:t>
      </w:r>
      <w:r w:rsidRPr="00FF0C0F">
        <w:rPr>
          <w:lang w:val="es-ES"/>
        </w:rPr>
        <w:t xml:space="preserve"> y en </w:t>
      </w:r>
      <w:r w:rsidR="005E37F1">
        <w:rPr>
          <w:lang w:val="es-ES"/>
        </w:rPr>
        <w:t>países</w:t>
      </w:r>
      <w:r w:rsidRPr="00FF0C0F">
        <w:rPr>
          <w:lang w:val="es-ES"/>
        </w:rPr>
        <w:t xml:space="preserve"> de </w:t>
      </w:r>
      <w:r w:rsidRPr="00FF0C0F">
        <w:rPr>
          <w:b/>
          <w:lang w:val="es-ES"/>
        </w:rPr>
        <w:t>América Latina</w:t>
      </w:r>
      <w:r w:rsidRPr="00FF0C0F">
        <w:rPr>
          <w:lang w:val="es-ES"/>
        </w:rPr>
        <w:t xml:space="preserve">). </w:t>
      </w:r>
      <w:proofErr w:type="gramStart"/>
      <w:r w:rsidR="00AC30D2">
        <w:rPr>
          <w:lang w:val="es-ES"/>
        </w:rPr>
        <w:t>La</w:t>
      </w:r>
      <w:proofErr w:type="gramEnd"/>
      <w:r w:rsidR="00AC30D2">
        <w:rPr>
          <w:lang w:val="es-ES"/>
        </w:rPr>
        <w:t xml:space="preserve"> discusiones en E</w:t>
      </w:r>
      <w:r w:rsidRPr="00FF0C0F">
        <w:rPr>
          <w:lang w:val="es-ES"/>
        </w:rPr>
        <w:t>urop</w:t>
      </w:r>
      <w:r w:rsidR="00AC30D2">
        <w:rPr>
          <w:lang w:val="es-ES"/>
        </w:rPr>
        <w:t>a</w:t>
      </w:r>
      <w:r w:rsidRPr="00FF0C0F">
        <w:rPr>
          <w:lang w:val="es-ES"/>
        </w:rPr>
        <w:t xml:space="preserve"> sobre el control de cannabis han tendido a centrarse en </w:t>
      </w:r>
      <w:r>
        <w:rPr>
          <w:lang w:val="es-ES"/>
        </w:rPr>
        <w:t>la oferta</w:t>
      </w:r>
      <w:r w:rsidRPr="00FF0C0F">
        <w:rPr>
          <w:lang w:val="es-ES"/>
        </w:rPr>
        <w:t xml:space="preserve"> y el tráfico, más que en el uso personal. </w:t>
      </w:r>
      <w:r w:rsidR="005A382B">
        <w:rPr>
          <w:lang w:val="es-ES"/>
        </w:rPr>
        <w:t>S</w:t>
      </w:r>
      <w:r w:rsidRPr="00FF0C0F">
        <w:rPr>
          <w:lang w:val="es-ES"/>
        </w:rPr>
        <w:t xml:space="preserve">in embargo, desde hace una década ha crecido firmemente el número total de infracciones vinculadas al consumo y a la posesión para </w:t>
      </w:r>
      <w:r w:rsidR="00AC30D2">
        <w:rPr>
          <w:lang w:val="es-ES"/>
        </w:rPr>
        <w:t xml:space="preserve">el </w:t>
      </w:r>
      <w:r w:rsidRPr="00FF0C0F">
        <w:rPr>
          <w:lang w:val="es-ES"/>
        </w:rPr>
        <w:t>consumo personal de esta droga (gráfico 4.1).</w:t>
      </w:r>
    </w:p>
    <w:p w:rsidR="00A27B0B" w:rsidRPr="00FF0C0F" w:rsidRDefault="00A27B0B" w:rsidP="00422CB4">
      <w:pPr>
        <w:pStyle w:val="newsNotes"/>
        <w:rPr>
          <w:lang w:val="es-ES"/>
        </w:rPr>
      </w:pPr>
      <w:r w:rsidRPr="00FF0C0F">
        <w:rPr>
          <w:lang w:val="es-ES"/>
        </w:rPr>
        <w:t xml:space="preserve">Aproximadamente 73,6 millones de europeos han consumido cannabis alguna vez en su vida y 18,1 millones lo han hecho en el último año. Unos 14,6 millones de europeos jóvenes (de 15 a 34 años) lo han consumido en el último año. El consumo de cannabis en Europa </w:t>
      </w:r>
      <w:r w:rsidR="00AC30D2">
        <w:rPr>
          <w:lang w:val="es-ES"/>
        </w:rPr>
        <w:t xml:space="preserve">es en general </w:t>
      </w:r>
      <w:r w:rsidRPr="00FF0C0F">
        <w:rPr>
          <w:lang w:val="es-ES"/>
        </w:rPr>
        <w:t xml:space="preserve">estable o en descenso, especialmente en jóvenes. Las tendencias nacionales son, en cambio, más divergentes, como se advierte </w:t>
      </w:r>
      <w:r w:rsidRPr="00FF0C0F">
        <w:rPr>
          <w:lang w:val="es-ES"/>
        </w:rPr>
        <w:lastRenderedPageBreak/>
        <w:t xml:space="preserve">al constatar que, de los países que habían realizado nuevas encuestas desde 2011, ocho comunicaron descensos y cinco notificaron aumentos de la prevalencia </w:t>
      </w:r>
      <w:r w:rsidR="00EB08BA">
        <w:rPr>
          <w:lang w:val="es-ES"/>
        </w:rPr>
        <w:t>último</w:t>
      </w:r>
      <w:r w:rsidRPr="00FF0C0F">
        <w:rPr>
          <w:lang w:val="es-ES"/>
        </w:rPr>
        <w:t xml:space="preserve"> año </w:t>
      </w:r>
      <w:r w:rsidR="00EB08BA">
        <w:rPr>
          <w:lang w:val="es-ES"/>
        </w:rPr>
        <w:t>de consumo</w:t>
      </w:r>
      <w:r w:rsidRPr="00FF0C0F">
        <w:rPr>
          <w:lang w:val="es-ES"/>
        </w:rPr>
        <w:t xml:space="preserve"> (jóvenes 15 a 34 años) (gráfico 2.1). </w:t>
      </w:r>
    </w:p>
    <w:p w:rsidR="00A27B0B" w:rsidRPr="00FF0C0F" w:rsidRDefault="00A27B0B" w:rsidP="00422CB4">
      <w:pPr>
        <w:pStyle w:val="newsNotes"/>
        <w:rPr>
          <w:lang w:val="es-ES"/>
        </w:rPr>
      </w:pPr>
      <w:r w:rsidRPr="00FF0C0F">
        <w:rPr>
          <w:lang w:val="es-ES"/>
        </w:rPr>
        <w:t xml:space="preserve">Las mayores preocupaciones </w:t>
      </w:r>
      <w:r w:rsidR="00EB08BA">
        <w:rPr>
          <w:lang w:val="es-ES"/>
        </w:rPr>
        <w:t>en</w:t>
      </w:r>
      <w:r w:rsidRPr="00FF0C0F">
        <w:rPr>
          <w:lang w:val="es-ES"/>
        </w:rPr>
        <w:t xml:space="preserve"> salud pública son las que plantean los europeos que consumen la droga a diario, o casi a diario (aproximadamente el 1% de los adultos de 15 a 64 años). En 2012</w:t>
      </w:r>
      <w:r w:rsidR="006150ED" w:rsidRPr="00FF0C0F">
        <w:rPr>
          <w:lang w:val="es-ES"/>
        </w:rPr>
        <w:t xml:space="preserve"> </w:t>
      </w:r>
      <w:r w:rsidRPr="00FF0C0F">
        <w:rPr>
          <w:lang w:val="es-ES"/>
        </w:rPr>
        <w:t xml:space="preserve">el consumo de cannabis fue </w:t>
      </w:r>
      <w:r w:rsidR="00964979">
        <w:rPr>
          <w:lang w:val="es-ES"/>
        </w:rPr>
        <w:t xml:space="preserve">la droga </w:t>
      </w:r>
      <w:r w:rsidRPr="00FF0C0F">
        <w:rPr>
          <w:lang w:val="es-ES"/>
        </w:rPr>
        <w:t xml:space="preserve">más </w:t>
      </w:r>
      <w:r w:rsidR="006150ED">
        <w:rPr>
          <w:lang w:val="es-ES"/>
        </w:rPr>
        <w:t>frecuentemente</w:t>
      </w:r>
      <w:r w:rsidR="00964979" w:rsidRPr="00FF0C0F">
        <w:rPr>
          <w:lang w:val="es-ES"/>
        </w:rPr>
        <w:t xml:space="preserve"> </w:t>
      </w:r>
      <w:r w:rsidRPr="00FF0C0F">
        <w:rPr>
          <w:lang w:val="es-ES"/>
        </w:rPr>
        <w:t xml:space="preserve">notificada </w:t>
      </w:r>
      <w:r w:rsidR="00964979">
        <w:rPr>
          <w:lang w:val="es-ES"/>
        </w:rPr>
        <w:t xml:space="preserve">como </w:t>
      </w:r>
      <w:r w:rsidR="006150ED">
        <w:rPr>
          <w:lang w:val="es-ES"/>
        </w:rPr>
        <w:t xml:space="preserve">el </w:t>
      </w:r>
      <w:r w:rsidR="00964979">
        <w:rPr>
          <w:lang w:val="es-ES"/>
        </w:rPr>
        <w:t>principal motivo</w:t>
      </w:r>
      <w:r w:rsidR="006150ED" w:rsidRPr="00FF0C0F">
        <w:rPr>
          <w:lang w:val="es-ES"/>
        </w:rPr>
        <w:t xml:space="preserve"> </w:t>
      </w:r>
      <w:r w:rsidR="006150ED">
        <w:rPr>
          <w:lang w:val="es-ES"/>
        </w:rPr>
        <w:t xml:space="preserve">por los pacientes admitidos </w:t>
      </w:r>
      <w:r w:rsidR="006150ED" w:rsidRPr="00FF0C0F">
        <w:rPr>
          <w:lang w:val="es-ES"/>
        </w:rPr>
        <w:t>por primera vez</w:t>
      </w:r>
      <w:r w:rsidR="006150ED">
        <w:rPr>
          <w:lang w:val="es-ES"/>
        </w:rPr>
        <w:t xml:space="preserve"> a </w:t>
      </w:r>
      <w:r w:rsidR="006150ED" w:rsidRPr="00FF0C0F">
        <w:rPr>
          <w:lang w:val="es-ES"/>
        </w:rPr>
        <w:t>tratamiento de drogodependencia</w:t>
      </w:r>
      <w:r w:rsidR="006150ED">
        <w:rPr>
          <w:lang w:val="es-ES"/>
        </w:rPr>
        <w:t>s</w:t>
      </w:r>
      <w:r w:rsidRPr="00FF0C0F">
        <w:rPr>
          <w:lang w:val="es-ES"/>
        </w:rPr>
        <w:t xml:space="preserve">. </w:t>
      </w:r>
      <w:r>
        <w:rPr>
          <w:rFonts w:cs="Arial"/>
          <w:lang w:val="es-ES"/>
        </w:rPr>
        <w:t>«</w:t>
      </w:r>
      <w:r w:rsidRPr="00FF0C0F">
        <w:rPr>
          <w:lang w:val="es-ES"/>
        </w:rPr>
        <w:t xml:space="preserve">La </w:t>
      </w:r>
      <w:r w:rsidR="006150ED">
        <w:rPr>
          <w:lang w:val="es-ES"/>
        </w:rPr>
        <w:t>ausencia de una monitorización sistemátic</w:t>
      </w:r>
      <w:r w:rsidR="001B67DD">
        <w:rPr>
          <w:lang w:val="es-ES"/>
        </w:rPr>
        <w:t>a de las urgencias médicas</w:t>
      </w:r>
      <w:r w:rsidR="006150ED">
        <w:rPr>
          <w:lang w:val="es-ES"/>
        </w:rPr>
        <w:t xml:space="preserve"> relacionadas con las drogas</w:t>
      </w:r>
      <w:r w:rsidRPr="00FF0C0F">
        <w:rPr>
          <w:lang w:val="es-ES"/>
        </w:rPr>
        <w:t xml:space="preserve"> representa </w:t>
      </w:r>
      <w:r w:rsidR="001B67DD">
        <w:rPr>
          <w:lang w:val="es-ES"/>
        </w:rPr>
        <w:t xml:space="preserve">para Europa </w:t>
      </w:r>
      <w:r w:rsidRPr="00FF0C0F">
        <w:rPr>
          <w:lang w:val="es-ES"/>
        </w:rPr>
        <w:t>un punto ciego en la vigilancia de la aparición de nuevas amenazas para la salud</w:t>
      </w:r>
      <w:r>
        <w:rPr>
          <w:rFonts w:cs="Arial"/>
          <w:lang w:val="es-ES"/>
        </w:rPr>
        <w:t>»</w:t>
      </w:r>
      <w:r w:rsidRPr="00FF0C0F">
        <w:rPr>
          <w:lang w:val="es-ES"/>
        </w:rPr>
        <w:t xml:space="preserve"> afirma el </w:t>
      </w:r>
      <w:r w:rsidRPr="00FF0C0F">
        <w:rPr>
          <w:b/>
          <w:lang w:val="es-ES"/>
        </w:rPr>
        <w:t>EMCDDA</w:t>
      </w:r>
      <w:r w:rsidRPr="00FF0C0F">
        <w:rPr>
          <w:lang w:val="es-ES"/>
        </w:rPr>
        <w:t xml:space="preserve">. De los limitados datos disponibles parece deducirse que las urgencias médicas relacionadas con el cannabis constituyen un problema cada vez mayor en algunos países con una prevalencia </w:t>
      </w:r>
      <w:r w:rsidR="006150ED">
        <w:rPr>
          <w:lang w:val="es-ES"/>
        </w:rPr>
        <w:t xml:space="preserve">de consumo </w:t>
      </w:r>
      <w:r w:rsidRPr="00FF0C0F">
        <w:rPr>
          <w:lang w:val="es-ES"/>
        </w:rPr>
        <w:t>elevada.</w:t>
      </w:r>
    </w:p>
    <w:p w:rsidR="00A27B0B" w:rsidRPr="00FF0C0F" w:rsidRDefault="00A27B0B" w:rsidP="00422CB4">
      <w:pPr>
        <w:pStyle w:val="newsNotes"/>
        <w:rPr>
          <w:lang w:val="es-ES"/>
        </w:rPr>
      </w:pPr>
      <w:r w:rsidRPr="00FF0C0F">
        <w:rPr>
          <w:b/>
          <w:lang w:val="es-ES"/>
        </w:rPr>
        <w:t xml:space="preserve">El Director del EMCDDA, Wolfgang </w:t>
      </w:r>
      <w:proofErr w:type="spellStart"/>
      <w:r w:rsidRPr="00FF0C0F">
        <w:rPr>
          <w:b/>
          <w:lang w:val="es-ES"/>
        </w:rPr>
        <w:t>Götz</w:t>
      </w:r>
      <w:proofErr w:type="spellEnd"/>
      <w:r w:rsidRPr="00FF0C0F">
        <w:rPr>
          <w:lang w:val="es-ES"/>
        </w:rPr>
        <w:t xml:space="preserve"> concluye: </w:t>
      </w:r>
      <w:r>
        <w:rPr>
          <w:rFonts w:cs="Arial"/>
          <w:lang w:val="es-ES"/>
        </w:rPr>
        <w:t>«</w:t>
      </w:r>
      <w:r w:rsidRPr="00FF0C0F">
        <w:rPr>
          <w:lang w:val="es-ES"/>
        </w:rPr>
        <w:t xml:space="preserve">Me siento orgulloso del </w:t>
      </w:r>
      <w:r w:rsidR="002E235E">
        <w:rPr>
          <w:lang w:val="es-ES"/>
        </w:rPr>
        <w:t>conocimiento</w:t>
      </w:r>
      <w:r w:rsidRPr="00FF0C0F">
        <w:rPr>
          <w:lang w:val="es-ES"/>
        </w:rPr>
        <w:t xml:space="preserve"> que ofrece este informe tanto sobre los problemas establecidos como sobre las nuevas amenazas. Una información sólida constituye el núcleo central de la respuesta Europ</w:t>
      </w:r>
      <w:r w:rsidR="002E235E">
        <w:rPr>
          <w:lang w:val="es-ES"/>
        </w:rPr>
        <w:t>e</w:t>
      </w:r>
      <w:r w:rsidRPr="00FF0C0F">
        <w:rPr>
          <w:lang w:val="es-ES"/>
        </w:rPr>
        <w:t xml:space="preserve">a a los problemas </w:t>
      </w:r>
      <w:r w:rsidR="002E235E">
        <w:rPr>
          <w:lang w:val="es-ES"/>
        </w:rPr>
        <w:t xml:space="preserve">relacionados con las </w:t>
      </w:r>
      <w:r w:rsidRPr="00FF0C0F">
        <w:rPr>
          <w:lang w:val="es-ES"/>
        </w:rPr>
        <w:t>droga</w:t>
      </w:r>
      <w:r w:rsidR="00FE45E8">
        <w:rPr>
          <w:lang w:val="es-ES"/>
        </w:rPr>
        <w:t>s</w:t>
      </w:r>
      <w:r w:rsidRPr="00FF0C0F">
        <w:rPr>
          <w:lang w:val="es-ES"/>
        </w:rPr>
        <w:t xml:space="preserve"> y gracias a ella serán mucho más eficaces nuestras intervenciones. Hace más de 15 años, las instituciones de la UE y los Estados miembros mostraron su gran visión al invertir en la creación de un Sistema de </w:t>
      </w:r>
      <w:r w:rsidR="002E235E">
        <w:rPr>
          <w:lang w:val="es-ES"/>
        </w:rPr>
        <w:t>A</w:t>
      </w:r>
      <w:r w:rsidRPr="00FF0C0F">
        <w:rPr>
          <w:lang w:val="es-ES"/>
        </w:rPr>
        <w:t xml:space="preserve">lerta </w:t>
      </w:r>
      <w:r w:rsidR="002E235E">
        <w:rPr>
          <w:lang w:val="es-ES"/>
        </w:rPr>
        <w:t>R</w:t>
      </w:r>
      <w:r w:rsidRPr="00FF0C0F">
        <w:rPr>
          <w:lang w:val="es-ES"/>
        </w:rPr>
        <w:t>ápida de la UE aplicable a las nuevas sustancias psico</w:t>
      </w:r>
      <w:r w:rsidR="002E235E">
        <w:rPr>
          <w:lang w:val="es-ES"/>
        </w:rPr>
        <w:t>activas</w:t>
      </w:r>
      <w:r w:rsidRPr="00FF0C0F">
        <w:rPr>
          <w:lang w:val="es-ES"/>
        </w:rPr>
        <w:t xml:space="preserve">, que ahora goza de respeto mundial. Creo que el Sistema – que ha demostrado en repetidas ocasiones su utilidad para compartir información y responder con rapidez a las amenazas – puede reforzarse aún más. Me inquieta profundamente, sin embargo, que el mecanismo se vea sometido a presiones crecientes y </w:t>
      </w:r>
      <w:r w:rsidR="00FE45E8">
        <w:rPr>
          <w:lang w:val="es-ES"/>
        </w:rPr>
        <w:t>éste puede estar en</w:t>
      </w:r>
      <w:r w:rsidRPr="00FF0C0F">
        <w:rPr>
          <w:lang w:val="es-ES"/>
        </w:rPr>
        <w:t xml:space="preserve"> riesgo </w:t>
      </w:r>
      <w:r w:rsidR="00FE45E8">
        <w:rPr>
          <w:lang w:val="es-ES"/>
        </w:rPr>
        <w:t>si no r</w:t>
      </w:r>
      <w:r w:rsidRPr="00FF0C0F">
        <w:rPr>
          <w:lang w:val="es-ES"/>
        </w:rPr>
        <w:t>ecib</w:t>
      </w:r>
      <w:r w:rsidR="00FE45E8">
        <w:rPr>
          <w:lang w:val="es-ES"/>
        </w:rPr>
        <w:t xml:space="preserve">e recursos </w:t>
      </w:r>
      <w:r w:rsidRPr="00FF0C0F">
        <w:rPr>
          <w:lang w:val="es-ES"/>
        </w:rPr>
        <w:t>suficientes</w:t>
      </w:r>
      <w:r>
        <w:rPr>
          <w:rFonts w:cs="Arial"/>
          <w:lang w:val="es-ES"/>
        </w:rPr>
        <w:t>»</w:t>
      </w:r>
      <w:r w:rsidRPr="00FF0C0F">
        <w:rPr>
          <w:lang w:val="es-ES"/>
        </w:rPr>
        <w:t xml:space="preserve">. </w:t>
      </w:r>
    </w:p>
    <w:p w:rsidR="00A27B0B" w:rsidRPr="00FF0C0F" w:rsidRDefault="00A27B0B" w:rsidP="009A0B45">
      <w:pPr>
        <w:spacing w:after="0" w:line="220" w:lineRule="exact"/>
        <w:rPr>
          <w:rFonts w:ascii="Arial" w:hAnsi="Arial" w:cs="Arial"/>
          <w:b/>
          <w:sz w:val="16"/>
          <w:szCs w:val="16"/>
          <w:lang w:val="es-ES"/>
        </w:rPr>
      </w:pPr>
      <w:r w:rsidRPr="00FF0C0F">
        <w:rPr>
          <w:rFonts w:ascii="Arial" w:hAnsi="Arial" w:cs="Arial"/>
          <w:b/>
          <w:sz w:val="16"/>
          <w:szCs w:val="16"/>
          <w:lang w:val="es-ES"/>
        </w:rPr>
        <w:t xml:space="preserve">Notas </w:t>
      </w:r>
    </w:p>
    <w:p w:rsidR="00A27B0B" w:rsidRPr="00FF0C0F" w:rsidRDefault="00A27B0B" w:rsidP="009A0B45">
      <w:pPr>
        <w:spacing w:after="0" w:line="220" w:lineRule="exact"/>
        <w:rPr>
          <w:rFonts w:ascii="Arial" w:hAnsi="Arial" w:cs="Arial"/>
          <w:sz w:val="16"/>
          <w:szCs w:val="16"/>
          <w:lang w:val="es-ES"/>
        </w:rPr>
      </w:pPr>
      <w:r w:rsidRPr="00FF0C0F">
        <w:rPr>
          <w:rFonts w:ascii="Arial" w:hAnsi="Arial" w:cs="Arial"/>
          <w:sz w:val="16"/>
          <w:szCs w:val="16"/>
          <w:lang w:val="es-ES"/>
        </w:rPr>
        <w:t>(</w:t>
      </w:r>
      <w:r w:rsidRPr="00FF0C0F">
        <w:rPr>
          <w:rFonts w:ascii="Arial" w:hAnsi="Arial" w:cs="Arial"/>
          <w:sz w:val="16"/>
          <w:szCs w:val="16"/>
          <w:vertAlign w:val="superscript"/>
          <w:lang w:val="es-ES"/>
        </w:rPr>
        <w:t>1</w:t>
      </w:r>
      <w:r w:rsidRPr="00FF0C0F">
        <w:rPr>
          <w:rFonts w:ascii="Arial" w:hAnsi="Arial" w:cs="Arial"/>
          <w:sz w:val="16"/>
          <w:szCs w:val="16"/>
          <w:lang w:val="es-ES"/>
        </w:rPr>
        <w:t xml:space="preserve">) El </w:t>
      </w:r>
      <w:r w:rsidR="00CA10E1">
        <w:rPr>
          <w:rFonts w:ascii="Arial" w:hAnsi="Arial" w:cs="Arial"/>
          <w:b/>
          <w:i/>
          <w:sz w:val="16"/>
          <w:szCs w:val="16"/>
          <w:lang w:val="es-ES"/>
        </w:rPr>
        <w:t>Informe Europeo sobre D</w:t>
      </w:r>
      <w:r w:rsidRPr="00FF0C0F">
        <w:rPr>
          <w:rFonts w:ascii="Arial" w:hAnsi="Arial" w:cs="Arial"/>
          <w:b/>
          <w:i/>
          <w:sz w:val="16"/>
          <w:szCs w:val="16"/>
          <w:lang w:val="es-ES"/>
        </w:rPr>
        <w:t>rogas 2014:</w:t>
      </w:r>
      <w:r w:rsidRPr="00FF0C0F">
        <w:rPr>
          <w:rFonts w:ascii="Arial" w:hAnsi="Arial" w:cs="Arial"/>
          <w:sz w:val="16"/>
          <w:szCs w:val="16"/>
          <w:lang w:val="es-ES"/>
        </w:rPr>
        <w:t xml:space="preserve"> </w:t>
      </w:r>
      <w:r w:rsidRPr="00FF0C0F">
        <w:rPr>
          <w:rFonts w:ascii="Arial" w:hAnsi="Arial" w:cs="Arial"/>
          <w:b/>
          <w:i/>
          <w:sz w:val="16"/>
          <w:szCs w:val="16"/>
          <w:lang w:val="es-ES"/>
        </w:rPr>
        <w:t>Tendencias y novedades</w:t>
      </w:r>
      <w:r w:rsidRPr="00FF0C0F">
        <w:rPr>
          <w:rFonts w:ascii="Arial" w:hAnsi="Arial" w:cs="Arial"/>
          <w:b/>
          <w:sz w:val="16"/>
          <w:szCs w:val="16"/>
          <w:lang w:val="es-ES"/>
        </w:rPr>
        <w:t xml:space="preserve"> </w:t>
      </w:r>
      <w:r w:rsidRPr="00FF0C0F">
        <w:rPr>
          <w:rFonts w:ascii="Arial" w:hAnsi="Arial" w:cs="Arial"/>
          <w:sz w:val="16"/>
          <w:szCs w:val="16"/>
          <w:lang w:val="es-ES"/>
        </w:rPr>
        <w:t xml:space="preserve">(disponible en 23 lenguas) y las </w:t>
      </w:r>
      <w:r w:rsidRPr="00FF0C0F">
        <w:rPr>
          <w:rFonts w:ascii="Arial" w:hAnsi="Arial" w:cs="Arial"/>
          <w:b/>
          <w:sz w:val="16"/>
          <w:szCs w:val="16"/>
          <w:lang w:val="es-ES"/>
        </w:rPr>
        <w:t>Perspectivas sobre las drogas</w:t>
      </w:r>
      <w:r w:rsidRPr="00FF0C0F">
        <w:rPr>
          <w:rFonts w:ascii="Arial" w:hAnsi="Arial" w:cs="Arial"/>
          <w:sz w:val="16"/>
          <w:szCs w:val="16"/>
          <w:lang w:val="es-ES"/>
        </w:rPr>
        <w:t xml:space="preserve"> (</w:t>
      </w:r>
      <w:proofErr w:type="spellStart"/>
      <w:r w:rsidR="00CA10E1" w:rsidRPr="00CA10E1">
        <w:rPr>
          <w:rFonts w:ascii="Arial" w:hAnsi="Arial" w:cs="Arial"/>
          <w:i/>
          <w:sz w:val="16"/>
          <w:szCs w:val="16"/>
          <w:lang w:val="es-ES"/>
        </w:rPr>
        <w:t>Perspectives</w:t>
      </w:r>
      <w:proofErr w:type="spellEnd"/>
      <w:r w:rsidR="00CA10E1" w:rsidRPr="00CA10E1">
        <w:rPr>
          <w:rFonts w:ascii="Arial" w:hAnsi="Arial" w:cs="Arial"/>
          <w:i/>
          <w:sz w:val="16"/>
          <w:szCs w:val="16"/>
          <w:lang w:val="es-ES"/>
        </w:rPr>
        <w:t xml:space="preserve"> </w:t>
      </w:r>
      <w:proofErr w:type="spellStart"/>
      <w:r w:rsidR="00CA10E1" w:rsidRPr="00CA10E1">
        <w:rPr>
          <w:rFonts w:ascii="Arial" w:hAnsi="Arial" w:cs="Arial"/>
          <w:i/>
          <w:sz w:val="16"/>
          <w:szCs w:val="16"/>
          <w:lang w:val="es-ES"/>
        </w:rPr>
        <w:t>on</w:t>
      </w:r>
      <w:proofErr w:type="spellEnd"/>
      <w:r w:rsidR="00CA10E1" w:rsidRPr="00CA10E1">
        <w:rPr>
          <w:rFonts w:ascii="Arial" w:hAnsi="Arial" w:cs="Arial"/>
          <w:i/>
          <w:sz w:val="16"/>
          <w:szCs w:val="16"/>
          <w:lang w:val="es-ES"/>
        </w:rPr>
        <w:t xml:space="preserve"> </w:t>
      </w:r>
      <w:proofErr w:type="spellStart"/>
      <w:r w:rsidR="00CA10E1" w:rsidRPr="00CA10E1">
        <w:rPr>
          <w:rFonts w:ascii="Arial" w:hAnsi="Arial" w:cs="Arial"/>
          <w:i/>
          <w:sz w:val="16"/>
          <w:szCs w:val="16"/>
          <w:lang w:val="es-ES"/>
        </w:rPr>
        <w:t>drugs</w:t>
      </w:r>
      <w:proofErr w:type="spellEnd"/>
      <w:r w:rsidR="00CA10E1" w:rsidRPr="00CA10E1">
        <w:rPr>
          <w:rFonts w:ascii="Arial" w:hAnsi="Arial" w:cs="Arial"/>
          <w:i/>
          <w:sz w:val="16"/>
          <w:szCs w:val="16"/>
          <w:lang w:val="es-ES"/>
        </w:rPr>
        <w:t>/</w:t>
      </w:r>
      <w:proofErr w:type="spellStart"/>
      <w:r w:rsidR="00CA10E1" w:rsidRPr="00CA10E1">
        <w:rPr>
          <w:rFonts w:ascii="Arial" w:hAnsi="Arial" w:cs="Arial"/>
          <w:i/>
          <w:sz w:val="16"/>
          <w:szCs w:val="16"/>
          <w:lang w:val="es-ES"/>
        </w:rPr>
        <w:t>PODs</w:t>
      </w:r>
      <w:proofErr w:type="spellEnd"/>
      <w:r w:rsidR="00CA10E1">
        <w:rPr>
          <w:rFonts w:ascii="Arial" w:hAnsi="Arial" w:cs="Arial"/>
          <w:sz w:val="16"/>
          <w:szCs w:val="16"/>
          <w:lang w:val="es-ES"/>
        </w:rPr>
        <w:t xml:space="preserve">; </w:t>
      </w:r>
      <w:r w:rsidRPr="00FF0C0F">
        <w:rPr>
          <w:rFonts w:ascii="Arial" w:hAnsi="Arial" w:cs="Arial"/>
          <w:sz w:val="16"/>
          <w:szCs w:val="16"/>
          <w:lang w:val="es-ES"/>
        </w:rPr>
        <w:t xml:space="preserve">en inglés) pueden consultarse en </w:t>
      </w:r>
      <w:hyperlink r:id="rId10" w:history="1">
        <w:r w:rsidRPr="00FF0C0F">
          <w:rPr>
            <w:rStyle w:val="Hyperlink"/>
            <w:rFonts w:cs="Arial"/>
            <w:sz w:val="16"/>
            <w:szCs w:val="16"/>
            <w:lang w:val="es-ES"/>
          </w:rPr>
          <w:t>www.emcdda.europa.eu/edr2014</w:t>
        </w:r>
      </w:hyperlink>
      <w:r w:rsidRPr="00FF0C0F">
        <w:rPr>
          <w:rFonts w:ascii="Arial" w:hAnsi="Arial" w:cs="Arial"/>
          <w:sz w:val="16"/>
          <w:szCs w:val="16"/>
          <w:lang w:val="es-ES"/>
        </w:rPr>
        <w:t xml:space="preserve">. Los datos presentados en el informe corresponden a 2012 o al último año disponible. Los gráficos que se mencionan en este comunicado de prensa son los del informe. Pueden consultarse gráficos y </w:t>
      </w:r>
      <w:r w:rsidR="005215F1">
        <w:rPr>
          <w:rFonts w:ascii="Arial" w:hAnsi="Arial" w:cs="Arial"/>
          <w:sz w:val="16"/>
          <w:szCs w:val="16"/>
          <w:lang w:val="es-ES"/>
        </w:rPr>
        <w:t>tablas</w:t>
      </w:r>
      <w:r w:rsidRPr="00FF0C0F">
        <w:rPr>
          <w:rFonts w:ascii="Arial" w:hAnsi="Arial" w:cs="Arial"/>
          <w:sz w:val="16"/>
          <w:szCs w:val="16"/>
          <w:lang w:val="es-ES"/>
        </w:rPr>
        <w:t xml:space="preserve"> adicionales en</w:t>
      </w:r>
      <w:r w:rsidR="00CA10E1">
        <w:rPr>
          <w:rFonts w:ascii="Arial" w:hAnsi="Arial" w:cs="Arial"/>
          <w:sz w:val="16"/>
          <w:szCs w:val="16"/>
          <w:lang w:val="es-ES"/>
        </w:rPr>
        <w:t xml:space="preserve"> el </w:t>
      </w:r>
      <w:r w:rsidR="00CA10E1" w:rsidRPr="00CA10E1">
        <w:rPr>
          <w:rFonts w:ascii="Arial" w:hAnsi="Arial" w:cs="Arial"/>
          <w:b/>
          <w:sz w:val="16"/>
          <w:szCs w:val="16"/>
          <w:lang w:val="es-ES"/>
        </w:rPr>
        <w:t>Informe Europeo s</w:t>
      </w:r>
      <w:r w:rsidR="00FE45E8">
        <w:rPr>
          <w:rFonts w:ascii="Arial" w:hAnsi="Arial" w:cs="Arial"/>
          <w:b/>
          <w:sz w:val="16"/>
          <w:szCs w:val="16"/>
          <w:lang w:val="es-ES"/>
        </w:rPr>
        <w:t>obre Drogas 2014: datos y estadí</w:t>
      </w:r>
      <w:r w:rsidR="00CA10E1" w:rsidRPr="00CA10E1">
        <w:rPr>
          <w:rFonts w:ascii="Arial" w:hAnsi="Arial" w:cs="Arial"/>
          <w:b/>
          <w:sz w:val="16"/>
          <w:szCs w:val="16"/>
          <w:lang w:val="es-ES"/>
        </w:rPr>
        <w:t>sticas</w:t>
      </w:r>
      <w:r w:rsidRPr="00FF0C0F">
        <w:rPr>
          <w:rFonts w:ascii="Arial" w:hAnsi="Arial" w:cs="Arial"/>
          <w:sz w:val="16"/>
          <w:szCs w:val="16"/>
          <w:lang w:val="es-ES"/>
        </w:rPr>
        <w:t xml:space="preserve"> </w:t>
      </w:r>
      <w:r w:rsidR="00CA10E1" w:rsidRPr="00CA10E1">
        <w:rPr>
          <w:rFonts w:ascii="Arial" w:hAnsi="Arial" w:cs="Arial"/>
          <w:i/>
          <w:sz w:val="16"/>
          <w:szCs w:val="16"/>
          <w:lang w:val="es-ES"/>
        </w:rPr>
        <w:t>(</w:t>
      </w:r>
      <w:proofErr w:type="spellStart"/>
      <w:r w:rsidRPr="00CA10E1">
        <w:rPr>
          <w:rFonts w:ascii="Arial" w:hAnsi="Arial" w:cs="Arial"/>
          <w:i/>
          <w:sz w:val="16"/>
          <w:szCs w:val="16"/>
          <w:lang w:val="es-ES"/>
        </w:rPr>
        <w:t>European</w:t>
      </w:r>
      <w:proofErr w:type="spellEnd"/>
      <w:r w:rsidRPr="00CA10E1">
        <w:rPr>
          <w:rFonts w:ascii="Arial" w:hAnsi="Arial" w:cs="Arial"/>
          <w:i/>
          <w:sz w:val="16"/>
          <w:szCs w:val="16"/>
          <w:lang w:val="es-ES"/>
        </w:rPr>
        <w:t xml:space="preserve"> </w:t>
      </w:r>
      <w:proofErr w:type="spellStart"/>
      <w:r w:rsidRPr="00CA10E1">
        <w:rPr>
          <w:rFonts w:ascii="Arial" w:hAnsi="Arial" w:cs="Arial"/>
          <w:i/>
          <w:sz w:val="16"/>
          <w:szCs w:val="16"/>
          <w:lang w:val="es-ES"/>
        </w:rPr>
        <w:t>Drug</w:t>
      </w:r>
      <w:proofErr w:type="spellEnd"/>
      <w:r w:rsidRPr="00CA10E1">
        <w:rPr>
          <w:rFonts w:ascii="Arial" w:hAnsi="Arial" w:cs="Arial"/>
          <w:i/>
          <w:sz w:val="16"/>
          <w:szCs w:val="16"/>
          <w:lang w:val="es-ES"/>
        </w:rPr>
        <w:t xml:space="preserve"> </w:t>
      </w:r>
      <w:proofErr w:type="spellStart"/>
      <w:r w:rsidRPr="00CA10E1">
        <w:rPr>
          <w:rFonts w:ascii="Arial" w:hAnsi="Arial" w:cs="Arial"/>
          <w:i/>
          <w:sz w:val="16"/>
          <w:szCs w:val="16"/>
          <w:lang w:val="es-ES"/>
        </w:rPr>
        <w:t>Report</w:t>
      </w:r>
      <w:proofErr w:type="spellEnd"/>
      <w:r w:rsidRPr="00CA10E1">
        <w:rPr>
          <w:rFonts w:ascii="Arial" w:hAnsi="Arial" w:cs="Arial"/>
          <w:i/>
          <w:sz w:val="16"/>
          <w:szCs w:val="16"/>
          <w:lang w:val="es-ES"/>
        </w:rPr>
        <w:t xml:space="preserve">: Data and </w:t>
      </w:r>
      <w:proofErr w:type="spellStart"/>
      <w:r w:rsidRPr="00CA10E1">
        <w:rPr>
          <w:rFonts w:ascii="Arial" w:hAnsi="Arial" w:cs="Arial"/>
          <w:i/>
          <w:sz w:val="16"/>
          <w:szCs w:val="16"/>
          <w:lang w:val="es-ES"/>
        </w:rPr>
        <w:t>statistics</w:t>
      </w:r>
      <w:proofErr w:type="spellEnd"/>
      <w:r w:rsidR="00CA10E1" w:rsidRPr="00CA10E1">
        <w:rPr>
          <w:rFonts w:ascii="Arial" w:hAnsi="Arial" w:cs="Arial"/>
          <w:i/>
          <w:sz w:val="16"/>
          <w:szCs w:val="16"/>
          <w:lang w:val="es-ES"/>
        </w:rPr>
        <w:t>)</w:t>
      </w:r>
      <w:r w:rsidR="00CA10E1">
        <w:rPr>
          <w:rFonts w:ascii="Arial" w:hAnsi="Arial" w:cs="Arial"/>
          <w:sz w:val="16"/>
          <w:szCs w:val="16"/>
          <w:lang w:val="es-ES"/>
        </w:rPr>
        <w:t xml:space="preserve"> </w:t>
      </w:r>
      <w:hyperlink r:id="rId11" w:history="1">
        <w:r w:rsidRPr="00FF0C0F">
          <w:rPr>
            <w:rStyle w:val="Hyperlink"/>
            <w:rFonts w:cs="Arial"/>
            <w:sz w:val="16"/>
            <w:szCs w:val="16"/>
            <w:lang w:val="es-ES"/>
          </w:rPr>
          <w:t>www.emcdda.europa.eu/data</w:t>
        </w:r>
      </w:hyperlink>
      <w:bookmarkStart w:id="0" w:name="_GoBack"/>
      <w:bookmarkEnd w:id="0"/>
    </w:p>
    <w:p w:rsidR="00A27B0B" w:rsidRPr="00FF0C0F" w:rsidRDefault="00A27B0B" w:rsidP="009A0B45">
      <w:pPr>
        <w:spacing w:after="0" w:line="220" w:lineRule="exact"/>
        <w:rPr>
          <w:rFonts w:ascii="Arial" w:hAnsi="Arial" w:cs="Arial"/>
          <w:sz w:val="16"/>
          <w:szCs w:val="16"/>
          <w:lang w:val="es-ES"/>
        </w:rPr>
      </w:pPr>
      <w:r w:rsidRPr="00FF0C0F">
        <w:rPr>
          <w:rFonts w:ascii="Arial" w:hAnsi="Arial" w:cs="Arial"/>
          <w:sz w:val="16"/>
          <w:szCs w:val="16"/>
          <w:lang w:val="es-ES"/>
        </w:rPr>
        <w:t>(</w:t>
      </w:r>
      <w:r w:rsidRPr="00FF0C0F">
        <w:rPr>
          <w:rFonts w:ascii="Arial" w:hAnsi="Arial" w:cs="Arial"/>
          <w:sz w:val="16"/>
          <w:szCs w:val="16"/>
          <w:vertAlign w:val="superscript"/>
          <w:lang w:val="es-ES"/>
        </w:rPr>
        <w:t>2</w:t>
      </w:r>
      <w:r w:rsidRPr="00FF0C0F">
        <w:rPr>
          <w:rFonts w:ascii="Arial" w:hAnsi="Arial" w:cs="Arial"/>
          <w:sz w:val="16"/>
          <w:szCs w:val="16"/>
          <w:lang w:val="es-ES"/>
        </w:rPr>
        <w:t>) Debido a las diferencias en las prácticas y la metodología de notificación, debe procederse con cautela al comparar los países.</w:t>
      </w:r>
    </w:p>
    <w:p w:rsidR="00A27B0B" w:rsidRPr="00FF0C0F" w:rsidRDefault="00A27B0B" w:rsidP="009A0B45">
      <w:pPr>
        <w:spacing w:after="0" w:line="220" w:lineRule="exact"/>
        <w:rPr>
          <w:rFonts w:ascii="Arial" w:hAnsi="Arial" w:cs="Arial"/>
          <w:sz w:val="16"/>
          <w:szCs w:val="16"/>
          <w:lang w:val="es-ES"/>
        </w:rPr>
      </w:pPr>
      <w:r w:rsidRPr="00FF0C0F">
        <w:rPr>
          <w:rFonts w:ascii="Arial" w:hAnsi="Arial" w:cs="Arial"/>
          <w:sz w:val="16"/>
          <w:szCs w:val="16"/>
          <w:lang w:val="es-ES"/>
        </w:rPr>
        <w:t>(</w:t>
      </w:r>
      <w:r w:rsidRPr="00FF0C0F">
        <w:rPr>
          <w:rFonts w:ascii="Arial" w:hAnsi="Arial" w:cs="Arial"/>
          <w:sz w:val="16"/>
          <w:szCs w:val="16"/>
          <w:vertAlign w:val="superscript"/>
          <w:lang w:val="es-ES"/>
        </w:rPr>
        <w:t>3</w:t>
      </w:r>
      <w:r w:rsidRPr="00FF0C0F">
        <w:rPr>
          <w:rFonts w:ascii="Arial" w:hAnsi="Arial" w:cs="Arial"/>
          <w:sz w:val="16"/>
          <w:szCs w:val="16"/>
          <w:lang w:val="es-ES"/>
        </w:rPr>
        <w:t xml:space="preserve">) </w:t>
      </w:r>
      <w:hyperlink r:id="rId12" w:history="1">
        <w:r w:rsidRPr="00FF0C0F">
          <w:rPr>
            <w:rStyle w:val="Hyperlink"/>
            <w:rFonts w:cs="Arial"/>
            <w:sz w:val="16"/>
            <w:szCs w:val="16"/>
            <w:lang w:val="es-ES"/>
          </w:rPr>
          <w:t>www.eurosurveillance.org/ViewArticle.aspx?ArticleId=20648</w:t>
        </w:r>
      </w:hyperlink>
    </w:p>
    <w:p w:rsidR="00A27B0B" w:rsidRPr="00FF0C0F" w:rsidRDefault="00A27B0B" w:rsidP="009A0B45">
      <w:pPr>
        <w:spacing w:after="0" w:line="220" w:lineRule="exact"/>
        <w:rPr>
          <w:rFonts w:ascii="Arial" w:hAnsi="Arial" w:cs="Arial"/>
          <w:sz w:val="16"/>
          <w:szCs w:val="16"/>
          <w:lang w:val="es-ES"/>
        </w:rPr>
      </w:pPr>
      <w:r w:rsidRPr="00FF0C0F">
        <w:rPr>
          <w:rFonts w:ascii="Arial" w:hAnsi="Arial" w:cs="Arial"/>
          <w:sz w:val="16"/>
          <w:szCs w:val="16"/>
          <w:lang w:val="es-ES"/>
        </w:rPr>
        <w:t>(</w:t>
      </w:r>
      <w:r w:rsidRPr="00FF0C0F">
        <w:rPr>
          <w:rFonts w:ascii="Arial" w:hAnsi="Arial" w:cs="Arial"/>
          <w:sz w:val="16"/>
          <w:szCs w:val="16"/>
          <w:vertAlign w:val="superscript"/>
          <w:lang w:val="es-ES"/>
        </w:rPr>
        <w:t>4</w:t>
      </w:r>
      <w:r w:rsidRPr="00FF0C0F">
        <w:rPr>
          <w:rFonts w:ascii="Arial" w:hAnsi="Arial" w:cs="Arial"/>
          <w:sz w:val="16"/>
          <w:szCs w:val="16"/>
          <w:lang w:val="es-ES"/>
        </w:rPr>
        <w:t xml:space="preserve">) </w:t>
      </w:r>
      <w:hyperlink r:id="rId13" w:history="1">
        <w:r w:rsidRPr="00FF0C0F">
          <w:rPr>
            <w:rStyle w:val="Hyperlink"/>
            <w:rFonts w:cs="Arial"/>
            <w:sz w:val="16"/>
            <w:szCs w:val="16"/>
            <w:lang w:val="es-ES"/>
          </w:rPr>
          <w:t>www.emcdda.europa.eu/publications/emcdda-papers/exploring-methamphetamine-trends-in-Europe</w:t>
        </w:r>
      </w:hyperlink>
    </w:p>
    <w:p w:rsidR="00A27B0B" w:rsidRPr="00FF0C0F" w:rsidRDefault="00A27B0B" w:rsidP="009A0B45">
      <w:pPr>
        <w:spacing w:after="0" w:line="220" w:lineRule="exact"/>
        <w:rPr>
          <w:rFonts w:ascii="Arial" w:hAnsi="Arial" w:cs="Arial"/>
          <w:sz w:val="16"/>
          <w:szCs w:val="16"/>
          <w:lang w:val="es-ES"/>
        </w:rPr>
      </w:pPr>
      <w:r w:rsidRPr="00FF0C0F">
        <w:rPr>
          <w:rFonts w:ascii="Arial" w:hAnsi="Arial" w:cs="Arial"/>
          <w:sz w:val="16"/>
          <w:szCs w:val="16"/>
          <w:lang w:val="es-ES"/>
        </w:rPr>
        <w:t>(</w:t>
      </w:r>
      <w:r w:rsidRPr="00FF0C0F">
        <w:rPr>
          <w:rFonts w:ascii="Arial" w:hAnsi="Arial" w:cs="Arial"/>
          <w:sz w:val="16"/>
          <w:szCs w:val="16"/>
          <w:vertAlign w:val="superscript"/>
          <w:lang w:val="es-ES"/>
        </w:rPr>
        <w:t>5</w:t>
      </w:r>
      <w:r w:rsidRPr="00FF0C0F">
        <w:rPr>
          <w:rFonts w:ascii="Arial" w:hAnsi="Arial" w:cs="Arial"/>
          <w:sz w:val="16"/>
          <w:szCs w:val="16"/>
          <w:lang w:val="es-ES"/>
        </w:rPr>
        <w:t xml:space="preserve">) </w:t>
      </w:r>
      <w:hyperlink r:id="rId14" w:history="1">
        <w:r w:rsidRPr="00FF0C0F">
          <w:rPr>
            <w:rStyle w:val="Hyperlink"/>
            <w:rFonts w:cs="Arial"/>
            <w:sz w:val="16"/>
            <w:szCs w:val="16"/>
            <w:lang w:val="es-ES"/>
          </w:rPr>
          <w:t>www.emcdda.europa.eu/news/2014/europol-emcdda1</w:t>
        </w:r>
      </w:hyperlink>
    </w:p>
    <w:p w:rsidR="00A27B0B" w:rsidRPr="00FF0C0F" w:rsidRDefault="00A27B0B" w:rsidP="009A0B45">
      <w:pPr>
        <w:spacing w:after="0" w:line="220" w:lineRule="exact"/>
        <w:rPr>
          <w:rFonts w:ascii="Arial" w:hAnsi="Arial" w:cs="Arial"/>
          <w:sz w:val="16"/>
          <w:szCs w:val="16"/>
          <w:lang w:val="es-ES"/>
        </w:rPr>
      </w:pPr>
      <w:r w:rsidRPr="00FF0C0F">
        <w:rPr>
          <w:rFonts w:ascii="Arial" w:hAnsi="Arial" w:cs="Arial"/>
          <w:sz w:val="16"/>
          <w:szCs w:val="16"/>
          <w:lang w:val="es-ES"/>
        </w:rPr>
        <w:t>(</w:t>
      </w:r>
      <w:r w:rsidRPr="00FF0C0F">
        <w:rPr>
          <w:rFonts w:ascii="Arial" w:hAnsi="Arial" w:cs="Arial"/>
          <w:sz w:val="16"/>
          <w:szCs w:val="16"/>
          <w:vertAlign w:val="superscript"/>
          <w:lang w:val="es-ES"/>
        </w:rPr>
        <w:t>6</w:t>
      </w:r>
      <w:r w:rsidRPr="00FF0C0F">
        <w:rPr>
          <w:rFonts w:ascii="Arial" w:hAnsi="Arial" w:cs="Arial"/>
          <w:sz w:val="16"/>
          <w:szCs w:val="16"/>
          <w:lang w:val="es-ES"/>
        </w:rPr>
        <w:t xml:space="preserve">) </w:t>
      </w:r>
      <w:hyperlink r:id="rId15" w:history="1">
        <w:r w:rsidRPr="00FF0C0F">
          <w:rPr>
            <w:rStyle w:val="Hyperlink"/>
            <w:rFonts w:cs="Arial"/>
            <w:sz w:val="16"/>
            <w:szCs w:val="16"/>
            <w:lang w:val="es-ES"/>
          </w:rPr>
          <w:t>www.emcdda.europa.eu/publications/implementation-reports/2013</w:t>
        </w:r>
      </w:hyperlink>
    </w:p>
    <w:p w:rsidR="00A27B0B" w:rsidRPr="00FF0C0F" w:rsidRDefault="00A27B0B" w:rsidP="009A0B45">
      <w:pPr>
        <w:spacing w:after="0" w:line="220" w:lineRule="exact"/>
        <w:rPr>
          <w:rFonts w:ascii="Arial" w:hAnsi="Arial" w:cs="Arial"/>
          <w:sz w:val="16"/>
          <w:szCs w:val="16"/>
          <w:lang w:val="es-ES"/>
        </w:rPr>
      </w:pPr>
      <w:r w:rsidRPr="00FF0C0F">
        <w:rPr>
          <w:rFonts w:ascii="Arial" w:hAnsi="Arial" w:cs="Arial"/>
          <w:sz w:val="16"/>
          <w:szCs w:val="16"/>
          <w:lang w:val="es-ES"/>
        </w:rPr>
        <w:t>(</w:t>
      </w:r>
      <w:r w:rsidRPr="00FF0C0F">
        <w:rPr>
          <w:rFonts w:ascii="Arial" w:hAnsi="Arial" w:cs="Arial"/>
          <w:sz w:val="16"/>
          <w:szCs w:val="16"/>
          <w:vertAlign w:val="superscript"/>
          <w:lang w:val="es-ES"/>
        </w:rPr>
        <w:t>7</w:t>
      </w:r>
      <w:r w:rsidRPr="00FF0C0F">
        <w:rPr>
          <w:rFonts w:ascii="Arial" w:hAnsi="Arial" w:cs="Arial"/>
          <w:sz w:val="16"/>
          <w:szCs w:val="16"/>
          <w:lang w:val="es-ES"/>
        </w:rPr>
        <w:t xml:space="preserve">) </w:t>
      </w:r>
      <w:hyperlink r:id="rId16" w:history="1">
        <w:r w:rsidRPr="00FF0C0F">
          <w:rPr>
            <w:rStyle w:val="Hyperlink"/>
            <w:rFonts w:cs="Arial"/>
            <w:sz w:val="16"/>
            <w:szCs w:val="16"/>
            <w:lang w:val="es-ES"/>
          </w:rPr>
          <w:t>http://ec.europa.eu/public_opinion/flash/fl_330_en.pdf</w:t>
        </w:r>
      </w:hyperlink>
    </w:p>
    <w:p w:rsidR="00A27B0B" w:rsidRPr="00FF0C0F" w:rsidRDefault="00A27B0B" w:rsidP="00422CB4">
      <w:pPr>
        <w:pStyle w:val="newsNotes"/>
        <w:rPr>
          <w:lang w:val="es-ES"/>
        </w:rPr>
      </w:pPr>
    </w:p>
    <w:sectPr w:rsidR="00A27B0B" w:rsidRPr="00FF0C0F" w:rsidSect="008A6F08">
      <w:headerReference w:type="default" r:id="rId17"/>
      <w:footerReference w:type="default" r:id="rId18"/>
      <w:footerReference w:type="first" r:id="rId19"/>
      <w:type w:val="continuous"/>
      <w:pgSz w:w="11906" w:h="16838" w:code="9"/>
      <w:pgMar w:top="1276" w:right="1276" w:bottom="113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A3" w:rsidRDefault="00E522A3" w:rsidP="009A28FB">
      <w:pPr>
        <w:spacing w:after="0" w:line="240" w:lineRule="auto"/>
      </w:pPr>
      <w:r>
        <w:separator/>
      </w:r>
    </w:p>
  </w:endnote>
  <w:endnote w:type="continuationSeparator" w:id="0">
    <w:p w:rsidR="00E522A3" w:rsidRDefault="00E522A3"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38" w:type="dxa"/>
      <w:tblInd w:w="-510" w:type="dxa"/>
      <w:tblCellMar>
        <w:left w:w="57" w:type="dxa"/>
        <w:right w:w="57" w:type="dxa"/>
      </w:tblCellMar>
      <w:tblLook w:val="00A0" w:firstRow="1" w:lastRow="0" w:firstColumn="1" w:lastColumn="0" w:noHBand="0" w:noVBand="0"/>
    </w:tblPr>
    <w:tblGrid>
      <w:gridCol w:w="2261"/>
      <w:gridCol w:w="2477"/>
    </w:tblGrid>
    <w:tr w:rsidR="002E235E" w:rsidRPr="00066532" w:rsidTr="00066532">
      <w:tc>
        <w:tcPr>
          <w:tcW w:w="1444" w:type="dxa"/>
        </w:tcPr>
        <w:p w:rsidR="002E235E" w:rsidRPr="00066532" w:rsidRDefault="002E235E" w:rsidP="00D37865">
          <w:pPr>
            <w:pStyle w:val="newsCoordinates"/>
          </w:pPr>
          <w:r>
            <w:rPr>
              <w:noProof/>
              <w:lang w:eastAsia="en-GB"/>
            </w:rPr>
            <mc:AlternateContent>
              <mc:Choice Requires="wps">
                <w:drawing>
                  <wp:anchor distT="0" distB="0" distL="114299" distR="114299" simplePos="0" relativeHeight="251657728" behindDoc="1" locked="0" layoutInCell="1" allowOverlap="1">
                    <wp:simplePos x="0" y="0"/>
                    <wp:positionH relativeFrom="page">
                      <wp:posOffset>35559</wp:posOffset>
                    </wp:positionH>
                    <wp:positionV relativeFrom="page">
                      <wp:posOffset>15240</wp:posOffset>
                    </wp:positionV>
                    <wp:extent cx="0" cy="107950"/>
                    <wp:effectExtent l="0" t="0" r="1905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95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" strokecolor="#009" strokeweight="1.5pt">
                    <o:lock v:ext="edit" shapetype="f"/>
                    <w10:wrap anchorx="page" anchory="page"/>
                  </v:line>
                </w:pict>
              </mc:Fallback>
            </mc:AlternateContent>
          </w:r>
          <w:r w:rsidRPr="00066532">
            <w:rPr>
              <w:noProof/>
            </w:rPr>
            <w:t>www.emcdda.europa.eu/edr2014</w:t>
          </w:r>
        </w:p>
      </w:tc>
      <w:tc>
        <w:tcPr>
          <w:tcW w:w="3294" w:type="dxa"/>
          <w:vAlign w:val="bottom"/>
        </w:tcPr>
        <w:p w:rsidR="002E235E" w:rsidRPr="00066532" w:rsidRDefault="002E235E" w:rsidP="00066532">
          <w:pPr>
            <w:pStyle w:val="newsReference"/>
            <w:jc w:val="right"/>
          </w:pPr>
        </w:p>
      </w:tc>
    </w:tr>
  </w:tbl>
  <w:p w:rsidR="002E235E" w:rsidRDefault="002E2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2E235E" w:rsidRPr="00066532" w:rsidTr="00066532">
      <w:tc>
        <w:tcPr>
          <w:tcW w:w="7196" w:type="dxa"/>
        </w:tcPr>
        <w:p w:rsidR="002E235E" w:rsidRPr="00066532" w:rsidRDefault="002E235E" w:rsidP="0044259A">
          <w:pPr>
            <w:pStyle w:val="newsCoordinates"/>
            <w:rPr>
              <w:lang w:val="es-ES"/>
            </w:rPr>
          </w:pPr>
          <w:r>
            <w:rPr>
              <w:noProof/>
              <w:lang w:eastAsia="en-GB"/>
            </w:rPr>
            <mc:AlternateContent>
              <mc:Choice Requires="wps">
                <w:drawing>
                  <wp:anchor distT="0" distB="0" distL="114299" distR="114299" simplePos="0" relativeHeight="251658752" behindDoc="1" locked="0" layoutInCell="1" allowOverlap="1">
                    <wp:simplePos x="0" y="0"/>
                    <wp:positionH relativeFrom="page">
                      <wp:posOffset>32384</wp:posOffset>
                    </wp:positionH>
                    <wp:positionV relativeFrom="page">
                      <wp:posOffset>-14605</wp:posOffset>
                    </wp:positionV>
                    <wp:extent cx="0" cy="431800"/>
                    <wp:effectExtent l="0" t="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" strokecolor="#009" strokeweight="1.5pt">
                    <o:lock v:ext="edit" shapetype="f"/>
                    <w10:wrap anchorx="page" anchory="page"/>
                  </v:line>
                </w:pict>
              </mc:Fallback>
            </mc:AlternateContent>
          </w:r>
          <w:r w:rsidRPr="00066532">
            <w:rPr>
              <w:lang w:val="es-ES"/>
            </w:rPr>
            <w:t xml:space="preserve">Contacto: Kathy Robertson, Relaciones con los medios </w:t>
          </w:r>
        </w:p>
        <w:p w:rsidR="002E235E" w:rsidRPr="00066532" w:rsidRDefault="002E235E" w:rsidP="0044259A">
          <w:pPr>
            <w:pStyle w:val="newsCoordinates"/>
            <w:rPr>
              <w:lang w:val="pt-BR"/>
            </w:rPr>
          </w:pPr>
          <w:r w:rsidRPr="00066532">
            <w:rPr>
              <w:lang w:val="pt-BR"/>
            </w:rPr>
            <w:t xml:space="preserve">Praça Europa </w:t>
          </w:r>
          <w:proofErr w:type="gramStart"/>
          <w:r w:rsidRPr="00066532">
            <w:rPr>
              <w:lang w:val="pt-BR"/>
            </w:rPr>
            <w:t>1</w:t>
          </w:r>
          <w:proofErr w:type="gramEnd"/>
          <w:r w:rsidRPr="00066532">
            <w:rPr>
              <w:lang w:val="pt-BR"/>
            </w:rPr>
            <w:t xml:space="preserve">, Cais do Sodré, 1249-289 Lisboa, Portugal </w:t>
          </w:r>
        </w:p>
        <w:p w:rsidR="002E235E" w:rsidRPr="00066532" w:rsidRDefault="002E235E" w:rsidP="0044259A">
          <w:pPr>
            <w:pStyle w:val="newsCoordinates"/>
            <w:rPr>
              <w:lang w:val="es-ES"/>
            </w:rPr>
          </w:pPr>
          <w:r w:rsidRPr="00066532">
            <w:rPr>
              <w:lang w:val="es-ES"/>
            </w:rPr>
            <w:t xml:space="preserve">Tel. (351) 211 21 02 00 </w:t>
          </w:r>
          <w:r w:rsidRPr="00066532">
            <w:rPr>
              <w:sz w:val="18"/>
              <w:lang w:val="es-ES"/>
            </w:rPr>
            <w:t xml:space="preserve">I </w:t>
          </w:r>
          <w:r w:rsidRPr="00066532">
            <w:rPr>
              <w:lang w:val="es-ES"/>
            </w:rPr>
            <w:t xml:space="preserve">press@emcdda.europa.eu </w:t>
          </w:r>
          <w:r w:rsidRPr="00066532">
            <w:rPr>
              <w:sz w:val="18"/>
              <w:lang w:val="es-ES"/>
            </w:rPr>
            <w:t>I</w:t>
          </w:r>
          <w:r w:rsidRPr="00066532">
            <w:rPr>
              <w:lang w:val="es-ES"/>
            </w:rPr>
            <w:t xml:space="preserve"> emcdda.europa.eu</w:t>
          </w:r>
        </w:p>
      </w:tc>
      <w:tc>
        <w:tcPr>
          <w:tcW w:w="3294" w:type="dxa"/>
          <w:vAlign w:val="bottom"/>
        </w:tcPr>
        <w:p w:rsidR="002E235E" w:rsidRPr="00066532" w:rsidRDefault="00FE45E8" w:rsidP="00FE45E8">
          <w:pPr>
            <w:pStyle w:val="newsReference"/>
            <w:jc w:val="right"/>
            <w:rPr>
              <w:lang w:val="es-ES"/>
            </w:rPr>
          </w:pPr>
          <w:r>
            <w:rPr>
              <w:lang w:val="es-ES"/>
            </w:rPr>
            <w:t xml:space="preserve">ES — </w:t>
          </w:r>
          <w:r w:rsidR="002E235E" w:rsidRPr="00066532">
            <w:rPr>
              <w:lang w:val="es-ES"/>
            </w:rPr>
            <w:t>nº 3/2014</w:t>
          </w:r>
        </w:p>
      </w:tc>
    </w:tr>
  </w:tbl>
  <w:p w:rsidR="002E235E" w:rsidRDefault="002E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A3" w:rsidRDefault="00E522A3" w:rsidP="009A28FB">
      <w:pPr>
        <w:spacing w:after="0" w:line="240" w:lineRule="auto"/>
      </w:pPr>
      <w:r>
        <w:separator/>
      </w:r>
    </w:p>
  </w:footnote>
  <w:footnote w:type="continuationSeparator" w:id="0">
    <w:p w:rsidR="00E522A3" w:rsidRDefault="00E522A3"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2E235E" w:rsidRPr="00066532" w:rsidTr="00066532">
      <w:tc>
        <w:tcPr>
          <w:tcW w:w="7196" w:type="dxa"/>
        </w:tcPr>
        <w:p w:rsidR="002E235E" w:rsidRPr="00066532" w:rsidRDefault="002E235E" w:rsidP="00CC4FDA">
          <w:pPr>
            <w:pStyle w:val="newsEmbargo"/>
          </w:pPr>
          <w:r>
            <w:rPr>
              <w:noProof/>
              <w:lang w:eastAsia="en-GB"/>
            </w:rPr>
            <mc:AlternateContent>
              <mc:Choice Requires="wps">
                <w:drawing>
                  <wp:anchor distT="0" distB="0" distL="114299" distR="114299" simplePos="0" relativeHeight="251656704" behindDoc="1" locked="0" layoutInCell="1" allowOverlap="1">
                    <wp:simplePos x="0" y="0"/>
                    <wp:positionH relativeFrom="page">
                      <wp:posOffset>35559</wp:posOffset>
                    </wp:positionH>
                    <wp:positionV relativeFrom="page">
                      <wp:posOffset>-1270</wp:posOffset>
                    </wp:positionV>
                    <wp:extent cx="0" cy="124460"/>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" strokecolor="#009" strokeweight="1.5pt">
                    <o:lock v:ext="edit" shapetype="f"/>
                    <w10:wrap anchorx="page" anchory="page"/>
                  </v:line>
                </w:pict>
              </mc:Fallback>
            </mc:AlternateContent>
          </w:r>
          <w:r w:rsidR="00F70D85">
            <w:rPr>
              <w:noProof/>
            </w:rPr>
            <w:t>Informe Europeo sobre D</w:t>
          </w:r>
          <w:r w:rsidRPr="00066532">
            <w:rPr>
              <w:noProof/>
            </w:rPr>
            <w:t xml:space="preserve">rogas 2014 </w:t>
          </w:r>
          <w:r w:rsidRPr="00066532">
            <w:rPr>
              <w:noProof/>
              <w:sz w:val="18"/>
            </w:rPr>
            <w:t>I</w:t>
          </w:r>
          <w:r w:rsidRPr="00066532">
            <w:rPr>
              <w:noProof/>
            </w:rPr>
            <w:t xml:space="preserve"> </w:t>
          </w:r>
          <w:r w:rsidRPr="002E5103">
            <w:rPr>
              <w:b/>
              <w:noProof/>
              <w:color w:val="FF0000"/>
            </w:rPr>
            <w:t>EMBARGO 10:00 WET/hora de Lisboa</w:t>
          </w:r>
        </w:p>
      </w:tc>
      <w:tc>
        <w:tcPr>
          <w:tcW w:w="3294" w:type="dxa"/>
          <w:vAlign w:val="bottom"/>
        </w:tcPr>
        <w:p w:rsidR="002E235E" w:rsidRPr="00066532" w:rsidRDefault="002E235E" w:rsidP="00066532">
          <w:pPr>
            <w:pStyle w:val="newsReference"/>
            <w:jc w:val="right"/>
          </w:pPr>
          <w:r w:rsidRPr="00066532">
            <w:t>27.5.2014</w:t>
          </w:r>
        </w:p>
      </w:tc>
    </w:tr>
  </w:tbl>
  <w:p w:rsidR="002E235E" w:rsidRDefault="002E2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A5"/>
    <w:rsid w:val="00014E8E"/>
    <w:rsid w:val="00036DAA"/>
    <w:rsid w:val="00045CA5"/>
    <w:rsid w:val="000535B7"/>
    <w:rsid w:val="00066532"/>
    <w:rsid w:val="00067DD3"/>
    <w:rsid w:val="00090ED1"/>
    <w:rsid w:val="000A3286"/>
    <w:rsid w:val="000B30FA"/>
    <w:rsid w:val="000C2423"/>
    <w:rsid w:val="000C6200"/>
    <w:rsid w:val="000D24BD"/>
    <w:rsid w:val="000E4E81"/>
    <w:rsid w:val="000E5B1C"/>
    <w:rsid w:val="00100BDB"/>
    <w:rsid w:val="00105BFC"/>
    <w:rsid w:val="00107C96"/>
    <w:rsid w:val="00121093"/>
    <w:rsid w:val="001342DF"/>
    <w:rsid w:val="00135768"/>
    <w:rsid w:val="0017713E"/>
    <w:rsid w:val="001800D0"/>
    <w:rsid w:val="00180402"/>
    <w:rsid w:val="001A3338"/>
    <w:rsid w:val="001A46CB"/>
    <w:rsid w:val="001B17AA"/>
    <w:rsid w:val="001B67DD"/>
    <w:rsid w:val="001C795A"/>
    <w:rsid w:val="001D5647"/>
    <w:rsid w:val="001D5C26"/>
    <w:rsid w:val="001D7D99"/>
    <w:rsid w:val="001E2AE8"/>
    <w:rsid w:val="001F6362"/>
    <w:rsid w:val="001F70B4"/>
    <w:rsid w:val="00213440"/>
    <w:rsid w:val="00213F3B"/>
    <w:rsid w:val="00214415"/>
    <w:rsid w:val="00223753"/>
    <w:rsid w:val="00224B71"/>
    <w:rsid w:val="00244A23"/>
    <w:rsid w:val="00251310"/>
    <w:rsid w:val="002557B0"/>
    <w:rsid w:val="002646E4"/>
    <w:rsid w:val="002720CC"/>
    <w:rsid w:val="0027252D"/>
    <w:rsid w:val="0028141E"/>
    <w:rsid w:val="00291AFA"/>
    <w:rsid w:val="002948E2"/>
    <w:rsid w:val="002A61F7"/>
    <w:rsid w:val="002A70AB"/>
    <w:rsid w:val="002B05CE"/>
    <w:rsid w:val="002B45AC"/>
    <w:rsid w:val="002D6864"/>
    <w:rsid w:val="002E235E"/>
    <w:rsid w:val="002E5103"/>
    <w:rsid w:val="00307E11"/>
    <w:rsid w:val="003144A9"/>
    <w:rsid w:val="0033158E"/>
    <w:rsid w:val="0033412B"/>
    <w:rsid w:val="0036121D"/>
    <w:rsid w:val="00387D02"/>
    <w:rsid w:val="003A195C"/>
    <w:rsid w:val="003B41B1"/>
    <w:rsid w:val="003C0395"/>
    <w:rsid w:val="003C2E9B"/>
    <w:rsid w:val="004126AD"/>
    <w:rsid w:val="004137B0"/>
    <w:rsid w:val="0041535E"/>
    <w:rsid w:val="004221D3"/>
    <w:rsid w:val="00422CB4"/>
    <w:rsid w:val="0044111C"/>
    <w:rsid w:val="0044259A"/>
    <w:rsid w:val="00445080"/>
    <w:rsid w:val="004521D9"/>
    <w:rsid w:val="0045468D"/>
    <w:rsid w:val="00483B86"/>
    <w:rsid w:val="004847FB"/>
    <w:rsid w:val="0049138C"/>
    <w:rsid w:val="00496AFE"/>
    <w:rsid w:val="004C3028"/>
    <w:rsid w:val="004C6069"/>
    <w:rsid w:val="004D6E0C"/>
    <w:rsid w:val="00501179"/>
    <w:rsid w:val="00520EF1"/>
    <w:rsid w:val="005215F1"/>
    <w:rsid w:val="0052396A"/>
    <w:rsid w:val="00533D5A"/>
    <w:rsid w:val="00542CEE"/>
    <w:rsid w:val="00575D93"/>
    <w:rsid w:val="005A0DC8"/>
    <w:rsid w:val="005A382B"/>
    <w:rsid w:val="005A609B"/>
    <w:rsid w:val="005B05A0"/>
    <w:rsid w:val="005B0882"/>
    <w:rsid w:val="005B1B63"/>
    <w:rsid w:val="005C4033"/>
    <w:rsid w:val="005E0BEB"/>
    <w:rsid w:val="005E37F1"/>
    <w:rsid w:val="006116D9"/>
    <w:rsid w:val="006150ED"/>
    <w:rsid w:val="00623A55"/>
    <w:rsid w:val="0063677C"/>
    <w:rsid w:val="006437F6"/>
    <w:rsid w:val="00645465"/>
    <w:rsid w:val="00646861"/>
    <w:rsid w:val="00666A63"/>
    <w:rsid w:val="006973BA"/>
    <w:rsid w:val="006C0688"/>
    <w:rsid w:val="006C20F9"/>
    <w:rsid w:val="006C7AA8"/>
    <w:rsid w:val="007204F5"/>
    <w:rsid w:val="00730132"/>
    <w:rsid w:val="007634E7"/>
    <w:rsid w:val="00773814"/>
    <w:rsid w:val="007901E2"/>
    <w:rsid w:val="00791F09"/>
    <w:rsid w:val="00795B0B"/>
    <w:rsid w:val="007A7548"/>
    <w:rsid w:val="007B0E03"/>
    <w:rsid w:val="007B1CCD"/>
    <w:rsid w:val="007C177D"/>
    <w:rsid w:val="007C38C4"/>
    <w:rsid w:val="007D15D1"/>
    <w:rsid w:val="007D1886"/>
    <w:rsid w:val="007E45A9"/>
    <w:rsid w:val="00813FB5"/>
    <w:rsid w:val="008158A8"/>
    <w:rsid w:val="008216AB"/>
    <w:rsid w:val="008322B5"/>
    <w:rsid w:val="00833E17"/>
    <w:rsid w:val="0083560C"/>
    <w:rsid w:val="00841E86"/>
    <w:rsid w:val="008526A4"/>
    <w:rsid w:val="00855B1B"/>
    <w:rsid w:val="00871D8F"/>
    <w:rsid w:val="008754B3"/>
    <w:rsid w:val="00881730"/>
    <w:rsid w:val="008A6F08"/>
    <w:rsid w:val="008C1172"/>
    <w:rsid w:val="008D54B3"/>
    <w:rsid w:val="008F177B"/>
    <w:rsid w:val="008F379B"/>
    <w:rsid w:val="008F399E"/>
    <w:rsid w:val="00902300"/>
    <w:rsid w:val="0091304E"/>
    <w:rsid w:val="00913D5B"/>
    <w:rsid w:val="0092151B"/>
    <w:rsid w:val="00955F0C"/>
    <w:rsid w:val="00964979"/>
    <w:rsid w:val="00974A27"/>
    <w:rsid w:val="009766D8"/>
    <w:rsid w:val="0099125E"/>
    <w:rsid w:val="009A0B45"/>
    <w:rsid w:val="009A28FB"/>
    <w:rsid w:val="009A6EF4"/>
    <w:rsid w:val="009D6255"/>
    <w:rsid w:val="009F09A7"/>
    <w:rsid w:val="009F4FB0"/>
    <w:rsid w:val="00A0788A"/>
    <w:rsid w:val="00A16B77"/>
    <w:rsid w:val="00A27B0B"/>
    <w:rsid w:val="00A311EF"/>
    <w:rsid w:val="00A3254D"/>
    <w:rsid w:val="00A364A4"/>
    <w:rsid w:val="00A44676"/>
    <w:rsid w:val="00A661E2"/>
    <w:rsid w:val="00A80952"/>
    <w:rsid w:val="00A856B7"/>
    <w:rsid w:val="00AB2D35"/>
    <w:rsid w:val="00AB5EE0"/>
    <w:rsid w:val="00AB71D6"/>
    <w:rsid w:val="00AC30D2"/>
    <w:rsid w:val="00AC31CE"/>
    <w:rsid w:val="00AC69C9"/>
    <w:rsid w:val="00AD09E4"/>
    <w:rsid w:val="00AD7BFC"/>
    <w:rsid w:val="00AE093C"/>
    <w:rsid w:val="00AE1738"/>
    <w:rsid w:val="00AF13B3"/>
    <w:rsid w:val="00AF259D"/>
    <w:rsid w:val="00AF7E4B"/>
    <w:rsid w:val="00B11B73"/>
    <w:rsid w:val="00B15179"/>
    <w:rsid w:val="00B272F1"/>
    <w:rsid w:val="00B35F54"/>
    <w:rsid w:val="00B43787"/>
    <w:rsid w:val="00B51E08"/>
    <w:rsid w:val="00B56ABF"/>
    <w:rsid w:val="00B57464"/>
    <w:rsid w:val="00B61036"/>
    <w:rsid w:val="00B72DD3"/>
    <w:rsid w:val="00B7335C"/>
    <w:rsid w:val="00B97BC5"/>
    <w:rsid w:val="00BB60CF"/>
    <w:rsid w:val="00BF1E3B"/>
    <w:rsid w:val="00C123B2"/>
    <w:rsid w:val="00C12BCB"/>
    <w:rsid w:val="00C22CEF"/>
    <w:rsid w:val="00C36BC1"/>
    <w:rsid w:val="00C50873"/>
    <w:rsid w:val="00C5141A"/>
    <w:rsid w:val="00C628C4"/>
    <w:rsid w:val="00C63254"/>
    <w:rsid w:val="00C830DE"/>
    <w:rsid w:val="00C86CC4"/>
    <w:rsid w:val="00C874C0"/>
    <w:rsid w:val="00CA10E1"/>
    <w:rsid w:val="00CA2FF5"/>
    <w:rsid w:val="00CB49DA"/>
    <w:rsid w:val="00CC1F19"/>
    <w:rsid w:val="00CC4FDA"/>
    <w:rsid w:val="00CC6A8B"/>
    <w:rsid w:val="00D01335"/>
    <w:rsid w:val="00D03EC6"/>
    <w:rsid w:val="00D1198A"/>
    <w:rsid w:val="00D3312B"/>
    <w:rsid w:val="00D338BA"/>
    <w:rsid w:val="00D37865"/>
    <w:rsid w:val="00D57367"/>
    <w:rsid w:val="00D62014"/>
    <w:rsid w:val="00D74E92"/>
    <w:rsid w:val="00D84AE3"/>
    <w:rsid w:val="00D92A34"/>
    <w:rsid w:val="00D96D8C"/>
    <w:rsid w:val="00DA5A6F"/>
    <w:rsid w:val="00DF71AA"/>
    <w:rsid w:val="00E4060E"/>
    <w:rsid w:val="00E522A3"/>
    <w:rsid w:val="00E52320"/>
    <w:rsid w:val="00E57C9D"/>
    <w:rsid w:val="00E66CCD"/>
    <w:rsid w:val="00E7397E"/>
    <w:rsid w:val="00E81F3D"/>
    <w:rsid w:val="00E8308C"/>
    <w:rsid w:val="00E83FC3"/>
    <w:rsid w:val="00EA2747"/>
    <w:rsid w:val="00EB08BA"/>
    <w:rsid w:val="00EB3943"/>
    <w:rsid w:val="00EE23CC"/>
    <w:rsid w:val="00EE3CDC"/>
    <w:rsid w:val="00EF06B3"/>
    <w:rsid w:val="00EF4354"/>
    <w:rsid w:val="00F05BEE"/>
    <w:rsid w:val="00F06CDE"/>
    <w:rsid w:val="00F12870"/>
    <w:rsid w:val="00F21CA9"/>
    <w:rsid w:val="00F24096"/>
    <w:rsid w:val="00F414EF"/>
    <w:rsid w:val="00F47542"/>
    <w:rsid w:val="00F70D85"/>
    <w:rsid w:val="00F7201C"/>
    <w:rsid w:val="00F76D1A"/>
    <w:rsid w:val="00F905FE"/>
    <w:rsid w:val="00FA03AF"/>
    <w:rsid w:val="00FB0613"/>
    <w:rsid w:val="00FB351B"/>
    <w:rsid w:val="00FC0187"/>
    <w:rsid w:val="00FC5751"/>
    <w:rsid w:val="00FC5FFB"/>
    <w:rsid w:val="00FE3590"/>
    <w:rsid w:val="00FE3721"/>
    <w:rsid w:val="00FE45E8"/>
    <w:rsid w:val="00FE4789"/>
    <w:rsid w:val="00FF0C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DA5A6F"/>
    <w:pPr>
      <w:tabs>
        <w:tab w:val="left" w:pos="5205"/>
      </w:tabs>
      <w:spacing w:before="480" w:after="112" w:line="200" w:lineRule="exact"/>
    </w:pPr>
    <w:rPr>
      <w:rFonts w:ascii="Arial" w:hAnsi="Arial"/>
      <w:caps/>
      <w:sz w:val="20"/>
      <w:szCs w:val="20"/>
      <w:lang w:val="es-ES_tradnl"/>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link w:val="Footer"/>
    <w:uiPriority w:val="99"/>
    <w:locked/>
    <w:rsid w:val="009A28FB"/>
    <w:rPr>
      <w:rFonts w:cs="Times New Roman"/>
    </w:rPr>
  </w:style>
  <w:style w:type="character" w:styleId="Hyperlink">
    <w:name w:val="Hyperlink"/>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2E5103"/>
    <w:pPr>
      <w:spacing w:after="300" w:line="300" w:lineRule="exact"/>
    </w:pPr>
    <w:rPr>
      <w:rFonts w:ascii="Arial" w:hAnsi="Arial"/>
      <w:b/>
      <w:sz w:val="24"/>
      <w:szCs w:val="24"/>
      <w:lang w:val="es-ES_tradnl"/>
    </w:rPr>
  </w:style>
  <w:style w:type="paragraph" w:customStyle="1" w:styleId="newsContent">
    <w:name w:val="newsContent"/>
    <w:basedOn w:val="Normal"/>
    <w:link w:val="newsContentChar"/>
    <w:autoRedefine/>
    <w:uiPriority w:val="99"/>
    <w:rsid w:val="00422CB4"/>
    <w:pPr>
      <w:spacing w:after="260" w:line="260" w:lineRule="exact"/>
      <w:ind w:right="-285"/>
    </w:pPr>
    <w:rPr>
      <w:rFonts w:ascii="Arial" w:hAnsi="Arial"/>
      <w:color w:val="000000"/>
      <w:sz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974A27"/>
    <w:pPr>
      <w:spacing w:after="0" w:line="200" w:lineRule="exact"/>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uiPriority w:val="99"/>
    <w:semiHidden/>
    <w:rsid w:val="00730132"/>
    <w:rPr>
      <w:rFonts w:cs="Times New Roman"/>
      <w:color w:val="808080"/>
    </w:rPr>
  </w:style>
  <w:style w:type="paragraph" w:customStyle="1" w:styleId="newsCoordinates">
    <w:name w:val="newsCoordinates"/>
    <w:basedOn w:val="Footer"/>
    <w:autoRedefine/>
    <w:uiPriority w:val="99"/>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2948E2"/>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214415"/>
    <w:pPr>
      <w:ind w:right="-144"/>
    </w:pPr>
    <w:rPr>
      <w:color w:val="auto"/>
      <w:szCs w:val="20"/>
    </w:rPr>
  </w:style>
  <w:style w:type="table" w:styleId="TableGrid">
    <w:name w:val="Table Grid"/>
    <w:basedOn w:val="TableNormal"/>
    <w:uiPriority w:val="99"/>
    <w:rsid w:val="00FE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lang w:val="en-US" w:eastAsia="en-US"/>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link w:val="newsContent"/>
    <w:uiPriority w:val="99"/>
    <w:locked/>
    <w:rsid w:val="00422CB4"/>
    <w:rPr>
      <w:rFonts w:ascii="Arial" w:hAnsi="Arial"/>
      <w:color w:val="000000"/>
      <w:szCs w:val="22"/>
      <w:lang w:eastAsia="en-US"/>
    </w:rPr>
  </w:style>
  <w:style w:type="character" w:customStyle="1" w:styleId="newsNotesChar">
    <w:name w:val="newsNotes Char"/>
    <w:link w:val="newsNotes"/>
    <w:uiPriority w:val="99"/>
    <w:locked/>
    <w:rsid w:val="00214415"/>
    <w:rPr>
      <w:rFonts w:ascii="Arial" w:hAnsi="Arial" w:cs="Times New Roman"/>
      <w:color w:val="000000"/>
      <w:sz w:val="20"/>
      <w:szCs w:val="20"/>
    </w:rPr>
  </w:style>
  <w:style w:type="character" w:customStyle="1" w:styleId="newsNotesNumberChar">
    <w:name w:val="newsNotesNumber Char"/>
    <w:link w:val="newsNotesNumber"/>
    <w:uiPriority w:val="99"/>
    <w:locked/>
    <w:rsid w:val="00CB49DA"/>
    <w:rPr>
      <w:rFonts w:ascii="Arial" w:hAnsi="Arial" w:cs="Times New Roman"/>
      <w:color w:val="000000"/>
      <w:sz w:val="20"/>
      <w:szCs w:val="20"/>
      <w:vertAlign w:val="superscript"/>
    </w:rPr>
  </w:style>
  <w:style w:type="paragraph" w:customStyle="1" w:styleId="CarcterCarcter">
    <w:name w:val="Carácter Carácter"/>
    <w:basedOn w:val="Normal"/>
    <w:uiPriority w:val="99"/>
    <w:rsid w:val="00214415"/>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semiHidden/>
    <w:rsid w:val="002D6864"/>
    <w:rPr>
      <w:rFonts w:cs="Times New Roman"/>
      <w:sz w:val="16"/>
      <w:szCs w:val="16"/>
    </w:rPr>
  </w:style>
  <w:style w:type="paragraph" w:styleId="CommentText">
    <w:name w:val="annotation text"/>
    <w:basedOn w:val="Normal"/>
    <w:link w:val="CommentTextChar"/>
    <w:uiPriority w:val="99"/>
    <w:semiHidden/>
    <w:rsid w:val="002D6864"/>
    <w:pPr>
      <w:spacing w:line="240" w:lineRule="auto"/>
    </w:pPr>
    <w:rPr>
      <w:sz w:val="20"/>
      <w:szCs w:val="20"/>
    </w:rPr>
  </w:style>
  <w:style w:type="character" w:customStyle="1" w:styleId="CommentTextChar">
    <w:name w:val="Comment Text Char"/>
    <w:link w:val="CommentText"/>
    <w:uiPriority w:val="99"/>
    <w:semiHidden/>
    <w:locked/>
    <w:rsid w:val="002D6864"/>
    <w:rPr>
      <w:rFonts w:cs="Times New Roman"/>
      <w:sz w:val="20"/>
      <w:szCs w:val="20"/>
    </w:rPr>
  </w:style>
  <w:style w:type="paragraph" w:styleId="CommentSubject">
    <w:name w:val="annotation subject"/>
    <w:basedOn w:val="CommentText"/>
    <w:next w:val="CommentText"/>
    <w:link w:val="CommentSubjectChar"/>
    <w:uiPriority w:val="99"/>
    <w:semiHidden/>
    <w:rsid w:val="002D6864"/>
    <w:rPr>
      <w:b/>
      <w:bCs/>
    </w:rPr>
  </w:style>
  <w:style w:type="character" w:customStyle="1" w:styleId="CommentSubjectChar">
    <w:name w:val="Comment Subject Char"/>
    <w:link w:val="CommentSubject"/>
    <w:uiPriority w:val="99"/>
    <w:semiHidden/>
    <w:locked/>
    <w:rsid w:val="002D686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DA5A6F"/>
    <w:pPr>
      <w:tabs>
        <w:tab w:val="left" w:pos="5205"/>
      </w:tabs>
      <w:spacing w:before="480" w:after="112" w:line="200" w:lineRule="exact"/>
    </w:pPr>
    <w:rPr>
      <w:rFonts w:ascii="Arial" w:hAnsi="Arial"/>
      <w:caps/>
      <w:sz w:val="20"/>
      <w:szCs w:val="20"/>
      <w:lang w:val="es-ES_tradnl"/>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link w:val="Footer"/>
    <w:uiPriority w:val="99"/>
    <w:locked/>
    <w:rsid w:val="009A28FB"/>
    <w:rPr>
      <w:rFonts w:cs="Times New Roman"/>
    </w:rPr>
  </w:style>
  <w:style w:type="character" w:styleId="Hyperlink">
    <w:name w:val="Hyperlink"/>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2E5103"/>
    <w:pPr>
      <w:spacing w:after="300" w:line="300" w:lineRule="exact"/>
    </w:pPr>
    <w:rPr>
      <w:rFonts w:ascii="Arial" w:hAnsi="Arial"/>
      <w:b/>
      <w:sz w:val="24"/>
      <w:szCs w:val="24"/>
      <w:lang w:val="es-ES_tradnl"/>
    </w:rPr>
  </w:style>
  <w:style w:type="paragraph" w:customStyle="1" w:styleId="newsContent">
    <w:name w:val="newsContent"/>
    <w:basedOn w:val="Normal"/>
    <w:link w:val="newsContentChar"/>
    <w:autoRedefine/>
    <w:uiPriority w:val="99"/>
    <w:rsid w:val="00422CB4"/>
    <w:pPr>
      <w:spacing w:after="260" w:line="260" w:lineRule="exact"/>
      <w:ind w:right="-285"/>
    </w:pPr>
    <w:rPr>
      <w:rFonts w:ascii="Arial" w:hAnsi="Arial"/>
      <w:color w:val="000000"/>
      <w:sz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974A27"/>
    <w:pPr>
      <w:spacing w:after="0" w:line="200" w:lineRule="exact"/>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uiPriority w:val="99"/>
    <w:semiHidden/>
    <w:rsid w:val="00730132"/>
    <w:rPr>
      <w:rFonts w:cs="Times New Roman"/>
      <w:color w:val="808080"/>
    </w:rPr>
  </w:style>
  <w:style w:type="paragraph" w:customStyle="1" w:styleId="newsCoordinates">
    <w:name w:val="newsCoordinates"/>
    <w:basedOn w:val="Footer"/>
    <w:autoRedefine/>
    <w:uiPriority w:val="99"/>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2948E2"/>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214415"/>
    <w:pPr>
      <w:ind w:right="-144"/>
    </w:pPr>
    <w:rPr>
      <w:color w:val="auto"/>
      <w:szCs w:val="20"/>
    </w:rPr>
  </w:style>
  <w:style w:type="table" w:styleId="TableGrid">
    <w:name w:val="Table Grid"/>
    <w:basedOn w:val="TableNormal"/>
    <w:uiPriority w:val="99"/>
    <w:rsid w:val="00FE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lang w:val="en-US" w:eastAsia="en-US"/>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link w:val="newsContent"/>
    <w:uiPriority w:val="99"/>
    <w:locked/>
    <w:rsid w:val="00422CB4"/>
    <w:rPr>
      <w:rFonts w:ascii="Arial" w:hAnsi="Arial"/>
      <w:color w:val="000000"/>
      <w:szCs w:val="22"/>
      <w:lang w:eastAsia="en-US"/>
    </w:rPr>
  </w:style>
  <w:style w:type="character" w:customStyle="1" w:styleId="newsNotesChar">
    <w:name w:val="newsNotes Char"/>
    <w:link w:val="newsNotes"/>
    <w:uiPriority w:val="99"/>
    <w:locked/>
    <w:rsid w:val="00214415"/>
    <w:rPr>
      <w:rFonts w:ascii="Arial" w:hAnsi="Arial" w:cs="Times New Roman"/>
      <w:color w:val="000000"/>
      <w:sz w:val="20"/>
      <w:szCs w:val="20"/>
    </w:rPr>
  </w:style>
  <w:style w:type="character" w:customStyle="1" w:styleId="newsNotesNumberChar">
    <w:name w:val="newsNotesNumber Char"/>
    <w:link w:val="newsNotesNumber"/>
    <w:uiPriority w:val="99"/>
    <w:locked/>
    <w:rsid w:val="00CB49DA"/>
    <w:rPr>
      <w:rFonts w:ascii="Arial" w:hAnsi="Arial" w:cs="Times New Roman"/>
      <w:color w:val="000000"/>
      <w:sz w:val="20"/>
      <w:szCs w:val="20"/>
      <w:vertAlign w:val="superscript"/>
    </w:rPr>
  </w:style>
  <w:style w:type="paragraph" w:customStyle="1" w:styleId="CarcterCarcter">
    <w:name w:val="Carácter Carácter"/>
    <w:basedOn w:val="Normal"/>
    <w:uiPriority w:val="99"/>
    <w:rsid w:val="00214415"/>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semiHidden/>
    <w:rsid w:val="002D6864"/>
    <w:rPr>
      <w:rFonts w:cs="Times New Roman"/>
      <w:sz w:val="16"/>
      <w:szCs w:val="16"/>
    </w:rPr>
  </w:style>
  <w:style w:type="paragraph" w:styleId="CommentText">
    <w:name w:val="annotation text"/>
    <w:basedOn w:val="Normal"/>
    <w:link w:val="CommentTextChar"/>
    <w:uiPriority w:val="99"/>
    <w:semiHidden/>
    <w:rsid w:val="002D6864"/>
    <w:pPr>
      <w:spacing w:line="240" w:lineRule="auto"/>
    </w:pPr>
    <w:rPr>
      <w:sz w:val="20"/>
      <w:szCs w:val="20"/>
    </w:rPr>
  </w:style>
  <w:style w:type="character" w:customStyle="1" w:styleId="CommentTextChar">
    <w:name w:val="Comment Text Char"/>
    <w:link w:val="CommentText"/>
    <w:uiPriority w:val="99"/>
    <w:semiHidden/>
    <w:locked/>
    <w:rsid w:val="002D6864"/>
    <w:rPr>
      <w:rFonts w:cs="Times New Roman"/>
      <w:sz w:val="20"/>
      <w:szCs w:val="20"/>
    </w:rPr>
  </w:style>
  <w:style w:type="paragraph" w:styleId="CommentSubject">
    <w:name w:val="annotation subject"/>
    <w:basedOn w:val="CommentText"/>
    <w:next w:val="CommentText"/>
    <w:link w:val="CommentSubjectChar"/>
    <w:uiPriority w:val="99"/>
    <w:semiHidden/>
    <w:rsid w:val="002D6864"/>
    <w:rPr>
      <w:b/>
      <w:bCs/>
    </w:rPr>
  </w:style>
  <w:style w:type="character" w:customStyle="1" w:styleId="CommentSubjectChar">
    <w:name w:val="Comment Subject Char"/>
    <w:link w:val="CommentSubject"/>
    <w:uiPriority w:val="99"/>
    <w:semiHidden/>
    <w:locked/>
    <w:rsid w:val="002D686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33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10" Type="http://schemas.openxmlformats.org/officeDocument/2006/relationships/hyperlink" Target="http://www.emcdda.europa.eu/edr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4/europol-emcd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3DF9-40CB-436B-99BF-CA8130A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3043</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keywords/>
  <dc:description/>
  <cp:lastModifiedBy>Kathryn Robertson</cp:lastModifiedBy>
  <cp:revision>19</cp:revision>
  <cp:lastPrinted>2014-04-16T09:26:00Z</cp:lastPrinted>
  <dcterms:created xsi:type="dcterms:W3CDTF">2014-05-16T15:22:00Z</dcterms:created>
  <dcterms:modified xsi:type="dcterms:W3CDTF">2014-05-19T10:13:00Z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