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5853B8" w:rsidTr="001F70B4">
        <w:trPr>
          <w:trHeight w:val="1695"/>
        </w:trPr>
        <w:tc>
          <w:tcPr>
            <w:tcW w:w="2331" w:type="pct"/>
          </w:tcPr>
          <w:p w:rsidR="00EE23CC" w:rsidRPr="005853B8" w:rsidRDefault="000523F6" w:rsidP="00EE23CC">
            <w:pPr>
              <w:rPr>
                <w:lang w:val="de-DE"/>
              </w:rPr>
            </w:pPr>
            <w:r w:rsidRPr="005853B8">
              <w:rPr>
                <w:noProof/>
                <w:lang w:eastAsia="en-GB"/>
              </w:rPr>
              <w:drawing>
                <wp:inline distT="0" distB="0" distL="0" distR="0">
                  <wp:extent cx="2794730" cy="612000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73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5853B8" w:rsidRDefault="00EE23CC" w:rsidP="00EE23CC">
            <w:pPr>
              <w:rPr>
                <w:lang w:val="de-DE"/>
              </w:rPr>
            </w:pPr>
          </w:p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5853B8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5853B8" w:rsidRDefault="000523F6" w:rsidP="001F70B4">
            <w:pPr>
              <w:rPr>
                <w:lang w:val="de-DE"/>
              </w:rPr>
            </w:pPr>
            <w:r w:rsidRPr="005853B8">
              <w:rPr>
                <w:noProof/>
                <w:lang w:eastAsia="en-GB"/>
              </w:rPr>
              <w:drawing>
                <wp:inline distT="0" distB="0" distL="0" distR="0">
                  <wp:extent cx="7562850" cy="920959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224F85" w:rsidRDefault="00307E11" w:rsidP="00F57E96">
      <w:pPr>
        <w:pStyle w:val="newsTitle"/>
        <w:rPr>
          <w:b/>
        </w:rPr>
      </w:pPr>
      <w:r w:rsidRPr="00224F85">
        <w:t>dr</w:t>
      </w:r>
      <w:r w:rsidR="00C4695B" w:rsidRPr="00224F85">
        <w:t xml:space="preserve">OGEN </w:t>
      </w:r>
      <w:r w:rsidR="00F43615" w:rsidRPr="00224F85">
        <w:t xml:space="preserve">AUF </w:t>
      </w:r>
      <w:r w:rsidR="00C4695B" w:rsidRPr="00224F85">
        <w:t xml:space="preserve">EINEM IM WANDEL </w:t>
      </w:r>
      <w:r w:rsidR="00F43615" w:rsidRPr="00224F85">
        <w:t xml:space="preserve">BEFINDLICHEN </w:t>
      </w:r>
      <w:r w:rsidRPr="00224F85">
        <w:t>europ</w:t>
      </w:r>
      <w:r w:rsidR="00C4695B" w:rsidRPr="00224F85">
        <w:t>ÄISCHEN</w:t>
      </w:r>
      <w:r w:rsidRPr="00224F85">
        <w:t xml:space="preserve"> markt</w:t>
      </w:r>
      <w:r w:rsidR="00C4695B" w:rsidRPr="00224F85">
        <w:t xml:space="preserve"> </w:t>
      </w:r>
      <w:r w:rsidRPr="00224F85">
        <w:t>— emcdda</w:t>
      </w:r>
      <w:r w:rsidR="00C4695B" w:rsidRPr="00224F85">
        <w:t>-</w:t>
      </w:r>
      <w:r w:rsidRPr="00224F85">
        <w:t>analys</w:t>
      </w:r>
      <w:r w:rsidR="00C4695B" w:rsidRPr="00224F85">
        <w:t>E</w:t>
      </w:r>
      <w:r w:rsidRPr="00224F85">
        <w:t xml:space="preserve"> 2014</w:t>
      </w:r>
    </w:p>
    <w:p w:rsidR="00A16B77" w:rsidRPr="005853B8" w:rsidRDefault="00307E11" w:rsidP="00307E11">
      <w:pPr>
        <w:pStyle w:val="newsSubTitle"/>
        <w:rPr>
          <w:lang w:val="de-DE"/>
        </w:rPr>
      </w:pPr>
      <w:r w:rsidRPr="005853B8">
        <w:rPr>
          <w:lang w:val="de-DE"/>
        </w:rPr>
        <w:t>Europ</w:t>
      </w:r>
      <w:r w:rsidR="00C4695B" w:rsidRPr="005853B8">
        <w:rPr>
          <w:lang w:val="de-DE"/>
        </w:rPr>
        <w:t>äischer</w:t>
      </w:r>
      <w:r w:rsidRPr="005853B8">
        <w:rPr>
          <w:lang w:val="de-DE"/>
        </w:rPr>
        <w:t xml:space="preserve"> Dr</w:t>
      </w:r>
      <w:r w:rsidR="00C4695B" w:rsidRPr="005853B8">
        <w:rPr>
          <w:lang w:val="de-DE"/>
        </w:rPr>
        <w:t>ogenbericht heute veröffentlicht</w:t>
      </w:r>
      <w:r w:rsidRPr="005853B8">
        <w:rPr>
          <w:lang w:val="de-DE"/>
        </w:rPr>
        <w:t xml:space="preserve"> — </w:t>
      </w:r>
      <w:r w:rsidR="00C4695B" w:rsidRPr="005853B8">
        <w:rPr>
          <w:lang w:val="de-DE"/>
        </w:rPr>
        <w:t>Drogenproblem</w:t>
      </w:r>
      <w:r w:rsidR="00C11D86" w:rsidRPr="005853B8">
        <w:rPr>
          <w:lang w:val="de-DE"/>
        </w:rPr>
        <w:t>atik</w:t>
      </w:r>
      <w:r w:rsidR="00C4695B" w:rsidRPr="005853B8">
        <w:rPr>
          <w:lang w:val="de-DE"/>
        </w:rPr>
        <w:t xml:space="preserve"> in </w:t>
      </w:r>
      <w:r w:rsidRPr="005853B8">
        <w:rPr>
          <w:lang w:val="de-DE"/>
        </w:rPr>
        <w:t>Europ</w:t>
      </w:r>
      <w:r w:rsidR="00C4695B" w:rsidRPr="005853B8">
        <w:rPr>
          <w:lang w:val="de-DE"/>
        </w:rPr>
        <w:t>a</w:t>
      </w:r>
      <w:r w:rsidRPr="005853B8">
        <w:rPr>
          <w:lang w:val="de-DE"/>
        </w:rPr>
        <w:t xml:space="preserve"> </w:t>
      </w:r>
      <w:r w:rsidR="00C4695B" w:rsidRPr="005853B8">
        <w:rPr>
          <w:lang w:val="de-DE"/>
        </w:rPr>
        <w:t>„zunehmend k</w:t>
      </w:r>
      <w:r w:rsidRPr="005853B8">
        <w:rPr>
          <w:lang w:val="de-DE"/>
        </w:rPr>
        <w:t>omplex</w:t>
      </w:r>
      <w:r w:rsidR="00C4695B" w:rsidRPr="005853B8">
        <w:rPr>
          <w:lang w:val="de-DE"/>
        </w:rPr>
        <w:t>“</w:t>
      </w:r>
    </w:p>
    <w:p w:rsidR="00A16B77" w:rsidRPr="005853B8" w:rsidRDefault="00307E11" w:rsidP="00AD6931">
      <w:pPr>
        <w:pStyle w:val="newsContent"/>
        <w:ind w:right="-144"/>
        <w:rPr>
          <w:lang w:val="de-DE"/>
        </w:rPr>
      </w:pPr>
      <w:r w:rsidRPr="005853B8">
        <w:rPr>
          <w:lang w:val="de-DE"/>
        </w:rPr>
        <w:t xml:space="preserve">(27.5.2014, </w:t>
      </w:r>
      <w:r w:rsidRPr="002406E7">
        <w:rPr>
          <w:lang w:val="de-DE"/>
        </w:rPr>
        <w:t>LIS</w:t>
      </w:r>
      <w:r w:rsidR="00C4695B" w:rsidRPr="002406E7">
        <w:rPr>
          <w:lang w:val="de-DE"/>
        </w:rPr>
        <w:t>SA</w:t>
      </w:r>
      <w:r w:rsidRPr="002406E7">
        <w:rPr>
          <w:lang w:val="de-DE"/>
        </w:rPr>
        <w:t xml:space="preserve">BON </w:t>
      </w:r>
      <w:r w:rsidR="00224F85" w:rsidRPr="002406E7">
        <w:rPr>
          <w:b/>
          <w:color w:val="FF0000"/>
          <w:szCs w:val="24"/>
          <w:lang w:val="de-DE"/>
        </w:rPr>
        <w:t>GESPERRT bis 10 Uhr WEZ/Ortszeit Lissabon</w:t>
      </w:r>
      <w:r w:rsidRPr="002406E7">
        <w:rPr>
          <w:lang w:val="de-DE"/>
        </w:rPr>
        <w:t>)</w:t>
      </w:r>
      <w:r w:rsidRPr="005853B8">
        <w:rPr>
          <w:lang w:val="de-DE"/>
        </w:rPr>
        <w:t xml:space="preserve"> </w:t>
      </w:r>
      <w:r w:rsidR="00C4695B" w:rsidRPr="005853B8">
        <w:rPr>
          <w:lang w:val="de-DE"/>
        </w:rPr>
        <w:t>D</w:t>
      </w:r>
      <w:r w:rsidR="00C11D86" w:rsidRPr="005853B8">
        <w:rPr>
          <w:lang w:val="de-DE"/>
        </w:rPr>
        <w:t>ie</w:t>
      </w:r>
      <w:r w:rsidR="00C4695B" w:rsidRPr="005853B8">
        <w:rPr>
          <w:lang w:val="de-DE"/>
        </w:rPr>
        <w:t xml:space="preserve"> Drogen</w:t>
      </w:r>
      <w:r w:rsidRPr="005853B8">
        <w:rPr>
          <w:lang w:val="de-DE"/>
        </w:rPr>
        <w:t>problem</w:t>
      </w:r>
      <w:r w:rsidR="00C11D86" w:rsidRPr="005853B8">
        <w:rPr>
          <w:lang w:val="de-DE"/>
        </w:rPr>
        <w:t>atik</w:t>
      </w:r>
      <w:r w:rsidRPr="005853B8">
        <w:rPr>
          <w:lang w:val="de-DE"/>
        </w:rPr>
        <w:t xml:space="preserve"> </w:t>
      </w:r>
      <w:r w:rsidR="00C4695B" w:rsidRPr="005853B8">
        <w:rPr>
          <w:lang w:val="de-DE"/>
        </w:rPr>
        <w:t>in Europa gestaltet sich zunehmend komplex</w:t>
      </w:r>
      <w:r w:rsidR="00F43615">
        <w:rPr>
          <w:lang w:val="de-DE"/>
        </w:rPr>
        <w:t xml:space="preserve"> mit</w:t>
      </w:r>
      <w:r w:rsidR="00F57E96">
        <w:rPr>
          <w:lang w:val="de-DE"/>
        </w:rPr>
        <w:t xml:space="preserve"> </w:t>
      </w:r>
      <w:r w:rsidR="00C4695B" w:rsidRPr="005853B8">
        <w:rPr>
          <w:lang w:val="de-DE"/>
        </w:rPr>
        <w:t>neue</w:t>
      </w:r>
      <w:r w:rsidR="00F43615">
        <w:rPr>
          <w:lang w:val="de-DE"/>
        </w:rPr>
        <w:t>n</w:t>
      </w:r>
      <w:r w:rsidR="00C4695B" w:rsidRPr="005853B8">
        <w:rPr>
          <w:lang w:val="de-DE"/>
        </w:rPr>
        <w:t xml:space="preserve"> Herausforderungen, die im Bereich der öffentlichen Gesundheit Anlass zur </w:t>
      </w:r>
      <w:r w:rsidR="00D67C19" w:rsidRPr="005853B8">
        <w:rPr>
          <w:lang w:val="de-DE"/>
        </w:rPr>
        <w:t>Bes</w:t>
      </w:r>
      <w:r w:rsidR="00C4695B" w:rsidRPr="005853B8">
        <w:rPr>
          <w:lang w:val="de-DE"/>
        </w:rPr>
        <w:t>org</w:t>
      </w:r>
      <w:r w:rsidR="00D67C19" w:rsidRPr="005853B8">
        <w:rPr>
          <w:lang w:val="de-DE"/>
        </w:rPr>
        <w:t>nis</w:t>
      </w:r>
      <w:r w:rsidR="00C4695B" w:rsidRPr="005853B8">
        <w:rPr>
          <w:lang w:val="de-DE"/>
        </w:rPr>
        <w:t xml:space="preserve"> geben</w:t>
      </w:r>
      <w:r w:rsidRPr="005853B8">
        <w:rPr>
          <w:lang w:val="de-DE"/>
        </w:rPr>
        <w:t xml:space="preserve">. </w:t>
      </w:r>
      <w:r w:rsidR="00C11D86" w:rsidRPr="005853B8">
        <w:rPr>
          <w:lang w:val="de-DE"/>
        </w:rPr>
        <w:t>So lautet die Einschätzung der Situation im</w:t>
      </w:r>
      <w:r w:rsidRPr="005853B8">
        <w:rPr>
          <w:lang w:val="de-DE"/>
        </w:rPr>
        <w:t xml:space="preserve"> </w:t>
      </w:r>
      <w:r w:rsidRPr="005853B8">
        <w:rPr>
          <w:b/>
          <w:i/>
          <w:lang w:val="de-DE"/>
        </w:rPr>
        <w:t>Europ</w:t>
      </w:r>
      <w:r w:rsidR="00C11D86" w:rsidRPr="005853B8">
        <w:rPr>
          <w:b/>
          <w:i/>
          <w:lang w:val="de-DE"/>
        </w:rPr>
        <w:t>äischen Drogenbericht</w:t>
      </w:r>
      <w:r w:rsidRPr="005853B8">
        <w:rPr>
          <w:b/>
          <w:i/>
          <w:lang w:val="de-DE"/>
        </w:rPr>
        <w:t xml:space="preserve"> 2014: Trends </w:t>
      </w:r>
      <w:r w:rsidR="00C11D86" w:rsidRPr="005853B8">
        <w:rPr>
          <w:b/>
          <w:i/>
          <w:lang w:val="de-DE"/>
        </w:rPr>
        <w:t>u</w:t>
      </w:r>
      <w:r w:rsidRPr="005853B8">
        <w:rPr>
          <w:b/>
          <w:i/>
          <w:lang w:val="de-DE"/>
        </w:rPr>
        <w:t xml:space="preserve">nd </w:t>
      </w:r>
      <w:r w:rsidR="00C11D86" w:rsidRPr="005853B8">
        <w:rPr>
          <w:b/>
          <w:i/>
          <w:lang w:val="de-DE"/>
        </w:rPr>
        <w:t>Entwicklungen</w:t>
      </w:r>
      <w:r w:rsidR="00C11D86" w:rsidRPr="005853B8">
        <w:rPr>
          <w:lang w:val="de-DE"/>
        </w:rPr>
        <w:t xml:space="preserve">, der heute von der </w:t>
      </w:r>
      <w:r w:rsidR="00C11D86" w:rsidRPr="005853B8">
        <w:rPr>
          <w:b/>
          <w:lang w:val="de-DE"/>
        </w:rPr>
        <w:t xml:space="preserve">Europäischen Beobachtungsstelle für Drogen und Drogensucht </w:t>
      </w:r>
      <w:r w:rsidRPr="005853B8">
        <w:rPr>
          <w:b/>
          <w:lang w:val="de-DE"/>
        </w:rPr>
        <w:t xml:space="preserve">(EMCDDA) </w:t>
      </w:r>
      <w:r w:rsidRPr="005853B8">
        <w:rPr>
          <w:lang w:val="de-DE"/>
        </w:rPr>
        <w:t>in Lis</w:t>
      </w:r>
      <w:r w:rsidR="00C11D86" w:rsidRPr="005853B8">
        <w:rPr>
          <w:lang w:val="de-DE"/>
        </w:rPr>
        <w:t>sa</w:t>
      </w:r>
      <w:r w:rsidRPr="005853B8">
        <w:rPr>
          <w:lang w:val="de-DE"/>
        </w:rPr>
        <w:t xml:space="preserve">bon </w:t>
      </w:r>
      <w:r w:rsidR="00C11D86" w:rsidRPr="005853B8">
        <w:rPr>
          <w:lang w:val="de-DE"/>
        </w:rPr>
        <w:t>veröffentlicht wurde</w:t>
      </w:r>
      <w:r w:rsidR="00A67C58" w:rsidRPr="005853B8">
        <w:rPr>
          <w:lang w:val="de-DE"/>
        </w:rPr>
        <w:t xml:space="preserve"> </w:t>
      </w:r>
      <w:r w:rsidRPr="005853B8">
        <w:rPr>
          <w:lang w:val="de-DE"/>
        </w:rPr>
        <w:t>(</w:t>
      </w:r>
      <w:r w:rsidRPr="005853B8">
        <w:rPr>
          <w:vertAlign w:val="superscript"/>
          <w:lang w:val="de-DE"/>
        </w:rPr>
        <w:t>1</w:t>
      </w:r>
      <w:r w:rsidRPr="005853B8">
        <w:rPr>
          <w:lang w:val="de-DE"/>
        </w:rPr>
        <w:t>).</w:t>
      </w:r>
      <w:r w:rsidR="00F57E96">
        <w:rPr>
          <w:lang w:val="de-DE"/>
        </w:rPr>
        <w:t xml:space="preserve">         </w:t>
      </w:r>
      <w:r w:rsidRPr="005853B8">
        <w:rPr>
          <w:lang w:val="de-DE"/>
        </w:rPr>
        <w:t xml:space="preserve">In </w:t>
      </w:r>
      <w:r w:rsidR="0099062B" w:rsidRPr="005853B8">
        <w:rPr>
          <w:lang w:val="de-DE"/>
        </w:rPr>
        <w:t>ihrer jährlichen Bestandsaufnahme der Drogen</w:t>
      </w:r>
      <w:r w:rsidRPr="005853B8">
        <w:rPr>
          <w:lang w:val="de-DE"/>
        </w:rPr>
        <w:t>problem</w:t>
      </w:r>
      <w:r w:rsidR="0099062B" w:rsidRPr="005853B8">
        <w:rPr>
          <w:lang w:val="de-DE"/>
        </w:rPr>
        <w:t xml:space="preserve">atik beschreibt die </w:t>
      </w:r>
      <w:r w:rsidR="0099062B" w:rsidRPr="00F57E96">
        <w:rPr>
          <w:b/>
          <w:lang w:val="de-DE"/>
        </w:rPr>
        <w:t xml:space="preserve">EMCDDA </w:t>
      </w:r>
      <w:r w:rsidR="0099062B" w:rsidRPr="005853B8">
        <w:rPr>
          <w:lang w:val="de-DE"/>
        </w:rPr>
        <w:t xml:space="preserve">erneut eine </w:t>
      </w:r>
      <w:r w:rsidR="0023109A">
        <w:rPr>
          <w:lang w:val="de-DE"/>
        </w:rPr>
        <w:t>insgesamt</w:t>
      </w:r>
      <w:r w:rsidR="0023109A" w:rsidRPr="005853B8">
        <w:rPr>
          <w:lang w:val="de-DE"/>
        </w:rPr>
        <w:t xml:space="preserve"> </w:t>
      </w:r>
      <w:r w:rsidR="0061309E">
        <w:rPr>
          <w:lang w:val="de-DE"/>
        </w:rPr>
        <w:t>stabile</w:t>
      </w:r>
      <w:r w:rsidR="0061309E" w:rsidRPr="005853B8">
        <w:rPr>
          <w:lang w:val="de-DE"/>
        </w:rPr>
        <w:t xml:space="preserve"> </w:t>
      </w:r>
      <w:r w:rsidR="0023109A">
        <w:rPr>
          <w:lang w:val="de-DE"/>
        </w:rPr>
        <w:t>Situation</w:t>
      </w:r>
      <w:r w:rsidR="0023109A" w:rsidRPr="005853B8">
        <w:rPr>
          <w:lang w:val="de-DE"/>
        </w:rPr>
        <w:t xml:space="preserve"> </w:t>
      </w:r>
      <w:r w:rsidR="0099062B" w:rsidRPr="005853B8">
        <w:rPr>
          <w:lang w:val="de-DE"/>
        </w:rPr>
        <w:t>mit</w:t>
      </w:r>
      <w:r w:rsidR="00F57E96">
        <w:rPr>
          <w:lang w:val="de-DE"/>
        </w:rPr>
        <w:t xml:space="preserve"> </w:t>
      </w:r>
      <w:r w:rsidRPr="005853B8">
        <w:rPr>
          <w:lang w:val="de-DE"/>
        </w:rPr>
        <w:t>positive</w:t>
      </w:r>
      <w:r w:rsidR="0099062B" w:rsidRPr="005853B8">
        <w:rPr>
          <w:lang w:val="de-DE"/>
        </w:rPr>
        <w:t xml:space="preserve">n </w:t>
      </w:r>
      <w:r w:rsidR="0023109A">
        <w:rPr>
          <w:lang w:val="de-DE"/>
        </w:rPr>
        <w:t>Zeichen</w:t>
      </w:r>
      <w:r w:rsidR="0023109A" w:rsidRPr="005853B8">
        <w:rPr>
          <w:lang w:val="de-DE"/>
        </w:rPr>
        <w:t xml:space="preserve"> </w:t>
      </w:r>
      <w:r w:rsidR="0099062B" w:rsidRPr="005853B8">
        <w:rPr>
          <w:lang w:val="de-DE"/>
        </w:rPr>
        <w:t xml:space="preserve">in Bezug auf die </w:t>
      </w:r>
      <w:r w:rsidRPr="005853B8">
        <w:rPr>
          <w:lang w:val="de-DE"/>
        </w:rPr>
        <w:t>etabli</w:t>
      </w:r>
      <w:r w:rsidR="0099062B" w:rsidRPr="005853B8">
        <w:rPr>
          <w:lang w:val="de-DE"/>
        </w:rPr>
        <w:t>erten Drogen</w:t>
      </w:r>
      <w:r w:rsidRPr="005853B8">
        <w:rPr>
          <w:lang w:val="de-DE"/>
        </w:rPr>
        <w:t xml:space="preserve">. </w:t>
      </w:r>
      <w:r w:rsidR="0099062B" w:rsidRPr="005853B8">
        <w:rPr>
          <w:lang w:val="de-DE"/>
        </w:rPr>
        <w:t xml:space="preserve">Dem gegenüber stehen allerdings neue Bedrohungen durch </w:t>
      </w:r>
      <w:r w:rsidRPr="005853B8">
        <w:rPr>
          <w:lang w:val="de-DE"/>
        </w:rPr>
        <w:t>syntheti</w:t>
      </w:r>
      <w:r w:rsidR="0099062B" w:rsidRPr="005853B8">
        <w:rPr>
          <w:lang w:val="de-DE"/>
        </w:rPr>
        <w:t>sche Drogen</w:t>
      </w:r>
      <w:r w:rsidR="004C6069" w:rsidRPr="005853B8">
        <w:rPr>
          <w:lang w:val="de-DE"/>
        </w:rPr>
        <w:t>,</w:t>
      </w:r>
      <w:r w:rsidRPr="005853B8">
        <w:rPr>
          <w:lang w:val="de-DE"/>
        </w:rPr>
        <w:t xml:space="preserve"> </w:t>
      </w:r>
      <w:r w:rsidR="0023109A">
        <w:rPr>
          <w:lang w:val="de-DE"/>
        </w:rPr>
        <w:t>inkl</w:t>
      </w:r>
      <w:r w:rsidR="00A67C58" w:rsidRPr="005853B8">
        <w:rPr>
          <w:lang w:val="de-DE"/>
        </w:rPr>
        <w:t>.</w:t>
      </w:r>
      <w:r w:rsidR="0099062B" w:rsidRPr="005853B8">
        <w:rPr>
          <w:lang w:val="de-DE"/>
        </w:rPr>
        <w:t xml:space="preserve"> S</w:t>
      </w:r>
      <w:r w:rsidRPr="005853B8">
        <w:rPr>
          <w:lang w:val="de-DE"/>
        </w:rPr>
        <w:t>timulan</w:t>
      </w:r>
      <w:r w:rsidR="0099062B" w:rsidRPr="005853B8">
        <w:rPr>
          <w:lang w:val="de-DE"/>
        </w:rPr>
        <w:t>zien</w:t>
      </w:r>
      <w:r w:rsidRPr="005853B8">
        <w:rPr>
          <w:lang w:val="de-DE"/>
        </w:rPr>
        <w:t>,</w:t>
      </w:r>
      <w:r w:rsidR="00F57E96">
        <w:rPr>
          <w:lang w:val="de-DE"/>
        </w:rPr>
        <w:t xml:space="preserve"> </w:t>
      </w:r>
      <w:r w:rsidR="0099062B" w:rsidRPr="005853B8">
        <w:rPr>
          <w:lang w:val="de-DE"/>
        </w:rPr>
        <w:t>neue</w:t>
      </w:r>
      <w:r w:rsidRPr="005853B8">
        <w:rPr>
          <w:lang w:val="de-DE"/>
        </w:rPr>
        <w:t xml:space="preserve"> psychoa</w:t>
      </w:r>
      <w:r w:rsidR="0099062B" w:rsidRPr="005853B8">
        <w:rPr>
          <w:lang w:val="de-DE"/>
        </w:rPr>
        <w:t>k</w:t>
      </w:r>
      <w:r w:rsidRPr="005853B8">
        <w:rPr>
          <w:lang w:val="de-DE"/>
        </w:rPr>
        <w:t xml:space="preserve">tive </w:t>
      </w:r>
      <w:r w:rsidR="0099062B" w:rsidRPr="005853B8">
        <w:rPr>
          <w:lang w:val="de-DE"/>
        </w:rPr>
        <w:t>S</w:t>
      </w:r>
      <w:r w:rsidRPr="005853B8">
        <w:rPr>
          <w:lang w:val="de-DE"/>
        </w:rPr>
        <w:t>ubstan</w:t>
      </w:r>
      <w:r w:rsidR="0099062B" w:rsidRPr="005853B8">
        <w:rPr>
          <w:lang w:val="de-DE"/>
        </w:rPr>
        <w:t>zen u</w:t>
      </w:r>
      <w:r w:rsidRPr="005853B8">
        <w:rPr>
          <w:lang w:val="de-DE"/>
        </w:rPr>
        <w:t xml:space="preserve">nd </w:t>
      </w:r>
      <w:r w:rsidR="0099062B" w:rsidRPr="005853B8">
        <w:rPr>
          <w:lang w:val="de-DE"/>
        </w:rPr>
        <w:t>Arzneimittel</w:t>
      </w:r>
      <w:r w:rsidRPr="005853B8">
        <w:rPr>
          <w:lang w:val="de-DE"/>
        </w:rPr>
        <w:t xml:space="preserve">, </w:t>
      </w:r>
      <w:r w:rsidR="0099062B" w:rsidRPr="005853B8">
        <w:rPr>
          <w:lang w:val="de-DE"/>
        </w:rPr>
        <w:t>die</w:t>
      </w:r>
      <w:r w:rsidR="00F57E96">
        <w:rPr>
          <w:lang w:val="de-DE"/>
        </w:rPr>
        <w:t xml:space="preserve"> </w:t>
      </w:r>
      <w:r w:rsidR="005878D6">
        <w:rPr>
          <w:lang w:val="de-DE"/>
        </w:rPr>
        <w:t>auf</w:t>
      </w:r>
      <w:r w:rsidRPr="005853B8">
        <w:rPr>
          <w:lang w:val="de-DE"/>
        </w:rPr>
        <w:t xml:space="preserve"> </w:t>
      </w:r>
      <w:r w:rsidR="0099062B" w:rsidRPr="005853B8">
        <w:rPr>
          <w:lang w:val="de-DE"/>
        </w:rPr>
        <w:t>einem im Wandel begriffenen e</w:t>
      </w:r>
      <w:r w:rsidRPr="005853B8">
        <w:rPr>
          <w:lang w:val="de-DE"/>
        </w:rPr>
        <w:t>urop</w:t>
      </w:r>
      <w:r w:rsidR="0099062B" w:rsidRPr="005853B8">
        <w:rPr>
          <w:lang w:val="de-DE"/>
        </w:rPr>
        <w:t>äischen Drogen</w:t>
      </w:r>
      <w:r w:rsidRPr="005853B8">
        <w:rPr>
          <w:lang w:val="de-DE"/>
        </w:rPr>
        <w:t>markt</w:t>
      </w:r>
      <w:r w:rsidR="0099062B" w:rsidRPr="005853B8">
        <w:rPr>
          <w:lang w:val="de-DE"/>
        </w:rPr>
        <w:t xml:space="preserve"> mehr und mehr an Bedeutung gewinnen</w:t>
      </w:r>
      <w:r w:rsidRPr="005853B8">
        <w:rPr>
          <w:lang w:val="de-DE"/>
        </w:rPr>
        <w:t>.</w:t>
      </w:r>
    </w:p>
    <w:p w:rsidR="00A16B77" w:rsidRPr="005853B8" w:rsidRDefault="0099062B" w:rsidP="003C2E9B">
      <w:pPr>
        <w:pStyle w:val="newsContent"/>
        <w:rPr>
          <w:lang w:val="de-DE"/>
        </w:rPr>
      </w:pPr>
      <w:r w:rsidRPr="005853B8">
        <w:rPr>
          <w:b/>
          <w:lang w:val="de-DE"/>
        </w:rPr>
        <w:t>Die EU-K</w:t>
      </w:r>
      <w:r w:rsidR="00307E11" w:rsidRPr="005853B8">
        <w:rPr>
          <w:b/>
          <w:lang w:val="de-DE"/>
        </w:rPr>
        <w:t>ommiss</w:t>
      </w:r>
      <w:r w:rsidRPr="005853B8">
        <w:rPr>
          <w:b/>
          <w:lang w:val="de-DE"/>
        </w:rPr>
        <w:t>arin</w:t>
      </w:r>
      <w:r w:rsidR="00307E11" w:rsidRPr="005853B8">
        <w:rPr>
          <w:b/>
          <w:lang w:val="de-DE"/>
        </w:rPr>
        <w:t xml:space="preserve"> </w:t>
      </w:r>
      <w:r w:rsidRPr="005853B8">
        <w:rPr>
          <w:b/>
          <w:lang w:val="de-DE"/>
        </w:rPr>
        <w:t>für Inneres,</w:t>
      </w:r>
      <w:r w:rsidR="00307E11" w:rsidRPr="005853B8">
        <w:rPr>
          <w:b/>
          <w:lang w:val="de-DE"/>
        </w:rPr>
        <w:t xml:space="preserve"> Cecilia Malmström</w:t>
      </w:r>
      <w:r w:rsidRPr="005853B8">
        <w:rPr>
          <w:lang w:val="de-DE"/>
        </w:rPr>
        <w:t>,</w:t>
      </w:r>
      <w:r w:rsidR="00307E11" w:rsidRPr="005853B8">
        <w:rPr>
          <w:lang w:val="de-DE"/>
        </w:rPr>
        <w:t xml:space="preserve"> </w:t>
      </w:r>
      <w:r w:rsidRPr="005853B8">
        <w:rPr>
          <w:lang w:val="de-DE"/>
        </w:rPr>
        <w:t xml:space="preserve">äußert sich </w:t>
      </w:r>
      <w:r w:rsidR="005878D6">
        <w:rPr>
          <w:lang w:val="de-DE"/>
        </w:rPr>
        <w:t xml:space="preserve">dazu </w:t>
      </w:r>
      <w:r w:rsidRPr="005853B8">
        <w:rPr>
          <w:lang w:val="de-DE"/>
        </w:rPr>
        <w:t>folgendermaßen</w:t>
      </w:r>
      <w:r w:rsidR="00307E11" w:rsidRPr="005853B8">
        <w:rPr>
          <w:lang w:val="de-DE"/>
        </w:rPr>
        <w:t xml:space="preserve">: </w:t>
      </w:r>
      <w:r w:rsidRPr="005853B8">
        <w:rPr>
          <w:lang w:val="de-DE"/>
        </w:rPr>
        <w:t>„</w:t>
      </w:r>
      <w:r w:rsidR="00307E11" w:rsidRPr="005853B8">
        <w:rPr>
          <w:lang w:val="de-DE"/>
        </w:rPr>
        <w:t>I</w:t>
      </w:r>
      <w:r w:rsidRPr="005853B8">
        <w:rPr>
          <w:lang w:val="de-DE"/>
        </w:rPr>
        <w:t xml:space="preserve">ch bin </w:t>
      </w:r>
      <w:r w:rsidR="009D1750">
        <w:rPr>
          <w:lang w:val="de-DE"/>
        </w:rPr>
        <w:t xml:space="preserve">                   </w:t>
      </w:r>
      <w:r w:rsidRPr="005853B8">
        <w:rPr>
          <w:lang w:val="de-DE"/>
        </w:rPr>
        <w:t xml:space="preserve">tief besorgt, dass die in </w:t>
      </w:r>
      <w:r w:rsidR="00307E11" w:rsidRPr="005853B8">
        <w:rPr>
          <w:lang w:val="de-DE"/>
        </w:rPr>
        <w:t>Europ</w:t>
      </w:r>
      <w:r w:rsidRPr="005853B8">
        <w:rPr>
          <w:lang w:val="de-DE"/>
        </w:rPr>
        <w:t>a</w:t>
      </w:r>
      <w:r w:rsidR="00307E11" w:rsidRPr="005853B8">
        <w:rPr>
          <w:lang w:val="de-DE"/>
        </w:rPr>
        <w:t xml:space="preserve"> </w:t>
      </w:r>
      <w:r w:rsidRPr="005853B8">
        <w:rPr>
          <w:lang w:val="de-DE"/>
        </w:rPr>
        <w:t>heute konsumierten Drogen möglicherweise die Gesundheit der Konsum</w:t>
      </w:r>
      <w:r w:rsidR="005878D6">
        <w:rPr>
          <w:lang w:val="de-DE"/>
        </w:rPr>
        <w:t>ierenden</w:t>
      </w:r>
      <w:r w:rsidRPr="005853B8">
        <w:rPr>
          <w:lang w:val="de-DE"/>
        </w:rPr>
        <w:t xml:space="preserve"> noch stärker schädigen könnten als</w:t>
      </w:r>
      <w:r w:rsidR="00F57E96">
        <w:rPr>
          <w:lang w:val="de-DE"/>
        </w:rPr>
        <w:t xml:space="preserve"> </w:t>
      </w:r>
      <w:r w:rsidRPr="005853B8">
        <w:rPr>
          <w:lang w:val="de-DE"/>
        </w:rPr>
        <w:t>früher</w:t>
      </w:r>
      <w:r w:rsidR="005878D6">
        <w:rPr>
          <w:lang w:val="de-DE"/>
        </w:rPr>
        <w:t>.</w:t>
      </w:r>
      <w:r w:rsidR="00F57E96">
        <w:rPr>
          <w:lang w:val="de-DE"/>
        </w:rPr>
        <w:t xml:space="preserve"> </w:t>
      </w:r>
      <w:r w:rsidRPr="005853B8">
        <w:rPr>
          <w:lang w:val="de-DE"/>
        </w:rPr>
        <w:t>Es gibt Anzeichen dafür, dass auf der Straße verkauftes E</w:t>
      </w:r>
      <w:r w:rsidR="00307E11" w:rsidRPr="005853B8">
        <w:rPr>
          <w:lang w:val="de-DE"/>
        </w:rPr>
        <w:t xml:space="preserve">cstasy </w:t>
      </w:r>
      <w:r w:rsidRPr="005853B8">
        <w:rPr>
          <w:lang w:val="de-DE"/>
        </w:rPr>
        <w:t>u</w:t>
      </w:r>
      <w:r w:rsidR="00307E11" w:rsidRPr="005853B8">
        <w:rPr>
          <w:lang w:val="de-DE"/>
        </w:rPr>
        <w:t xml:space="preserve">nd </w:t>
      </w:r>
      <w:r w:rsidRPr="005853B8">
        <w:rPr>
          <w:lang w:val="de-DE"/>
        </w:rPr>
        <w:t>C</w:t>
      </w:r>
      <w:r w:rsidR="00307E11" w:rsidRPr="005853B8">
        <w:rPr>
          <w:lang w:val="de-DE"/>
        </w:rPr>
        <w:t xml:space="preserve">annabis </w:t>
      </w:r>
      <w:r w:rsidRPr="005853B8">
        <w:rPr>
          <w:lang w:val="de-DE"/>
        </w:rPr>
        <w:t>st</w:t>
      </w:r>
      <w:r w:rsidR="004079AB" w:rsidRPr="005853B8">
        <w:rPr>
          <w:lang w:val="de-DE"/>
        </w:rPr>
        <w:t>ärker werden</w:t>
      </w:r>
      <w:r w:rsidR="00307E11" w:rsidRPr="005853B8">
        <w:rPr>
          <w:lang w:val="de-DE"/>
        </w:rPr>
        <w:t xml:space="preserve">. </w:t>
      </w:r>
      <w:r w:rsidR="004079AB" w:rsidRPr="005853B8">
        <w:rPr>
          <w:lang w:val="de-DE"/>
        </w:rPr>
        <w:t>Außerdem stelle ich fest, dass das europäische Frühwarnsystem</w:t>
      </w:r>
      <w:r w:rsidR="00307E11" w:rsidRPr="005853B8">
        <w:rPr>
          <w:lang w:val="de-DE"/>
        </w:rPr>
        <w:t xml:space="preserve">, </w:t>
      </w:r>
      <w:r w:rsidR="004079AB" w:rsidRPr="005853B8">
        <w:rPr>
          <w:lang w:val="de-DE"/>
        </w:rPr>
        <w:t xml:space="preserve">unsere erste </w:t>
      </w:r>
      <w:r w:rsidR="005878D6">
        <w:rPr>
          <w:lang w:val="de-DE"/>
        </w:rPr>
        <w:t>Abwehr</w:t>
      </w:r>
      <w:r w:rsidR="005878D6" w:rsidRPr="005853B8">
        <w:rPr>
          <w:lang w:val="de-DE"/>
        </w:rPr>
        <w:t xml:space="preserve">linie </w:t>
      </w:r>
      <w:r w:rsidR="004079AB" w:rsidRPr="005853B8">
        <w:rPr>
          <w:lang w:val="de-DE"/>
        </w:rPr>
        <w:t>gegen neue Drogen</w:t>
      </w:r>
      <w:r w:rsidR="00307E11" w:rsidRPr="005853B8">
        <w:rPr>
          <w:lang w:val="de-DE"/>
        </w:rPr>
        <w:t>,</w:t>
      </w:r>
      <w:r w:rsidR="00F57E96">
        <w:rPr>
          <w:lang w:val="de-DE"/>
        </w:rPr>
        <w:t xml:space="preserve"> </w:t>
      </w:r>
      <w:r w:rsidR="005878D6">
        <w:rPr>
          <w:lang w:val="de-DE"/>
        </w:rPr>
        <w:t>durch die</w:t>
      </w:r>
      <w:r w:rsidR="004079AB" w:rsidRPr="005853B8">
        <w:rPr>
          <w:lang w:val="de-DE"/>
        </w:rPr>
        <w:t xml:space="preserve"> weiterhin stark ansteigende Anzahl und </w:t>
      </w:r>
      <w:r w:rsidR="00930E37" w:rsidRPr="005853B8">
        <w:rPr>
          <w:lang w:val="de-DE"/>
        </w:rPr>
        <w:t>Vielfalt</w:t>
      </w:r>
      <w:r w:rsidR="004079AB" w:rsidRPr="005853B8">
        <w:rPr>
          <w:lang w:val="de-DE"/>
        </w:rPr>
        <w:t xml:space="preserve"> der Substanzen zunehmend unter Druck gerät</w:t>
      </w:r>
      <w:r w:rsidR="00307E11" w:rsidRPr="005853B8">
        <w:rPr>
          <w:lang w:val="de-DE"/>
        </w:rPr>
        <w:t xml:space="preserve">. </w:t>
      </w:r>
      <w:r w:rsidR="004079AB" w:rsidRPr="005853B8">
        <w:rPr>
          <w:lang w:val="de-DE"/>
        </w:rPr>
        <w:t>Mit</w:t>
      </w:r>
      <w:r w:rsidR="0030715A" w:rsidRPr="005853B8">
        <w:rPr>
          <w:lang w:val="de-DE"/>
        </w:rPr>
        <w:t>h</w:t>
      </w:r>
      <w:r w:rsidR="004079AB" w:rsidRPr="005853B8">
        <w:rPr>
          <w:lang w:val="de-DE"/>
        </w:rPr>
        <w:t>ilfe des S</w:t>
      </w:r>
      <w:r w:rsidR="00307E11" w:rsidRPr="005853B8">
        <w:rPr>
          <w:lang w:val="de-DE"/>
        </w:rPr>
        <w:t>ystem</w:t>
      </w:r>
      <w:r w:rsidR="004079AB" w:rsidRPr="005853B8">
        <w:rPr>
          <w:lang w:val="de-DE"/>
        </w:rPr>
        <w:t xml:space="preserve">s wurden </w:t>
      </w:r>
      <w:r w:rsidR="00104FCB">
        <w:rPr>
          <w:lang w:val="de-DE"/>
        </w:rPr>
        <w:t xml:space="preserve">in </w:t>
      </w:r>
      <w:r w:rsidR="004079AB" w:rsidRPr="005853B8">
        <w:rPr>
          <w:lang w:val="de-DE"/>
        </w:rPr>
        <w:t>diese</w:t>
      </w:r>
      <w:r w:rsidR="00104FCB">
        <w:rPr>
          <w:lang w:val="de-DE"/>
        </w:rPr>
        <w:t>m</w:t>
      </w:r>
      <w:r w:rsidR="004079AB" w:rsidRPr="005853B8">
        <w:rPr>
          <w:lang w:val="de-DE"/>
        </w:rPr>
        <w:t xml:space="preserve"> Jahr bereits vier neue S</w:t>
      </w:r>
      <w:r w:rsidR="00307E11" w:rsidRPr="005853B8">
        <w:rPr>
          <w:lang w:val="de-DE"/>
        </w:rPr>
        <w:t>ubstan</w:t>
      </w:r>
      <w:r w:rsidR="004079AB" w:rsidRPr="005853B8">
        <w:rPr>
          <w:lang w:val="de-DE"/>
        </w:rPr>
        <w:t>zen im Zusammenhang mit akuten I</w:t>
      </w:r>
      <w:r w:rsidR="00307E11" w:rsidRPr="005853B8">
        <w:rPr>
          <w:lang w:val="de-DE"/>
        </w:rPr>
        <w:t>ntoxi</w:t>
      </w:r>
      <w:r w:rsidR="004079AB" w:rsidRPr="005853B8">
        <w:rPr>
          <w:lang w:val="de-DE"/>
        </w:rPr>
        <w:t>k</w:t>
      </w:r>
      <w:r w:rsidR="00307E11" w:rsidRPr="005853B8">
        <w:rPr>
          <w:lang w:val="de-DE"/>
        </w:rPr>
        <w:t>ation</w:t>
      </w:r>
      <w:r w:rsidR="004079AB" w:rsidRPr="005853B8">
        <w:rPr>
          <w:lang w:val="de-DE"/>
        </w:rPr>
        <w:t>en u</w:t>
      </w:r>
      <w:r w:rsidR="00307E11" w:rsidRPr="005853B8">
        <w:rPr>
          <w:lang w:val="de-DE"/>
        </w:rPr>
        <w:t xml:space="preserve">nd </w:t>
      </w:r>
      <w:r w:rsidR="004079AB" w:rsidRPr="005853B8">
        <w:rPr>
          <w:lang w:val="de-DE"/>
        </w:rPr>
        <w:t>Todesfällen in den Mitgliedstaaten überprüft</w:t>
      </w:r>
      <w:r w:rsidR="00A67C58" w:rsidRPr="005853B8">
        <w:rPr>
          <w:lang w:val="de-DE"/>
        </w:rPr>
        <w:t>.</w:t>
      </w:r>
      <w:r w:rsidR="004079AB" w:rsidRPr="005853B8">
        <w:rPr>
          <w:lang w:val="de-DE"/>
        </w:rPr>
        <w:t>“</w:t>
      </w:r>
      <w:r w:rsidR="00307E11" w:rsidRPr="005853B8">
        <w:rPr>
          <w:lang w:val="de-DE"/>
        </w:rPr>
        <w:t xml:space="preserve"> </w:t>
      </w:r>
    </w:p>
    <w:p w:rsidR="00A16B77" w:rsidRPr="005853B8" w:rsidRDefault="004079AB" w:rsidP="003C2E9B">
      <w:pPr>
        <w:pStyle w:val="newsContent"/>
        <w:rPr>
          <w:lang w:val="de-DE"/>
        </w:rPr>
      </w:pPr>
      <w:r w:rsidRPr="005853B8">
        <w:rPr>
          <w:lang w:val="de-DE"/>
        </w:rPr>
        <w:t>„Die e</w:t>
      </w:r>
      <w:r w:rsidR="00307E11" w:rsidRPr="005853B8">
        <w:rPr>
          <w:lang w:val="de-DE"/>
        </w:rPr>
        <w:t>urop</w:t>
      </w:r>
      <w:r w:rsidRPr="005853B8">
        <w:rPr>
          <w:lang w:val="de-DE"/>
        </w:rPr>
        <w:t>äischen Strafverfolgungsbehörden sind immer häufiger mit der Tatsache konfrontiert, dass kleine</w:t>
      </w:r>
      <w:r w:rsidR="00307E11" w:rsidRPr="005853B8">
        <w:rPr>
          <w:lang w:val="de-DE"/>
        </w:rPr>
        <w:t xml:space="preserve">, </w:t>
      </w:r>
      <w:r w:rsidRPr="005853B8">
        <w:rPr>
          <w:lang w:val="de-DE"/>
        </w:rPr>
        <w:t xml:space="preserve">leicht zu </w:t>
      </w:r>
      <w:r w:rsidR="00307E11" w:rsidRPr="005853B8">
        <w:rPr>
          <w:lang w:val="de-DE"/>
        </w:rPr>
        <w:t>transport</w:t>
      </w:r>
      <w:r w:rsidRPr="005853B8">
        <w:rPr>
          <w:lang w:val="de-DE"/>
        </w:rPr>
        <w:t>ierende P</w:t>
      </w:r>
      <w:r w:rsidR="00307E11" w:rsidRPr="005853B8">
        <w:rPr>
          <w:lang w:val="de-DE"/>
        </w:rPr>
        <w:t>ack</w:t>
      </w:r>
      <w:r w:rsidRPr="005853B8">
        <w:rPr>
          <w:lang w:val="de-DE"/>
        </w:rPr>
        <w:t>ungen mit scheinbar harmlosem Pulver</w:t>
      </w:r>
      <w:r w:rsidR="00307E11" w:rsidRPr="005853B8">
        <w:rPr>
          <w:lang w:val="de-DE"/>
        </w:rPr>
        <w:t xml:space="preserve"> </w:t>
      </w:r>
      <w:r w:rsidRPr="005853B8">
        <w:rPr>
          <w:lang w:val="de-DE"/>
        </w:rPr>
        <w:t xml:space="preserve">viele </w:t>
      </w:r>
      <w:r w:rsidR="00104FCB">
        <w:rPr>
          <w:lang w:val="de-DE"/>
        </w:rPr>
        <w:t>t</w:t>
      </w:r>
      <w:r w:rsidRPr="005853B8">
        <w:rPr>
          <w:lang w:val="de-DE"/>
        </w:rPr>
        <w:t>ausend Einzeldosen enthalten“</w:t>
      </w:r>
      <w:r w:rsidR="00A67C58" w:rsidRPr="005853B8">
        <w:rPr>
          <w:lang w:val="de-DE"/>
        </w:rPr>
        <w:t>,</w:t>
      </w:r>
      <w:r w:rsidRPr="005853B8">
        <w:rPr>
          <w:lang w:val="de-DE"/>
        </w:rPr>
        <w:t xml:space="preserve"> fügt </w:t>
      </w:r>
      <w:r w:rsidRPr="005853B8">
        <w:rPr>
          <w:b/>
          <w:lang w:val="de-DE"/>
        </w:rPr>
        <w:t>Kommissarin Malmström</w:t>
      </w:r>
      <w:r w:rsidRPr="005853B8">
        <w:rPr>
          <w:lang w:val="de-DE"/>
        </w:rPr>
        <w:t xml:space="preserve"> hinzu</w:t>
      </w:r>
      <w:r w:rsidR="00307E11" w:rsidRPr="005853B8">
        <w:rPr>
          <w:lang w:val="de-DE"/>
        </w:rPr>
        <w:t xml:space="preserve">. </w:t>
      </w:r>
      <w:r w:rsidRPr="005853B8">
        <w:rPr>
          <w:lang w:val="de-DE"/>
        </w:rPr>
        <w:t xml:space="preserve">„Der vorliegende Jahresbericht der </w:t>
      </w:r>
      <w:r w:rsidR="00307E11" w:rsidRPr="005853B8">
        <w:rPr>
          <w:lang w:val="de-DE"/>
        </w:rPr>
        <w:t xml:space="preserve">EMCDDA </w:t>
      </w:r>
      <w:r w:rsidRPr="005853B8">
        <w:rPr>
          <w:lang w:val="de-DE"/>
        </w:rPr>
        <w:t xml:space="preserve">eröffnet uns enorm wichtige </w:t>
      </w:r>
      <w:r w:rsidR="00A67C58" w:rsidRPr="005853B8">
        <w:rPr>
          <w:lang w:val="de-DE"/>
        </w:rPr>
        <w:t>Ein</w:t>
      </w:r>
      <w:r w:rsidRPr="005853B8">
        <w:rPr>
          <w:lang w:val="de-DE"/>
        </w:rPr>
        <w:t>blicke</w:t>
      </w:r>
      <w:r w:rsidR="00104FCB">
        <w:rPr>
          <w:lang w:val="de-DE"/>
        </w:rPr>
        <w:t xml:space="preserve"> </w:t>
      </w:r>
      <w:r w:rsidR="00A67C58" w:rsidRPr="005853B8">
        <w:rPr>
          <w:lang w:val="de-DE"/>
        </w:rPr>
        <w:t>in</w:t>
      </w:r>
      <w:r w:rsidRPr="005853B8">
        <w:rPr>
          <w:lang w:val="de-DE"/>
        </w:rPr>
        <w:t xml:space="preserve"> </w:t>
      </w:r>
      <w:r w:rsidR="00621DCE" w:rsidRPr="005853B8">
        <w:rPr>
          <w:lang w:val="de-DE"/>
        </w:rPr>
        <w:t xml:space="preserve">die </w:t>
      </w:r>
      <w:r w:rsidR="00104FCB">
        <w:rPr>
          <w:lang w:val="de-DE"/>
        </w:rPr>
        <w:t>Entwicklung der Drogenp</w:t>
      </w:r>
      <w:r w:rsidR="00621DCE" w:rsidRPr="005853B8">
        <w:rPr>
          <w:lang w:val="de-DE"/>
        </w:rPr>
        <w:t>roblematik</w:t>
      </w:r>
      <w:r w:rsidR="00F57E96">
        <w:rPr>
          <w:lang w:val="de-DE"/>
        </w:rPr>
        <w:t xml:space="preserve"> </w:t>
      </w:r>
      <w:r w:rsidR="00621DCE" w:rsidRPr="005853B8">
        <w:rPr>
          <w:lang w:val="de-DE"/>
        </w:rPr>
        <w:t xml:space="preserve">in </w:t>
      </w:r>
      <w:r w:rsidR="00307E11" w:rsidRPr="005853B8">
        <w:rPr>
          <w:lang w:val="de-DE"/>
        </w:rPr>
        <w:t>Europ</w:t>
      </w:r>
      <w:r w:rsidR="00621DCE" w:rsidRPr="005853B8">
        <w:rPr>
          <w:lang w:val="de-DE"/>
        </w:rPr>
        <w:t>a</w:t>
      </w:r>
      <w:r w:rsidR="00307E11" w:rsidRPr="005853B8">
        <w:rPr>
          <w:lang w:val="de-DE"/>
        </w:rPr>
        <w:t xml:space="preserve">. </w:t>
      </w:r>
      <w:r w:rsidR="00621DCE" w:rsidRPr="005853B8">
        <w:rPr>
          <w:lang w:val="de-DE"/>
        </w:rPr>
        <w:t>Aber diese I</w:t>
      </w:r>
      <w:r w:rsidR="00307E11" w:rsidRPr="005853B8">
        <w:rPr>
          <w:lang w:val="de-DE"/>
        </w:rPr>
        <w:t>nformation</w:t>
      </w:r>
      <w:r w:rsidR="00621DCE" w:rsidRPr="005853B8">
        <w:rPr>
          <w:lang w:val="de-DE"/>
        </w:rPr>
        <w:t xml:space="preserve">en müssen nun </w:t>
      </w:r>
      <w:r w:rsidR="007216DE" w:rsidRPr="005853B8">
        <w:rPr>
          <w:lang w:val="de-DE"/>
        </w:rPr>
        <w:t xml:space="preserve">Eingang </w:t>
      </w:r>
      <w:r w:rsidR="00621DCE" w:rsidRPr="005853B8">
        <w:rPr>
          <w:lang w:val="de-DE"/>
        </w:rPr>
        <w:t>in Strafverfolgung, Präv</w:t>
      </w:r>
      <w:r w:rsidR="00307E11" w:rsidRPr="005853B8">
        <w:rPr>
          <w:lang w:val="de-DE"/>
        </w:rPr>
        <w:t xml:space="preserve">ention </w:t>
      </w:r>
      <w:r w:rsidR="00621DCE" w:rsidRPr="005853B8">
        <w:rPr>
          <w:lang w:val="de-DE"/>
        </w:rPr>
        <w:t>u</w:t>
      </w:r>
      <w:r w:rsidR="00307E11" w:rsidRPr="005853B8">
        <w:rPr>
          <w:lang w:val="de-DE"/>
        </w:rPr>
        <w:t xml:space="preserve">nd </w:t>
      </w:r>
      <w:r w:rsidR="00621DCE" w:rsidRPr="005853B8">
        <w:rPr>
          <w:lang w:val="de-DE"/>
        </w:rPr>
        <w:t>Behandlung finden</w:t>
      </w:r>
      <w:r w:rsidR="00307E11" w:rsidRPr="005853B8">
        <w:rPr>
          <w:lang w:val="de-DE"/>
        </w:rPr>
        <w:t xml:space="preserve">. </w:t>
      </w:r>
      <w:r w:rsidR="00621DCE" w:rsidRPr="005853B8">
        <w:rPr>
          <w:lang w:val="de-DE"/>
        </w:rPr>
        <w:t>Es ist von entscheidender Bedeutung, dass</w:t>
      </w:r>
      <w:r w:rsidR="00307E11" w:rsidRPr="005853B8">
        <w:rPr>
          <w:lang w:val="de-DE"/>
        </w:rPr>
        <w:t xml:space="preserve"> w</w:t>
      </w:r>
      <w:r w:rsidR="00621DCE" w:rsidRPr="005853B8">
        <w:rPr>
          <w:lang w:val="de-DE"/>
        </w:rPr>
        <w:t>ir diese Daten nutzen</w:t>
      </w:r>
      <w:r w:rsidR="00512268" w:rsidRPr="005853B8">
        <w:rPr>
          <w:lang w:val="de-DE"/>
        </w:rPr>
        <w:t>,</w:t>
      </w:r>
      <w:r w:rsidR="00621DCE" w:rsidRPr="005853B8">
        <w:rPr>
          <w:lang w:val="de-DE"/>
        </w:rPr>
        <w:t xml:space="preserve"> um sicherzustellen, dass die Maßnahmen der eur</w:t>
      </w:r>
      <w:r w:rsidR="00307E11" w:rsidRPr="005853B8">
        <w:rPr>
          <w:lang w:val="de-DE"/>
        </w:rPr>
        <w:t>op</w:t>
      </w:r>
      <w:r w:rsidR="00621DCE" w:rsidRPr="005853B8">
        <w:rPr>
          <w:lang w:val="de-DE"/>
        </w:rPr>
        <w:t>äischen Behörden mit</w:t>
      </w:r>
      <w:r w:rsidR="002406E7">
        <w:rPr>
          <w:lang w:val="de-DE"/>
        </w:rPr>
        <w:t xml:space="preserve"> den neuen Herausforderungen, </w:t>
      </w:r>
      <w:r w:rsidR="00621DCE" w:rsidRPr="005853B8">
        <w:rPr>
          <w:lang w:val="de-DE"/>
        </w:rPr>
        <w:t>Schritt halten</w:t>
      </w:r>
      <w:r w:rsidR="00A67C58" w:rsidRPr="005853B8">
        <w:rPr>
          <w:lang w:val="de-DE"/>
        </w:rPr>
        <w:t>.</w:t>
      </w:r>
      <w:r w:rsidR="00621DCE" w:rsidRPr="005853B8">
        <w:rPr>
          <w:lang w:val="de-DE"/>
        </w:rPr>
        <w:t>“</w:t>
      </w:r>
    </w:p>
    <w:p w:rsidR="008B76B8" w:rsidRDefault="00621DCE" w:rsidP="008B76B8">
      <w:pPr>
        <w:pStyle w:val="newsContent"/>
        <w:ind w:right="-144"/>
        <w:rPr>
          <w:lang w:val="de-DE"/>
        </w:rPr>
      </w:pPr>
      <w:r w:rsidRPr="005853B8">
        <w:rPr>
          <w:b/>
          <w:lang w:val="de-DE"/>
        </w:rPr>
        <w:t>Der</w:t>
      </w:r>
      <w:r w:rsidR="00916143" w:rsidRPr="005853B8">
        <w:rPr>
          <w:b/>
          <w:lang w:val="de-DE"/>
        </w:rPr>
        <w:t xml:space="preserve"> Direktor</w:t>
      </w:r>
      <w:r w:rsidRPr="005853B8">
        <w:rPr>
          <w:b/>
          <w:lang w:val="de-DE"/>
        </w:rPr>
        <w:t xml:space="preserve"> der </w:t>
      </w:r>
      <w:r w:rsidR="00307E11" w:rsidRPr="005853B8">
        <w:rPr>
          <w:b/>
          <w:lang w:val="de-DE"/>
        </w:rPr>
        <w:t>EMCDDA</w:t>
      </w:r>
      <w:r w:rsidRPr="005853B8">
        <w:rPr>
          <w:b/>
          <w:lang w:val="de-DE"/>
        </w:rPr>
        <w:t xml:space="preserve">, </w:t>
      </w:r>
      <w:r w:rsidR="00307E11" w:rsidRPr="005853B8">
        <w:rPr>
          <w:b/>
          <w:lang w:val="de-DE"/>
        </w:rPr>
        <w:t>Wolfgang Götz</w:t>
      </w:r>
      <w:r w:rsidRPr="005853B8">
        <w:rPr>
          <w:lang w:val="de-DE"/>
        </w:rPr>
        <w:t>,</w:t>
      </w:r>
      <w:r w:rsidR="00307E11" w:rsidRPr="005853B8">
        <w:rPr>
          <w:lang w:val="de-DE"/>
        </w:rPr>
        <w:t xml:space="preserve"> </w:t>
      </w:r>
      <w:r w:rsidRPr="005853B8">
        <w:rPr>
          <w:lang w:val="de-DE"/>
        </w:rPr>
        <w:t>erläutert</w:t>
      </w:r>
      <w:r w:rsidR="00307E11" w:rsidRPr="005853B8">
        <w:rPr>
          <w:lang w:val="de-DE"/>
        </w:rPr>
        <w:t xml:space="preserve">: </w:t>
      </w:r>
      <w:r w:rsidRPr="005853B8">
        <w:rPr>
          <w:lang w:val="de-DE"/>
        </w:rPr>
        <w:t xml:space="preserve">„Bei der Betrachtung des „Gesamtbildes“ sind Fortschritte bei verschiedenen zentralen Zielsetzungen der bisherigen Gesundheitspolitik </w:t>
      </w:r>
      <w:r w:rsidR="001B0E03">
        <w:rPr>
          <w:lang w:val="de-DE"/>
        </w:rPr>
        <w:t xml:space="preserve">in Europa </w:t>
      </w:r>
      <w:r w:rsidRPr="005853B8">
        <w:rPr>
          <w:lang w:val="de-DE"/>
        </w:rPr>
        <w:t>erkennbar.</w:t>
      </w:r>
      <w:r w:rsidR="00307E11" w:rsidRPr="005853B8">
        <w:rPr>
          <w:lang w:val="de-DE"/>
        </w:rPr>
        <w:t xml:space="preserve"> </w:t>
      </w:r>
      <w:r w:rsidR="007216DE">
        <w:rPr>
          <w:lang w:val="de-DE"/>
        </w:rPr>
        <w:t>Allerdings kann d</w:t>
      </w:r>
      <w:r w:rsidRPr="005853B8">
        <w:rPr>
          <w:lang w:val="de-DE"/>
        </w:rPr>
        <w:t xml:space="preserve">ie </w:t>
      </w:r>
      <w:r w:rsidR="00396C3B">
        <w:rPr>
          <w:lang w:val="de-DE"/>
        </w:rPr>
        <w:t xml:space="preserve">europäische Perspektive </w:t>
      </w:r>
      <w:r w:rsidRPr="005853B8">
        <w:rPr>
          <w:lang w:val="de-DE"/>
        </w:rPr>
        <w:t>den Blick auf erhebliche Unterschiede zwischen den einzelnen Ländern verstellen. Unsere neuesten Daten belegen, inwieweit ermutigende gesamt</w:t>
      </w:r>
      <w:r w:rsidR="008B76B8">
        <w:rPr>
          <w:lang w:val="de-DE"/>
        </w:rPr>
        <w:t>-</w:t>
      </w:r>
      <w:r w:rsidRPr="005853B8">
        <w:rPr>
          <w:lang w:val="de-DE"/>
        </w:rPr>
        <w:t xml:space="preserve">europäische Trends, etwa in Bezug auf Todesfälle durch Überdosis und drogenbedingte HIV-Infektionen, in scharfem Kontrast zu besorgniserregenden Entwicklungen in bestimmten </w:t>
      </w:r>
      <w:r w:rsidR="00396C3B">
        <w:rPr>
          <w:lang w:val="de-DE"/>
        </w:rPr>
        <w:t>Mitgliedstaaten</w:t>
      </w:r>
      <w:r w:rsidR="00F57E96">
        <w:rPr>
          <w:lang w:val="de-DE"/>
        </w:rPr>
        <w:t xml:space="preserve"> </w:t>
      </w:r>
      <w:r w:rsidRPr="005853B8">
        <w:rPr>
          <w:lang w:val="de-DE"/>
        </w:rPr>
        <w:t>stehen</w:t>
      </w:r>
      <w:r w:rsidR="00307E11" w:rsidRPr="005853B8">
        <w:rPr>
          <w:lang w:val="de-DE"/>
        </w:rPr>
        <w:t>.</w:t>
      </w:r>
      <w:r w:rsidRPr="005853B8">
        <w:rPr>
          <w:lang w:val="de-DE"/>
        </w:rPr>
        <w:t>“</w:t>
      </w:r>
      <w:r w:rsidR="00307E11" w:rsidRPr="005853B8">
        <w:rPr>
          <w:lang w:val="de-DE"/>
        </w:rPr>
        <w:t xml:space="preserve"> </w:t>
      </w:r>
    </w:p>
    <w:p w:rsidR="00307E11" w:rsidRPr="005853B8" w:rsidRDefault="00621DCE" w:rsidP="008B76B8">
      <w:pPr>
        <w:pStyle w:val="newsContent"/>
        <w:ind w:right="-144"/>
        <w:rPr>
          <w:lang w:val="de-DE"/>
        </w:rPr>
      </w:pPr>
      <w:r w:rsidRPr="005853B8">
        <w:rPr>
          <w:lang w:val="de-DE"/>
        </w:rPr>
        <w:t>Vor d</w:t>
      </w:r>
      <w:r w:rsidR="00396C3B">
        <w:rPr>
          <w:lang w:val="de-DE"/>
        </w:rPr>
        <w:t>ies</w:t>
      </w:r>
      <w:r w:rsidRPr="005853B8">
        <w:rPr>
          <w:lang w:val="de-DE"/>
        </w:rPr>
        <w:t xml:space="preserve">em </w:t>
      </w:r>
      <w:r w:rsidR="00396C3B">
        <w:rPr>
          <w:lang w:val="de-DE"/>
        </w:rPr>
        <w:t xml:space="preserve">komplexen </w:t>
      </w:r>
      <w:r w:rsidRPr="005853B8">
        <w:rPr>
          <w:lang w:val="de-DE"/>
        </w:rPr>
        <w:t>Hintergrund</w:t>
      </w:r>
      <w:r w:rsidR="00F57E96">
        <w:rPr>
          <w:lang w:val="de-DE"/>
        </w:rPr>
        <w:t xml:space="preserve"> </w:t>
      </w:r>
      <w:r w:rsidR="00396C3B">
        <w:rPr>
          <w:lang w:val="de-DE"/>
        </w:rPr>
        <w:t>liefert</w:t>
      </w:r>
      <w:r w:rsidR="00F57E96">
        <w:rPr>
          <w:lang w:val="de-DE"/>
        </w:rPr>
        <w:t xml:space="preserve"> </w:t>
      </w:r>
      <w:r w:rsidRPr="005853B8">
        <w:rPr>
          <w:lang w:val="de-DE"/>
        </w:rPr>
        <w:t>der vorliegende Bericht einen</w:t>
      </w:r>
      <w:r w:rsidR="001B0E03">
        <w:rPr>
          <w:lang w:val="de-DE"/>
        </w:rPr>
        <w:t xml:space="preserve"> top-level</w:t>
      </w:r>
      <w:r w:rsidRPr="005853B8">
        <w:rPr>
          <w:lang w:val="de-DE"/>
        </w:rPr>
        <w:t xml:space="preserve"> Überblick über die langfristigen Trends und Entwicklungen in Europa und </w:t>
      </w:r>
      <w:r w:rsidR="008E4B3A">
        <w:rPr>
          <w:lang w:val="de-DE"/>
        </w:rPr>
        <w:t>behandelt</w:t>
      </w:r>
      <w:r w:rsidR="00396C3B">
        <w:rPr>
          <w:lang w:val="de-DE"/>
        </w:rPr>
        <w:t xml:space="preserve"> dabei </w:t>
      </w:r>
      <w:r w:rsidR="008E4B3A">
        <w:rPr>
          <w:lang w:val="de-DE"/>
        </w:rPr>
        <w:t xml:space="preserve">auch </w:t>
      </w:r>
      <w:r w:rsidRPr="005853B8">
        <w:rPr>
          <w:lang w:val="de-DE"/>
        </w:rPr>
        <w:t>aufkommende Probleme in einigen Ländern</w:t>
      </w:r>
      <w:r w:rsidR="00307E11" w:rsidRPr="005853B8">
        <w:rPr>
          <w:lang w:val="de-DE"/>
        </w:rPr>
        <w:t>.</w:t>
      </w:r>
    </w:p>
    <w:p w:rsidR="00A16B77" w:rsidRPr="005853B8" w:rsidRDefault="00D67C19" w:rsidP="003C2E9B">
      <w:pPr>
        <w:pStyle w:val="newsContent"/>
        <w:rPr>
          <w:b/>
          <w:lang w:val="de-DE"/>
        </w:rPr>
      </w:pPr>
      <w:r w:rsidRPr="005853B8">
        <w:rPr>
          <w:b/>
          <w:lang w:val="de-DE"/>
        </w:rPr>
        <w:lastRenderedPageBreak/>
        <w:t>Heroin rückläufig, Ersatzstoffe geben jedoch Anlass zu Besorgnis</w:t>
      </w:r>
    </w:p>
    <w:p w:rsidR="00A16B77" w:rsidRPr="005853B8" w:rsidRDefault="00307E11" w:rsidP="00AD6931">
      <w:pPr>
        <w:pStyle w:val="newsContent"/>
        <w:ind w:right="-144"/>
        <w:rPr>
          <w:lang w:val="de-DE"/>
        </w:rPr>
      </w:pPr>
      <w:r w:rsidRPr="005853B8">
        <w:rPr>
          <w:lang w:val="de-DE"/>
        </w:rPr>
        <w:t>A</w:t>
      </w:r>
      <w:r w:rsidR="00D67C19" w:rsidRPr="005853B8">
        <w:rPr>
          <w:lang w:val="de-DE"/>
        </w:rPr>
        <w:t xml:space="preserve">uch wenn die Heroinproduktion weltweit weiterhin auf hohem Niveau </w:t>
      </w:r>
      <w:r w:rsidR="008E4B3A">
        <w:rPr>
          <w:lang w:val="de-DE"/>
        </w:rPr>
        <w:t xml:space="preserve">bleibt </w:t>
      </w:r>
      <w:r w:rsidR="00D67C19" w:rsidRPr="005853B8">
        <w:rPr>
          <w:lang w:val="de-DE"/>
        </w:rPr>
        <w:t xml:space="preserve">und die </w:t>
      </w:r>
      <w:r w:rsidR="008E4B3A">
        <w:rPr>
          <w:lang w:val="de-DE"/>
        </w:rPr>
        <w:t xml:space="preserve">in der </w:t>
      </w:r>
      <w:r w:rsidR="007251E1" w:rsidRPr="00224F85">
        <w:rPr>
          <w:b/>
          <w:lang w:val="de-DE"/>
        </w:rPr>
        <w:t>Türkei</w:t>
      </w:r>
      <w:r w:rsidR="008E4B3A">
        <w:rPr>
          <w:lang w:val="de-DE"/>
        </w:rPr>
        <w:t xml:space="preserve"> sichergestellten Mengen </w:t>
      </w:r>
      <w:r w:rsidR="00D67C19" w:rsidRPr="005853B8">
        <w:rPr>
          <w:lang w:val="de-DE"/>
        </w:rPr>
        <w:t>zugenommen haben</w:t>
      </w:r>
      <w:r w:rsidRPr="005853B8">
        <w:rPr>
          <w:lang w:val="de-DE"/>
        </w:rPr>
        <w:t xml:space="preserve"> (</w:t>
      </w:r>
      <w:r w:rsidR="00D67C19" w:rsidRPr="005853B8">
        <w:rPr>
          <w:lang w:val="de-DE"/>
        </w:rPr>
        <w:t>Abbildungen</w:t>
      </w:r>
      <w:r w:rsidRPr="005853B8">
        <w:rPr>
          <w:lang w:val="de-DE"/>
        </w:rPr>
        <w:t xml:space="preserve"> 1.4</w:t>
      </w:r>
      <w:r w:rsidR="00D67C19" w:rsidRPr="005853B8">
        <w:rPr>
          <w:lang w:val="de-DE"/>
        </w:rPr>
        <w:t>,</w:t>
      </w:r>
      <w:r w:rsidRPr="005853B8">
        <w:rPr>
          <w:lang w:val="de-DE"/>
        </w:rPr>
        <w:t xml:space="preserve"> 1.5), </w:t>
      </w:r>
      <w:r w:rsidR="00D67C19" w:rsidRPr="005853B8">
        <w:rPr>
          <w:lang w:val="de-DE"/>
        </w:rPr>
        <w:t>zeigen die aktuellen Daten zur Nachfrage nach Behandlungen u</w:t>
      </w:r>
      <w:r w:rsidRPr="005853B8">
        <w:rPr>
          <w:lang w:val="de-DE"/>
        </w:rPr>
        <w:t xml:space="preserve">nd </w:t>
      </w:r>
      <w:r w:rsidR="00D67C19" w:rsidRPr="005853B8">
        <w:rPr>
          <w:lang w:val="de-DE"/>
        </w:rPr>
        <w:t xml:space="preserve">zu Sicherstellungen in </w:t>
      </w:r>
      <w:r w:rsidRPr="005853B8">
        <w:rPr>
          <w:lang w:val="de-DE"/>
        </w:rPr>
        <w:t>Europ</w:t>
      </w:r>
      <w:r w:rsidR="00D67C19" w:rsidRPr="005853B8">
        <w:rPr>
          <w:lang w:val="de-DE"/>
        </w:rPr>
        <w:t>a</w:t>
      </w:r>
      <w:r w:rsidRPr="005853B8">
        <w:rPr>
          <w:lang w:val="de-DE"/>
        </w:rPr>
        <w:t xml:space="preserve"> </w:t>
      </w:r>
      <w:r w:rsidR="00D67C19" w:rsidRPr="005853B8">
        <w:rPr>
          <w:lang w:val="de-DE"/>
        </w:rPr>
        <w:t>einen rückläufigen T</w:t>
      </w:r>
      <w:r w:rsidRPr="005853B8">
        <w:rPr>
          <w:lang w:val="de-DE"/>
        </w:rPr>
        <w:t xml:space="preserve">rend </w:t>
      </w:r>
      <w:r w:rsidR="00D67C19" w:rsidRPr="005853B8">
        <w:rPr>
          <w:lang w:val="de-DE"/>
        </w:rPr>
        <w:t>bezüglich des Konsums und der Verfügbarkeit d</w:t>
      </w:r>
      <w:r w:rsidR="008E4B3A">
        <w:rPr>
          <w:lang w:val="de-DE"/>
        </w:rPr>
        <w:t>ieser</w:t>
      </w:r>
      <w:r w:rsidR="00D67C19" w:rsidRPr="005853B8">
        <w:rPr>
          <w:lang w:val="de-DE"/>
        </w:rPr>
        <w:t xml:space="preserve"> Droge.</w:t>
      </w:r>
      <w:r w:rsidRPr="005853B8">
        <w:rPr>
          <w:lang w:val="de-DE"/>
        </w:rPr>
        <w:t xml:space="preserve"> </w:t>
      </w:r>
      <w:r w:rsidR="00D67C19" w:rsidRPr="005853B8">
        <w:rPr>
          <w:lang w:val="de-DE"/>
        </w:rPr>
        <w:t>Die Gesamtzahl der Patienten, die sich aufgrund von Heroinkonsum erstmals in eine spezialisierte Drogentherapie begab</w:t>
      </w:r>
      <w:r w:rsidR="00A67C58" w:rsidRPr="005853B8">
        <w:rPr>
          <w:lang w:val="de-DE"/>
        </w:rPr>
        <w:t>en</w:t>
      </w:r>
      <w:r w:rsidR="00D67C19" w:rsidRPr="005853B8">
        <w:rPr>
          <w:lang w:val="de-DE"/>
        </w:rPr>
        <w:t xml:space="preserve">, sank von einem Spitzenwert von </w:t>
      </w:r>
      <w:r w:rsidRPr="005853B8">
        <w:rPr>
          <w:lang w:val="de-DE"/>
        </w:rPr>
        <w:t>59</w:t>
      </w:r>
      <w:r w:rsidR="00930E37" w:rsidRPr="005853B8">
        <w:rPr>
          <w:lang w:val="de-DE"/>
        </w:rPr>
        <w:t> </w:t>
      </w:r>
      <w:r w:rsidRPr="005853B8">
        <w:rPr>
          <w:lang w:val="de-DE"/>
        </w:rPr>
        <w:t xml:space="preserve">000 </w:t>
      </w:r>
      <w:r w:rsidR="0034186C" w:rsidRPr="005853B8">
        <w:rPr>
          <w:lang w:val="de-DE"/>
        </w:rPr>
        <w:t>im Jahr </w:t>
      </w:r>
      <w:r w:rsidRPr="005853B8">
        <w:rPr>
          <w:lang w:val="de-DE"/>
        </w:rPr>
        <w:t xml:space="preserve">2007 </w:t>
      </w:r>
      <w:r w:rsidR="00D67C19" w:rsidRPr="005853B8">
        <w:rPr>
          <w:lang w:val="de-DE"/>
        </w:rPr>
        <w:t>auf</w:t>
      </w:r>
      <w:r w:rsidRPr="005853B8">
        <w:rPr>
          <w:lang w:val="de-DE"/>
        </w:rPr>
        <w:t xml:space="preserve"> 31</w:t>
      </w:r>
      <w:r w:rsidR="00930E37" w:rsidRPr="005853B8">
        <w:rPr>
          <w:lang w:val="de-DE"/>
        </w:rPr>
        <w:t> </w:t>
      </w:r>
      <w:r w:rsidRPr="005853B8">
        <w:rPr>
          <w:lang w:val="de-DE"/>
        </w:rPr>
        <w:t>000 i</w:t>
      </w:r>
      <w:r w:rsidR="00D67C19" w:rsidRPr="005853B8">
        <w:rPr>
          <w:lang w:val="de-DE"/>
        </w:rPr>
        <w:t xml:space="preserve">m </w:t>
      </w:r>
      <w:r w:rsidR="0034186C" w:rsidRPr="005853B8">
        <w:rPr>
          <w:lang w:val="de-DE"/>
        </w:rPr>
        <w:t>Jahr </w:t>
      </w:r>
      <w:r w:rsidRPr="005853B8">
        <w:rPr>
          <w:lang w:val="de-DE"/>
        </w:rPr>
        <w:t>2012. Dat</w:t>
      </w:r>
      <w:r w:rsidR="00D67C19" w:rsidRPr="005853B8">
        <w:rPr>
          <w:lang w:val="de-DE"/>
        </w:rPr>
        <w:t xml:space="preserve">en über die Verfügbarkeit der Droge zeigen, dass die 2012 sichergestellte </w:t>
      </w:r>
      <w:r w:rsidR="00E60755" w:rsidRPr="005853B8">
        <w:rPr>
          <w:lang w:val="de-DE"/>
        </w:rPr>
        <w:t>Heroinm</w:t>
      </w:r>
      <w:r w:rsidR="00D67C19" w:rsidRPr="005853B8">
        <w:rPr>
          <w:lang w:val="de-DE"/>
        </w:rPr>
        <w:t>enge</w:t>
      </w:r>
      <w:r w:rsidRPr="005853B8">
        <w:rPr>
          <w:lang w:val="de-DE"/>
        </w:rPr>
        <w:t xml:space="preserve"> (5</w:t>
      </w:r>
      <w:r w:rsidR="00D67C19" w:rsidRPr="005853B8">
        <w:rPr>
          <w:lang w:val="de-DE"/>
        </w:rPr>
        <w:t> T</w:t>
      </w:r>
      <w:r w:rsidRPr="005853B8">
        <w:rPr>
          <w:lang w:val="de-DE"/>
        </w:rPr>
        <w:t>onne</w:t>
      </w:r>
      <w:r w:rsidR="00D67C19" w:rsidRPr="005853B8">
        <w:rPr>
          <w:lang w:val="de-DE"/>
        </w:rPr>
        <w:t>n</w:t>
      </w:r>
      <w:r w:rsidRPr="005853B8">
        <w:rPr>
          <w:lang w:val="de-DE"/>
        </w:rPr>
        <w:t xml:space="preserve">) </w:t>
      </w:r>
      <w:r w:rsidR="00E60755" w:rsidRPr="005853B8">
        <w:rPr>
          <w:lang w:val="de-DE"/>
        </w:rPr>
        <w:t xml:space="preserve">die niedrigste </w:t>
      </w:r>
      <w:r w:rsidR="0049728B" w:rsidRPr="005853B8">
        <w:rPr>
          <w:lang w:val="de-DE"/>
        </w:rPr>
        <w:t>gemeldet</w:t>
      </w:r>
      <w:r w:rsidR="00E60755" w:rsidRPr="005853B8">
        <w:rPr>
          <w:lang w:val="de-DE"/>
        </w:rPr>
        <w:t>e Menge im vergangenen Jahrzehnt war und sich gegenüber</w:t>
      </w:r>
      <w:r w:rsidRPr="005853B8">
        <w:rPr>
          <w:lang w:val="de-DE"/>
        </w:rPr>
        <w:t xml:space="preserve"> </w:t>
      </w:r>
      <w:r w:rsidR="00EF4354" w:rsidRPr="005853B8">
        <w:rPr>
          <w:lang w:val="de-DE"/>
        </w:rPr>
        <w:t>2002 (10</w:t>
      </w:r>
      <w:r w:rsidR="00E60755" w:rsidRPr="005853B8">
        <w:rPr>
          <w:lang w:val="de-DE"/>
        </w:rPr>
        <w:t> T</w:t>
      </w:r>
      <w:r w:rsidR="00EF4354" w:rsidRPr="005853B8">
        <w:rPr>
          <w:lang w:val="de-DE"/>
        </w:rPr>
        <w:t>onne</w:t>
      </w:r>
      <w:r w:rsidR="00E60755" w:rsidRPr="005853B8">
        <w:rPr>
          <w:lang w:val="de-DE"/>
        </w:rPr>
        <w:t>n</w:t>
      </w:r>
      <w:r w:rsidR="00EF4354" w:rsidRPr="005853B8">
        <w:rPr>
          <w:lang w:val="de-DE"/>
        </w:rPr>
        <w:t>)</w:t>
      </w:r>
      <w:r w:rsidR="00E60755" w:rsidRPr="005853B8">
        <w:rPr>
          <w:lang w:val="de-DE"/>
        </w:rPr>
        <w:t xml:space="preserve"> halbiert hat</w:t>
      </w:r>
      <w:r w:rsidR="00EF4354" w:rsidRPr="005853B8">
        <w:rPr>
          <w:lang w:val="de-DE"/>
        </w:rPr>
        <w:t xml:space="preserve">. </w:t>
      </w:r>
      <w:r w:rsidR="00E60755" w:rsidRPr="005853B8">
        <w:rPr>
          <w:lang w:val="de-DE"/>
        </w:rPr>
        <w:t>Die Zahl der Sicherstellungen von H</w:t>
      </w:r>
      <w:r w:rsidRPr="005853B8">
        <w:rPr>
          <w:lang w:val="de-DE"/>
        </w:rPr>
        <w:t xml:space="preserve">eroin </w:t>
      </w:r>
      <w:r w:rsidR="00E60755" w:rsidRPr="005853B8">
        <w:rPr>
          <w:lang w:val="de-DE"/>
        </w:rPr>
        <w:t>fiel ebenfalls von ca.</w:t>
      </w:r>
      <w:r w:rsidR="00A67C58" w:rsidRPr="005853B8">
        <w:rPr>
          <w:lang w:val="de-DE"/>
        </w:rPr>
        <w:t> </w:t>
      </w:r>
      <w:r w:rsidRPr="005853B8">
        <w:rPr>
          <w:lang w:val="de-DE"/>
        </w:rPr>
        <w:t>50</w:t>
      </w:r>
      <w:r w:rsidR="00930E37" w:rsidRPr="005853B8">
        <w:rPr>
          <w:lang w:val="de-DE"/>
        </w:rPr>
        <w:t> </w:t>
      </w:r>
      <w:r w:rsidRPr="005853B8">
        <w:rPr>
          <w:lang w:val="de-DE"/>
        </w:rPr>
        <w:t xml:space="preserve">000 </w:t>
      </w:r>
      <w:r w:rsidR="00E60755" w:rsidRPr="005853B8">
        <w:rPr>
          <w:lang w:val="de-DE"/>
        </w:rPr>
        <w:t xml:space="preserve">im </w:t>
      </w:r>
      <w:r w:rsidR="0034186C" w:rsidRPr="005853B8">
        <w:rPr>
          <w:lang w:val="de-DE"/>
        </w:rPr>
        <w:t>Jahr </w:t>
      </w:r>
      <w:r w:rsidRPr="005853B8">
        <w:rPr>
          <w:lang w:val="de-DE"/>
        </w:rPr>
        <w:t xml:space="preserve">2010 </w:t>
      </w:r>
      <w:r w:rsidR="00E60755" w:rsidRPr="005853B8">
        <w:rPr>
          <w:lang w:val="de-DE"/>
        </w:rPr>
        <w:t>auf</w:t>
      </w:r>
      <w:r w:rsidRPr="005853B8">
        <w:rPr>
          <w:lang w:val="de-DE"/>
        </w:rPr>
        <w:t xml:space="preserve"> 32</w:t>
      </w:r>
      <w:r w:rsidR="00930E37" w:rsidRPr="005853B8">
        <w:rPr>
          <w:lang w:val="de-DE"/>
        </w:rPr>
        <w:t> </w:t>
      </w:r>
      <w:r w:rsidRPr="005853B8">
        <w:rPr>
          <w:lang w:val="de-DE"/>
        </w:rPr>
        <w:t>000 i</w:t>
      </w:r>
      <w:r w:rsidR="00E60755" w:rsidRPr="005853B8">
        <w:rPr>
          <w:lang w:val="de-DE"/>
        </w:rPr>
        <w:t xml:space="preserve">m </w:t>
      </w:r>
      <w:r w:rsidR="0034186C" w:rsidRPr="005853B8">
        <w:rPr>
          <w:lang w:val="de-DE"/>
        </w:rPr>
        <w:t>Jahr </w:t>
      </w:r>
      <w:r w:rsidRPr="005853B8">
        <w:rPr>
          <w:lang w:val="de-DE"/>
        </w:rPr>
        <w:t xml:space="preserve">2012. </w:t>
      </w:r>
    </w:p>
    <w:p w:rsidR="00A16B77" w:rsidRPr="005853B8" w:rsidRDefault="00E60755" w:rsidP="00AD6931">
      <w:pPr>
        <w:pStyle w:val="newsContent"/>
        <w:ind w:right="-144"/>
        <w:rPr>
          <w:lang w:val="de-DE"/>
        </w:rPr>
      </w:pPr>
      <w:r w:rsidRPr="005853B8">
        <w:rPr>
          <w:lang w:val="de-DE"/>
        </w:rPr>
        <w:t xml:space="preserve">In Europa gibt es schätzungsweise </w:t>
      </w:r>
      <w:r w:rsidR="0044259A" w:rsidRPr="005853B8">
        <w:rPr>
          <w:lang w:val="de-DE"/>
        </w:rPr>
        <w:t>1</w:t>
      </w:r>
      <w:r w:rsidRPr="005853B8">
        <w:rPr>
          <w:lang w:val="de-DE"/>
        </w:rPr>
        <w:t>,</w:t>
      </w:r>
      <w:r w:rsidR="0044259A" w:rsidRPr="005853B8">
        <w:rPr>
          <w:lang w:val="de-DE"/>
        </w:rPr>
        <w:t>3</w:t>
      </w:r>
      <w:r w:rsidRPr="005853B8">
        <w:rPr>
          <w:lang w:val="de-DE"/>
        </w:rPr>
        <w:t> M</w:t>
      </w:r>
      <w:r w:rsidR="0044259A" w:rsidRPr="005853B8">
        <w:rPr>
          <w:lang w:val="de-DE"/>
        </w:rPr>
        <w:t>illion</w:t>
      </w:r>
      <w:r w:rsidRPr="005853B8">
        <w:rPr>
          <w:lang w:val="de-DE"/>
        </w:rPr>
        <w:t>en</w:t>
      </w:r>
      <w:r w:rsidR="0044259A" w:rsidRPr="005853B8">
        <w:rPr>
          <w:lang w:val="de-DE"/>
        </w:rPr>
        <w:t xml:space="preserve"> </w:t>
      </w:r>
      <w:r w:rsidR="00B02163">
        <w:rPr>
          <w:lang w:val="de-DE"/>
        </w:rPr>
        <w:t xml:space="preserve">Personen mit </w:t>
      </w:r>
      <w:r w:rsidR="0044259A" w:rsidRPr="005853B8">
        <w:rPr>
          <w:lang w:val="de-DE"/>
        </w:rPr>
        <w:t>problem</w:t>
      </w:r>
      <w:r w:rsidRPr="005853B8">
        <w:rPr>
          <w:lang w:val="de-DE"/>
        </w:rPr>
        <w:t>atische</w:t>
      </w:r>
      <w:r w:rsidR="00B02163">
        <w:rPr>
          <w:lang w:val="de-DE"/>
        </w:rPr>
        <w:t>m</w:t>
      </w:r>
      <w:r w:rsidRPr="005853B8">
        <w:rPr>
          <w:lang w:val="de-DE"/>
        </w:rPr>
        <w:t xml:space="preserve"> O</w:t>
      </w:r>
      <w:r w:rsidR="0044259A" w:rsidRPr="005853B8">
        <w:rPr>
          <w:lang w:val="de-DE"/>
        </w:rPr>
        <w:t>pioid</w:t>
      </w:r>
      <w:r w:rsidRPr="005853B8">
        <w:rPr>
          <w:lang w:val="de-DE"/>
        </w:rPr>
        <w:t>konsum</w:t>
      </w:r>
      <w:r w:rsidR="0044259A" w:rsidRPr="005853B8">
        <w:rPr>
          <w:lang w:val="de-DE"/>
        </w:rPr>
        <w:t xml:space="preserve">, </w:t>
      </w:r>
      <w:r w:rsidR="00A67C58" w:rsidRPr="005853B8">
        <w:rPr>
          <w:lang w:val="de-DE"/>
        </w:rPr>
        <w:t xml:space="preserve">die </w:t>
      </w:r>
      <w:r w:rsidR="0044259A" w:rsidRPr="005853B8">
        <w:rPr>
          <w:lang w:val="de-DE"/>
        </w:rPr>
        <w:t>m</w:t>
      </w:r>
      <w:r w:rsidRPr="005853B8">
        <w:rPr>
          <w:lang w:val="de-DE"/>
        </w:rPr>
        <w:t>eist</w:t>
      </w:r>
      <w:r w:rsidR="00A67C58" w:rsidRPr="005853B8">
        <w:rPr>
          <w:lang w:val="de-DE"/>
        </w:rPr>
        <w:t>en davon</w:t>
      </w:r>
      <w:r w:rsidRPr="005853B8">
        <w:rPr>
          <w:lang w:val="de-DE"/>
        </w:rPr>
        <w:t xml:space="preserve"> H</w:t>
      </w:r>
      <w:r w:rsidR="0044259A" w:rsidRPr="005853B8">
        <w:rPr>
          <w:lang w:val="de-DE"/>
        </w:rPr>
        <w:t>eroin</w:t>
      </w:r>
      <w:r w:rsidRPr="005853B8">
        <w:rPr>
          <w:lang w:val="de-DE"/>
        </w:rPr>
        <w:t>konsumenten</w:t>
      </w:r>
      <w:r w:rsidR="0044259A" w:rsidRPr="005853B8">
        <w:rPr>
          <w:lang w:val="de-DE"/>
        </w:rPr>
        <w:t xml:space="preserve">. </w:t>
      </w:r>
      <w:r w:rsidRPr="005853B8">
        <w:rPr>
          <w:lang w:val="de-DE"/>
        </w:rPr>
        <w:t xml:space="preserve">Der Bericht gibt </w:t>
      </w:r>
      <w:r w:rsidR="00231F47" w:rsidRPr="005853B8">
        <w:rPr>
          <w:lang w:val="de-DE"/>
        </w:rPr>
        <w:t xml:space="preserve">insofern </w:t>
      </w:r>
      <w:r w:rsidRPr="005853B8">
        <w:rPr>
          <w:lang w:val="de-DE"/>
        </w:rPr>
        <w:t>Anlass zu Besorgnis</w:t>
      </w:r>
      <w:r w:rsidR="00231F47" w:rsidRPr="005853B8">
        <w:rPr>
          <w:lang w:val="de-DE"/>
        </w:rPr>
        <w:t>, als</w:t>
      </w:r>
      <w:r w:rsidRPr="005853B8">
        <w:rPr>
          <w:lang w:val="de-DE"/>
        </w:rPr>
        <w:t xml:space="preserve"> He</w:t>
      </w:r>
      <w:r w:rsidR="0044259A" w:rsidRPr="005853B8">
        <w:rPr>
          <w:lang w:val="de-DE"/>
        </w:rPr>
        <w:t xml:space="preserve">roin </w:t>
      </w:r>
      <w:r w:rsidR="00231F47" w:rsidRPr="005853B8">
        <w:rPr>
          <w:lang w:val="de-DE"/>
        </w:rPr>
        <w:t xml:space="preserve">zunehmend </w:t>
      </w:r>
      <w:r w:rsidRPr="005853B8">
        <w:rPr>
          <w:lang w:val="de-DE"/>
        </w:rPr>
        <w:t>durch andere S</w:t>
      </w:r>
      <w:r w:rsidR="0044259A" w:rsidRPr="005853B8">
        <w:rPr>
          <w:lang w:val="de-DE"/>
        </w:rPr>
        <w:t>ubstan</w:t>
      </w:r>
      <w:r w:rsidRPr="005853B8">
        <w:rPr>
          <w:lang w:val="de-DE"/>
        </w:rPr>
        <w:t>zen</w:t>
      </w:r>
      <w:r w:rsidR="0044259A" w:rsidRPr="005853B8">
        <w:rPr>
          <w:lang w:val="de-DE"/>
        </w:rPr>
        <w:t xml:space="preserve">, </w:t>
      </w:r>
      <w:r w:rsidRPr="005853B8">
        <w:rPr>
          <w:lang w:val="de-DE"/>
        </w:rPr>
        <w:t>wie etwa</w:t>
      </w:r>
      <w:r w:rsidR="0044259A" w:rsidRPr="005853B8">
        <w:rPr>
          <w:lang w:val="de-DE"/>
        </w:rPr>
        <w:t xml:space="preserve"> syntheti</w:t>
      </w:r>
      <w:r w:rsidRPr="005853B8">
        <w:rPr>
          <w:lang w:val="de-DE"/>
        </w:rPr>
        <w:t>sche O</w:t>
      </w:r>
      <w:r w:rsidR="0044259A" w:rsidRPr="005853B8">
        <w:rPr>
          <w:lang w:val="de-DE"/>
        </w:rPr>
        <w:t>pioid</w:t>
      </w:r>
      <w:r w:rsidRPr="005853B8">
        <w:rPr>
          <w:lang w:val="de-DE"/>
        </w:rPr>
        <w:t xml:space="preserve">e, </w:t>
      </w:r>
      <w:r w:rsidR="00A67C58" w:rsidRPr="005853B8">
        <w:rPr>
          <w:lang w:val="de-DE"/>
        </w:rPr>
        <w:t>abgelöst</w:t>
      </w:r>
      <w:r w:rsidRPr="005853B8">
        <w:rPr>
          <w:lang w:val="de-DE"/>
        </w:rPr>
        <w:t xml:space="preserve"> wird</w:t>
      </w:r>
      <w:r w:rsidR="0044259A" w:rsidRPr="005853B8">
        <w:rPr>
          <w:lang w:val="de-DE"/>
        </w:rPr>
        <w:t xml:space="preserve">. </w:t>
      </w:r>
      <w:r w:rsidRPr="005853B8">
        <w:rPr>
          <w:lang w:val="de-DE"/>
        </w:rPr>
        <w:t>Zu diesen i</w:t>
      </w:r>
      <w:r w:rsidR="0044259A" w:rsidRPr="005853B8">
        <w:rPr>
          <w:lang w:val="de-DE"/>
        </w:rPr>
        <w:t>ll</w:t>
      </w:r>
      <w:r w:rsidRPr="005853B8">
        <w:rPr>
          <w:lang w:val="de-DE"/>
        </w:rPr>
        <w:t>egal hergestellten oder aus medizinischen Quellen abgezweigten Substanzen gehören hoch wirksame F</w:t>
      </w:r>
      <w:r w:rsidR="0044259A" w:rsidRPr="005853B8">
        <w:rPr>
          <w:lang w:val="de-DE"/>
        </w:rPr>
        <w:t>entanyl</w:t>
      </w:r>
      <w:r w:rsidRPr="005853B8">
        <w:rPr>
          <w:lang w:val="de-DE"/>
        </w:rPr>
        <w:t>e</w:t>
      </w:r>
      <w:r w:rsidR="0044259A" w:rsidRPr="005853B8">
        <w:rPr>
          <w:lang w:val="de-DE"/>
        </w:rPr>
        <w:t xml:space="preserve"> </w:t>
      </w:r>
      <w:r w:rsidRPr="005853B8">
        <w:rPr>
          <w:lang w:val="de-DE"/>
        </w:rPr>
        <w:t>u</w:t>
      </w:r>
      <w:r w:rsidR="0044259A" w:rsidRPr="005853B8">
        <w:rPr>
          <w:lang w:val="de-DE"/>
        </w:rPr>
        <w:t xml:space="preserve">nd </w:t>
      </w:r>
      <w:r w:rsidRPr="005853B8">
        <w:rPr>
          <w:lang w:val="de-DE"/>
        </w:rPr>
        <w:t>bei der O</w:t>
      </w:r>
      <w:r w:rsidR="0044259A" w:rsidRPr="005853B8">
        <w:rPr>
          <w:lang w:val="de-DE"/>
        </w:rPr>
        <w:t>pioid</w:t>
      </w:r>
      <w:r w:rsidRPr="005853B8">
        <w:rPr>
          <w:lang w:val="de-DE"/>
        </w:rPr>
        <w:t>-S</w:t>
      </w:r>
      <w:r w:rsidR="0044259A" w:rsidRPr="005853B8">
        <w:rPr>
          <w:lang w:val="de-DE"/>
        </w:rPr>
        <w:t>ubstitution</w:t>
      </w:r>
      <w:r w:rsidRPr="005853B8">
        <w:rPr>
          <w:lang w:val="de-DE"/>
        </w:rPr>
        <w:t>sbehandlung</w:t>
      </w:r>
      <w:r w:rsidR="0044259A" w:rsidRPr="005853B8">
        <w:rPr>
          <w:lang w:val="de-DE"/>
        </w:rPr>
        <w:t xml:space="preserve"> </w:t>
      </w:r>
      <w:r w:rsidRPr="005853B8">
        <w:rPr>
          <w:lang w:val="de-DE"/>
        </w:rPr>
        <w:t xml:space="preserve">eingesetzte Substanzen </w:t>
      </w:r>
      <w:r w:rsidR="0044259A" w:rsidRPr="005853B8">
        <w:rPr>
          <w:lang w:val="de-DE"/>
        </w:rPr>
        <w:t>(</w:t>
      </w:r>
      <w:r w:rsidRPr="005853B8">
        <w:rPr>
          <w:lang w:val="de-DE"/>
        </w:rPr>
        <w:t>z. B. Methadon</w:t>
      </w:r>
      <w:r w:rsidR="0044259A" w:rsidRPr="005853B8">
        <w:rPr>
          <w:lang w:val="de-DE"/>
        </w:rPr>
        <w:t xml:space="preserve">, </w:t>
      </w:r>
      <w:r w:rsidRPr="005853B8">
        <w:rPr>
          <w:lang w:val="de-DE"/>
        </w:rPr>
        <w:t>B</w:t>
      </w:r>
      <w:r w:rsidR="0044259A" w:rsidRPr="005853B8">
        <w:rPr>
          <w:lang w:val="de-DE"/>
        </w:rPr>
        <w:t>uprenorphin). In</w:t>
      </w:r>
      <w:r w:rsidRPr="005853B8">
        <w:rPr>
          <w:lang w:val="de-DE"/>
        </w:rPr>
        <w:t>sgesamt</w:t>
      </w:r>
      <w:r w:rsidR="0044259A" w:rsidRPr="005853B8">
        <w:rPr>
          <w:lang w:val="de-DE"/>
        </w:rPr>
        <w:t xml:space="preserve"> 17</w:t>
      </w:r>
      <w:r w:rsidRPr="005853B8">
        <w:rPr>
          <w:lang w:val="de-DE"/>
        </w:rPr>
        <w:t xml:space="preserve"> Länder </w:t>
      </w:r>
      <w:r w:rsidR="0049728B" w:rsidRPr="005853B8">
        <w:rPr>
          <w:lang w:val="de-DE"/>
        </w:rPr>
        <w:t>meldet</w:t>
      </w:r>
      <w:r w:rsidRPr="005853B8">
        <w:rPr>
          <w:lang w:val="de-DE"/>
        </w:rPr>
        <w:t>en 2012, dass über</w:t>
      </w:r>
      <w:r w:rsidR="0044259A" w:rsidRPr="005853B8">
        <w:rPr>
          <w:lang w:val="de-DE"/>
        </w:rPr>
        <w:t xml:space="preserve"> 10</w:t>
      </w:r>
      <w:r w:rsidRPr="005853B8">
        <w:rPr>
          <w:lang w:val="de-DE"/>
        </w:rPr>
        <w:t> </w:t>
      </w:r>
      <w:r w:rsidR="0044259A" w:rsidRPr="005853B8">
        <w:rPr>
          <w:lang w:val="de-DE"/>
        </w:rPr>
        <w:t xml:space="preserve">% </w:t>
      </w:r>
      <w:r w:rsidRPr="005853B8">
        <w:rPr>
          <w:lang w:val="de-DE"/>
        </w:rPr>
        <w:t>der O</w:t>
      </w:r>
      <w:r w:rsidR="0044259A" w:rsidRPr="005853B8">
        <w:rPr>
          <w:lang w:val="de-DE"/>
        </w:rPr>
        <w:t>pioid</w:t>
      </w:r>
      <w:r w:rsidRPr="005853B8">
        <w:rPr>
          <w:lang w:val="de-DE"/>
        </w:rPr>
        <w:t xml:space="preserve">-Erstpatienten, die eine </w:t>
      </w:r>
      <w:r w:rsidR="0044259A" w:rsidRPr="005853B8">
        <w:rPr>
          <w:lang w:val="de-DE"/>
        </w:rPr>
        <w:t>spe</w:t>
      </w:r>
      <w:r w:rsidRPr="005853B8">
        <w:rPr>
          <w:lang w:val="de-DE"/>
        </w:rPr>
        <w:t xml:space="preserve">zialisierte Behandlung aufnahmen, </w:t>
      </w:r>
      <w:r w:rsidR="00114386" w:rsidRPr="005853B8">
        <w:rPr>
          <w:lang w:val="de-DE"/>
        </w:rPr>
        <w:t xml:space="preserve">andere </w:t>
      </w:r>
      <w:r w:rsidRPr="005853B8">
        <w:rPr>
          <w:lang w:val="de-DE"/>
        </w:rPr>
        <w:t>O</w:t>
      </w:r>
      <w:r w:rsidR="0044259A" w:rsidRPr="005853B8">
        <w:rPr>
          <w:lang w:val="de-DE"/>
        </w:rPr>
        <w:t>pioid</w:t>
      </w:r>
      <w:r w:rsidRPr="005853B8">
        <w:rPr>
          <w:lang w:val="de-DE"/>
        </w:rPr>
        <w:t>e als H</w:t>
      </w:r>
      <w:r w:rsidR="0044259A" w:rsidRPr="005853B8">
        <w:rPr>
          <w:lang w:val="de-DE"/>
        </w:rPr>
        <w:t xml:space="preserve">eroin </w:t>
      </w:r>
      <w:r w:rsidR="00114386" w:rsidRPr="005853B8">
        <w:rPr>
          <w:lang w:val="de-DE"/>
        </w:rPr>
        <w:t xml:space="preserve">konsumierten </w:t>
      </w:r>
      <w:r w:rsidR="0044259A" w:rsidRPr="005853B8">
        <w:rPr>
          <w:lang w:val="de-DE"/>
        </w:rPr>
        <w:t>(</w:t>
      </w:r>
      <w:r w:rsidR="00F605A6" w:rsidRPr="005853B8">
        <w:rPr>
          <w:lang w:val="de-DE"/>
        </w:rPr>
        <w:t>Abbildung </w:t>
      </w:r>
      <w:r w:rsidR="0044259A" w:rsidRPr="005853B8">
        <w:rPr>
          <w:lang w:val="de-DE"/>
        </w:rPr>
        <w:t xml:space="preserve">2.9). </w:t>
      </w:r>
    </w:p>
    <w:p w:rsidR="0044259A" w:rsidRPr="005853B8" w:rsidRDefault="00820545" w:rsidP="003C2E9B">
      <w:pPr>
        <w:pStyle w:val="newsContent"/>
        <w:rPr>
          <w:lang w:val="de-DE"/>
        </w:rPr>
      </w:pPr>
      <w:r w:rsidRPr="005853B8">
        <w:rPr>
          <w:b/>
          <w:lang w:val="de-DE"/>
        </w:rPr>
        <w:t>Drogen</w:t>
      </w:r>
      <w:r>
        <w:rPr>
          <w:b/>
          <w:lang w:val="de-DE"/>
        </w:rPr>
        <w:t>bezogene</w:t>
      </w:r>
      <w:r w:rsidRPr="005853B8">
        <w:rPr>
          <w:b/>
          <w:lang w:val="de-DE"/>
        </w:rPr>
        <w:t xml:space="preserve"> </w:t>
      </w:r>
      <w:r w:rsidR="00114386" w:rsidRPr="005853B8">
        <w:rPr>
          <w:b/>
          <w:lang w:val="de-DE"/>
        </w:rPr>
        <w:t>Todesfälle</w:t>
      </w:r>
      <w:r w:rsidR="0044259A" w:rsidRPr="005853B8">
        <w:rPr>
          <w:b/>
          <w:lang w:val="de-DE"/>
        </w:rPr>
        <w:t xml:space="preserve">: </w:t>
      </w:r>
      <w:r w:rsidR="00114386" w:rsidRPr="005853B8">
        <w:rPr>
          <w:b/>
          <w:lang w:val="de-DE"/>
        </w:rPr>
        <w:t>Zahl insgesamt rückläufig</w:t>
      </w:r>
      <w:r w:rsidR="0044259A" w:rsidRPr="005853B8">
        <w:rPr>
          <w:b/>
          <w:lang w:val="de-DE"/>
        </w:rPr>
        <w:t xml:space="preserve">, </w:t>
      </w:r>
      <w:r w:rsidR="00114386" w:rsidRPr="005853B8">
        <w:rPr>
          <w:b/>
          <w:lang w:val="de-DE"/>
        </w:rPr>
        <w:t>aber in manchen Ländern ansteigend</w:t>
      </w:r>
    </w:p>
    <w:p w:rsidR="0044259A" w:rsidRPr="005853B8" w:rsidRDefault="00930E37" w:rsidP="00AD6931">
      <w:pPr>
        <w:pStyle w:val="newsContent"/>
        <w:ind w:right="-144"/>
        <w:rPr>
          <w:lang w:val="de-DE"/>
        </w:rPr>
      </w:pPr>
      <w:r w:rsidRPr="005853B8">
        <w:rPr>
          <w:lang w:val="de-DE"/>
        </w:rPr>
        <w:t xml:space="preserve">Der Drogenkonsum zählt in Europa zu den häufigsten Todesursachen unter jungen Menschen, und zwar sowohl direkt durch Überdosierung (drogeninduzierte Todesfälle) als auch indirekt durch </w:t>
      </w:r>
      <w:r w:rsidR="00820545" w:rsidRPr="005853B8">
        <w:rPr>
          <w:lang w:val="de-DE"/>
        </w:rPr>
        <w:t>drogen</w:t>
      </w:r>
      <w:r w:rsidR="00820545">
        <w:rPr>
          <w:lang w:val="de-DE"/>
        </w:rPr>
        <w:t>bezogene</w:t>
      </w:r>
      <w:r w:rsidR="00820545" w:rsidRPr="005853B8">
        <w:rPr>
          <w:lang w:val="de-DE"/>
        </w:rPr>
        <w:t xml:space="preserve"> </w:t>
      </w:r>
      <w:r w:rsidRPr="005853B8">
        <w:rPr>
          <w:lang w:val="de-DE"/>
        </w:rPr>
        <w:t xml:space="preserve">Krankheiten, Unfälle, Gewalt und Selbstmord. Insgesamt wurden 2012 in Europa </w:t>
      </w:r>
      <w:r w:rsidR="00AC5424" w:rsidRPr="005853B8">
        <w:rPr>
          <w:lang w:val="de-DE"/>
        </w:rPr>
        <w:t>rund 6 100 </w:t>
      </w:r>
      <w:r w:rsidRPr="005853B8">
        <w:rPr>
          <w:lang w:val="de-DE"/>
        </w:rPr>
        <w:t>Todesfälle aufgrund von Überdosierung</w:t>
      </w:r>
      <w:r w:rsidR="00820545">
        <w:rPr>
          <w:lang w:val="de-DE"/>
        </w:rPr>
        <w:t>en</w:t>
      </w:r>
      <w:r w:rsidRPr="005853B8">
        <w:rPr>
          <w:lang w:val="de-DE"/>
        </w:rPr>
        <w:t xml:space="preserve"> </w:t>
      </w:r>
      <w:r w:rsidR="00AC5424" w:rsidRPr="005853B8">
        <w:rPr>
          <w:lang w:val="de-DE"/>
        </w:rPr>
        <w:t>ge</w:t>
      </w:r>
      <w:r w:rsidRPr="005853B8">
        <w:rPr>
          <w:lang w:val="de-DE"/>
        </w:rPr>
        <w:t>meldet</w:t>
      </w:r>
      <w:r w:rsidR="00A67C58" w:rsidRPr="005853B8">
        <w:rPr>
          <w:lang w:val="de-DE"/>
        </w:rPr>
        <w:t xml:space="preserve">, die meisten </w:t>
      </w:r>
      <w:r w:rsidRPr="005853B8">
        <w:rPr>
          <w:lang w:val="de-DE"/>
        </w:rPr>
        <w:t>im Zusammenhang mit Opioiden</w:t>
      </w:r>
      <w:r w:rsidR="0044259A" w:rsidRPr="005853B8">
        <w:rPr>
          <w:lang w:val="de-DE"/>
        </w:rPr>
        <w:t xml:space="preserve">. </w:t>
      </w:r>
      <w:r w:rsidRPr="005853B8">
        <w:rPr>
          <w:lang w:val="de-DE"/>
        </w:rPr>
        <w:t>Im Vergleich dazu lag</w:t>
      </w:r>
      <w:r w:rsidR="00820545">
        <w:rPr>
          <w:lang w:val="de-DE"/>
        </w:rPr>
        <w:t>en</w:t>
      </w:r>
      <w:r w:rsidRPr="005853B8">
        <w:rPr>
          <w:lang w:val="de-DE"/>
        </w:rPr>
        <w:t xml:space="preserve"> die entsprechende</w:t>
      </w:r>
      <w:r w:rsidR="00820545">
        <w:rPr>
          <w:lang w:val="de-DE"/>
        </w:rPr>
        <w:t>n</w:t>
      </w:r>
      <w:r w:rsidRPr="005853B8">
        <w:rPr>
          <w:lang w:val="de-DE"/>
        </w:rPr>
        <w:t xml:space="preserve"> Zahl</w:t>
      </w:r>
      <w:r w:rsidR="00820545">
        <w:rPr>
          <w:lang w:val="de-DE"/>
        </w:rPr>
        <w:t>en</w:t>
      </w:r>
      <w:r w:rsidRPr="005853B8">
        <w:rPr>
          <w:lang w:val="de-DE"/>
        </w:rPr>
        <w:t xml:space="preserve"> 2011 bei </w:t>
      </w:r>
      <w:r w:rsidR="0044259A" w:rsidRPr="005853B8">
        <w:rPr>
          <w:lang w:val="de-DE"/>
        </w:rPr>
        <w:t>6</w:t>
      </w:r>
      <w:r w:rsidRPr="005853B8">
        <w:rPr>
          <w:lang w:val="de-DE"/>
        </w:rPr>
        <w:t> </w:t>
      </w:r>
      <w:r w:rsidR="0044259A" w:rsidRPr="005853B8">
        <w:rPr>
          <w:lang w:val="de-DE"/>
        </w:rPr>
        <w:t xml:space="preserve">500 </w:t>
      </w:r>
      <w:r w:rsidRPr="005853B8">
        <w:rPr>
          <w:lang w:val="de-DE"/>
        </w:rPr>
        <w:t>u</w:t>
      </w:r>
      <w:r w:rsidR="0044259A" w:rsidRPr="005853B8">
        <w:rPr>
          <w:lang w:val="de-DE"/>
        </w:rPr>
        <w:t xml:space="preserve">nd </w:t>
      </w:r>
      <w:r w:rsidRPr="005853B8">
        <w:rPr>
          <w:lang w:val="de-DE"/>
        </w:rPr>
        <w:t xml:space="preserve">2009 bei </w:t>
      </w:r>
      <w:r w:rsidR="0044259A" w:rsidRPr="005853B8">
        <w:rPr>
          <w:lang w:val="de-DE"/>
        </w:rPr>
        <w:t>7</w:t>
      </w:r>
      <w:r w:rsidR="0040695C" w:rsidRPr="005853B8">
        <w:rPr>
          <w:lang w:val="de-DE"/>
        </w:rPr>
        <w:t> </w:t>
      </w:r>
      <w:r w:rsidR="0044259A" w:rsidRPr="005853B8">
        <w:rPr>
          <w:lang w:val="de-DE"/>
        </w:rPr>
        <w:t>100</w:t>
      </w:r>
      <w:r w:rsidR="0040695C" w:rsidRPr="005853B8">
        <w:rPr>
          <w:lang w:val="de-DE"/>
        </w:rPr>
        <w:t> </w:t>
      </w:r>
      <w:r w:rsidRPr="005853B8">
        <w:rPr>
          <w:lang w:val="de-DE"/>
        </w:rPr>
        <w:t>Todesfällen</w:t>
      </w:r>
      <w:r w:rsidR="0044259A" w:rsidRPr="005853B8">
        <w:rPr>
          <w:lang w:val="de-DE"/>
        </w:rPr>
        <w:t xml:space="preserve">. </w:t>
      </w:r>
      <w:r w:rsidR="0049728B" w:rsidRPr="005853B8">
        <w:rPr>
          <w:lang w:val="de-DE"/>
        </w:rPr>
        <w:t xml:space="preserve">Fortschritte in diesem Bereich sind möglicherweise zum Teil auf </w:t>
      </w:r>
      <w:r w:rsidR="008D0D68">
        <w:rPr>
          <w:lang w:val="de-DE"/>
        </w:rPr>
        <w:t>ein größeres</w:t>
      </w:r>
      <w:r w:rsidR="00F57E96">
        <w:rPr>
          <w:lang w:val="de-DE"/>
        </w:rPr>
        <w:t xml:space="preserve"> </w:t>
      </w:r>
      <w:r w:rsidR="0049728B" w:rsidRPr="005853B8">
        <w:rPr>
          <w:lang w:val="de-DE"/>
        </w:rPr>
        <w:t>Behandlungsangebot u</w:t>
      </w:r>
      <w:r w:rsidR="0044259A" w:rsidRPr="005853B8">
        <w:rPr>
          <w:lang w:val="de-DE"/>
        </w:rPr>
        <w:t xml:space="preserve">nd </w:t>
      </w:r>
      <w:r w:rsidR="008D0D68">
        <w:rPr>
          <w:lang w:val="de-DE"/>
        </w:rPr>
        <w:t xml:space="preserve">den verstärkten Einsatz von Schadensminimierung </w:t>
      </w:r>
      <w:r w:rsidR="0044259A" w:rsidRPr="005853B8">
        <w:rPr>
          <w:lang w:val="de-DE"/>
        </w:rPr>
        <w:t>(</w:t>
      </w:r>
      <w:r w:rsidR="0049728B" w:rsidRPr="005853B8">
        <w:rPr>
          <w:lang w:val="de-DE"/>
        </w:rPr>
        <w:t xml:space="preserve">z. B. </w:t>
      </w:r>
      <w:r w:rsidR="0044259A" w:rsidRPr="005853B8">
        <w:rPr>
          <w:lang w:val="de-DE"/>
        </w:rPr>
        <w:t>O</w:t>
      </w:r>
      <w:r w:rsidR="0049728B" w:rsidRPr="005853B8">
        <w:rPr>
          <w:lang w:val="de-DE"/>
        </w:rPr>
        <w:t>pioid-</w:t>
      </w:r>
      <w:r w:rsidR="0044259A" w:rsidRPr="005853B8">
        <w:rPr>
          <w:lang w:val="de-DE"/>
        </w:rPr>
        <w:t>S</w:t>
      </w:r>
      <w:r w:rsidR="0049728B" w:rsidRPr="005853B8">
        <w:rPr>
          <w:lang w:val="de-DE"/>
        </w:rPr>
        <w:t>ubstitutionstherapien</w:t>
      </w:r>
      <w:r w:rsidR="0044259A" w:rsidRPr="005853B8">
        <w:rPr>
          <w:lang w:val="de-DE"/>
        </w:rPr>
        <w:t>)</w:t>
      </w:r>
      <w:r w:rsidR="0049728B" w:rsidRPr="005853B8">
        <w:rPr>
          <w:lang w:val="de-DE"/>
        </w:rPr>
        <w:t xml:space="preserve"> zurückzuführen. Nichtsdesto</w:t>
      </w:r>
      <w:r w:rsidR="0040695C" w:rsidRPr="005853B8">
        <w:rPr>
          <w:lang w:val="de-DE"/>
        </w:rPr>
        <w:t>weniger</w:t>
      </w:r>
      <w:r w:rsidR="0049728B" w:rsidRPr="005853B8">
        <w:rPr>
          <w:lang w:val="de-DE"/>
        </w:rPr>
        <w:t xml:space="preserve"> bleibt die Zahl der Todesfälle durch Überdosierung</w:t>
      </w:r>
      <w:r w:rsidR="008D0D68">
        <w:rPr>
          <w:lang w:val="de-DE"/>
        </w:rPr>
        <w:t>en</w:t>
      </w:r>
      <w:r w:rsidR="0049728B" w:rsidRPr="005853B8">
        <w:rPr>
          <w:lang w:val="de-DE"/>
        </w:rPr>
        <w:t xml:space="preserve"> </w:t>
      </w:r>
      <w:r w:rsidR="008D0D68">
        <w:rPr>
          <w:lang w:val="de-DE"/>
        </w:rPr>
        <w:t xml:space="preserve">- </w:t>
      </w:r>
      <w:r w:rsidR="0049728B" w:rsidRPr="005853B8">
        <w:rPr>
          <w:lang w:val="de-DE"/>
        </w:rPr>
        <w:t>im Gegensatz zu eine</w:t>
      </w:r>
      <w:r w:rsidR="00A25959">
        <w:rPr>
          <w:lang w:val="de-DE"/>
        </w:rPr>
        <w:t>r</w:t>
      </w:r>
      <w:r w:rsidR="0049728B" w:rsidRPr="005853B8">
        <w:rPr>
          <w:lang w:val="de-DE"/>
        </w:rPr>
        <w:t xml:space="preserve"> e</w:t>
      </w:r>
      <w:r w:rsidR="0044259A" w:rsidRPr="005853B8">
        <w:rPr>
          <w:lang w:val="de-DE"/>
        </w:rPr>
        <w:t>urop</w:t>
      </w:r>
      <w:r w:rsidR="0049728B" w:rsidRPr="005853B8">
        <w:rPr>
          <w:lang w:val="de-DE"/>
        </w:rPr>
        <w:t xml:space="preserve">aweit </w:t>
      </w:r>
      <w:r w:rsidR="008D0D68" w:rsidRPr="005853B8">
        <w:rPr>
          <w:lang w:val="de-DE"/>
        </w:rPr>
        <w:t xml:space="preserve">positiven </w:t>
      </w:r>
      <w:r w:rsidR="00A25959">
        <w:rPr>
          <w:lang w:val="de-DE"/>
        </w:rPr>
        <w:t>Entwicklung</w:t>
      </w:r>
      <w:r w:rsidR="008D0D68">
        <w:rPr>
          <w:lang w:val="de-DE"/>
        </w:rPr>
        <w:t xml:space="preserve"> -</w:t>
      </w:r>
      <w:r w:rsidR="0049728B" w:rsidRPr="005853B8">
        <w:rPr>
          <w:lang w:val="de-DE"/>
        </w:rPr>
        <w:t xml:space="preserve"> weiterhin hoch oder ist in einigen Ländern sogar ansteigend</w:t>
      </w:r>
      <w:r w:rsidR="0044259A" w:rsidRPr="005853B8">
        <w:rPr>
          <w:lang w:val="de-DE"/>
        </w:rPr>
        <w:t xml:space="preserve">. </w:t>
      </w:r>
    </w:p>
    <w:p w:rsidR="0044259A" w:rsidRPr="005853B8" w:rsidRDefault="0049728B" w:rsidP="00AD6931">
      <w:pPr>
        <w:pStyle w:val="newsContent"/>
        <w:ind w:right="-144"/>
        <w:rPr>
          <w:lang w:val="de-DE"/>
        </w:rPr>
      </w:pPr>
      <w:r w:rsidRPr="005853B8">
        <w:rPr>
          <w:lang w:val="de-DE"/>
        </w:rPr>
        <w:t xml:space="preserve">Die durchschnittliche Mortalitätsrate im Zusammenhang mit Überdosierungen </w:t>
      </w:r>
      <w:r w:rsidR="00A67C58" w:rsidRPr="005853B8">
        <w:rPr>
          <w:lang w:val="de-DE"/>
        </w:rPr>
        <w:t xml:space="preserve">wird </w:t>
      </w:r>
      <w:r w:rsidRPr="005853B8">
        <w:rPr>
          <w:lang w:val="de-DE"/>
        </w:rPr>
        <w:t>in Europa auf 17</w:t>
      </w:r>
      <w:r w:rsidR="00A67C58" w:rsidRPr="005853B8">
        <w:rPr>
          <w:lang w:val="de-DE"/>
        </w:rPr>
        <w:t> </w:t>
      </w:r>
      <w:r w:rsidRPr="005853B8">
        <w:rPr>
          <w:lang w:val="de-DE"/>
        </w:rPr>
        <w:t>Todesfälle je 1 Million Einwohner im Alter zwischen 15 und</w:t>
      </w:r>
      <w:r w:rsidR="00C741A0" w:rsidRPr="005853B8">
        <w:rPr>
          <w:lang w:val="de-DE"/>
        </w:rPr>
        <w:t xml:space="preserve"> 64 </w:t>
      </w:r>
      <w:r w:rsidRPr="005853B8">
        <w:rPr>
          <w:lang w:val="de-DE"/>
        </w:rPr>
        <w:t>Jahren geschätzt</w:t>
      </w:r>
      <w:r w:rsidR="0044259A" w:rsidRPr="005853B8">
        <w:rPr>
          <w:lang w:val="de-DE"/>
        </w:rPr>
        <w:t xml:space="preserve">, </w:t>
      </w:r>
      <w:r w:rsidRPr="005853B8">
        <w:rPr>
          <w:lang w:val="de-DE"/>
        </w:rPr>
        <w:t xml:space="preserve">wobei dieser Wert zwischen den </w:t>
      </w:r>
      <w:r w:rsidR="00A25959">
        <w:rPr>
          <w:lang w:val="de-DE"/>
        </w:rPr>
        <w:t xml:space="preserve">einzelnen </w:t>
      </w:r>
      <w:r w:rsidRPr="005853B8">
        <w:rPr>
          <w:lang w:val="de-DE"/>
        </w:rPr>
        <w:t>Ländern jedoch erheblich schwankt</w:t>
      </w:r>
      <w:r w:rsidR="0044259A" w:rsidRPr="005853B8">
        <w:rPr>
          <w:lang w:val="de-DE"/>
        </w:rPr>
        <w:t xml:space="preserve">. </w:t>
      </w:r>
      <w:r w:rsidR="00B12E41" w:rsidRPr="005853B8">
        <w:rPr>
          <w:lang w:val="de-DE"/>
        </w:rPr>
        <w:t>Fünf Länder verzeichneten R</w:t>
      </w:r>
      <w:r w:rsidR="0044259A" w:rsidRPr="005853B8">
        <w:rPr>
          <w:lang w:val="de-DE"/>
        </w:rPr>
        <w:t>ate</w:t>
      </w:r>
      <w:r w:rsidRPr="005853B8">
        <w:rPr>
          <w:lang w:val="de-DE"/>
        </w:rPr>
        <w:t>n von über</w:t>
      </w:r>
      <w:r w:rsidR="0044259A" w:rsidRPr="005853B8">
        <w:rPr>
          <w:lang w:val="de-DE"/>
        </w:rPr>
        <w:t xml:space="preserve"> 50</w:t>
      </w:r>
      <w:r w:rsidRPr="005853B8">
        <w:rPr>
          <w:lang w:val="de-DE"/>
        </w:rPr>
        <w:t> Todesfällen je 1 M</w:t>
      </w:r>
      <w:r w:rsidR="0044259A" w:rsidRPr="005853B8">
        <w:rPr>
          <w:lang w:val="de-DE"/>
        </w:rPr>
        <w:t xml:space="preserve">illion </w:t>
      </w:r>
      <w:r w:rsidRPr="005853B8">
        <w:rPr>
          <w:lang w:val="de-DE"/>
        </w:rPr>
        <w:t>Einwohner</w:t>
      </w:r>
      <w:r w:rsidR="00B12E41" w:rsidRPr="005853B8">
        <w:rPr>
          <w:lang w:val="de-DE"/>
        </w:rPr>
        <w:t xml:space="preserve">, darunter an vorderster Stelle </w:t>
      </w:r>
      <w:r w:rsidR="0044259A" w:rsidRPr="005853B8">
        <w:rPr>
          <w:b/>
          <w:lang w:val="de-DE"/>
        </w:rPr>
        <w:t>Est</w:t>
      </w:r>
      <w:r w:rsidRPr="005853B8">
        <w:rPr>
          <w:b/>
          <w:lang w:val="de-DE"/>
        </w:rPr>
        <w:t>land</w:t>
      </w:r>
      <w:r w:rsidR="0044259A" w:rsidRPr="005853B8">
        <w:rPr>
          <w:lang w:val="de-DE"/>
        </w:rPr>
        <w:t xml:space="preserve"> (191 </w:t>
      </w:r>
      <w:r w:rsidRPr="005853B8">
        <w:rPr>
          <w:lang w:val="de-DE"/>
        </w:rPr>
        <w:t>je 1 M</w:t>
      </w:r>
      <w:r w:rsidR="0044259A" w:rsidRPr="005853B8">
        <w:rPr>
          <w:lang w:val="de-DE"/>
        </w:rPr>
        <w:t>illion</w:t>
      </w:r>
      <w:r w:rsidRPr="005853B8">
        <w:rPr>
          <w:lang w:val="de-DE"/>
        </w:rPr>
        <w:t xml:space="preserve"> Einwohner</w:t>
      </w:r>
      <w:r w:rsidR="00D83F0D">
        <w:rPr>
          <w:lang w:val="de-DE"/>
        </w:rPr>
        <w:t>/innen</w:t>
      </w:r>
      <w:r w:rsidR="0044259A" w:rsidRPr="005853B8">
        <w:rPr>
          <w:lang w:val="de-DE"/>
        </w:rPr>
        <w:t xml:space="preserve">) </w:t>
      </w:r>
      <w:r w:rsidRPr="005853B8">
        <w:rPr>
          <w:lang w:val="de-DE"/>
        </w:rPr>
        <w:t>u</w:t>
      </w:r>
      <w:r w:rsidR="0044259A" w:rsidRPr="005853B8">
        <w:rPr>
          <w:lang w:val="de-DE"/>
        </w:rPr>
        <w:t xml:space="preserve">nd </w:t>
      </w:r>
      <w:r w:rsidR="0044259A" w:rsidRPr="005853B8">
        <w:rPr>
          <w:b/>
          <w:lang w:val="de-DE"/>
        </w:rPr>
        <w:t>Norw</w:t>
      </w:r>
      <w:r w:rsidRPr="005853B8">
        <w:rPr>
          <w:b/>
          <w:lang w:val="de-DE"/>
        </w:rPr>
        <w:t>egen</w:t>
      </w:r>
      <w:r w:rsidR="0044259A" w:rsidRPr="005853B8">
        <w:rPr>
          <w:lang w:val="de-DE"/>
        </w:rPr>
        <w:t xml:space="preserve"> (76 </w:t>
      </w:r>
      <w:r w:rsidRPr="005853B8">
        <w:rPr>
          <w:lang w:val="de-DE"/>
        </w:rPr>
        <w:t>je 1 M</w:t>
      </w:r>
      <w:r w:rsidR="0044259A" w:rsidRPr="005853B8">
        <w:rPr>
          <w:lang w:val="de-DE"/>
        </w:rPr>
        <w:t>illion</w:t>
      </w:r>
      <w:r w:rsidRPr="005853B8">
        <w:rPr>
          <w:lang w:val="de-DE"/>
        </w:rPr>
        <w:t xml:space="preserve"> Einwohner</w:t>
      </w:r>
      <w:r w:rsidR="00D83F0D">
        <w:rPr>
          <w:lang w:val="de-DE"/>
        </w:rPr>
        <w:t>/innen</w:t>
      </w:r>
      <w:r w:rsidR="0044259A" w:rsidRPr="005853B8">
        <w:rPr>
          <w:lang w:val="de-DE"/>
        </w:rPr>
        <w:t xml:space="preserve">), </w:t>
      </w:r>
      <w:r w:rsidRPr="005853B8">
        <w:rPr>
          <w:lang w:val="de-DE"/>
        </w:rPr>
        <w:t>ge</w:t>
      </w:r>
      <w:r w:rsidR="0044259A" w:rsidRPr="005853B8">
        <w:rPr>
          <w:lang w:val="de-DE"/>
        </w:rPr>
        <w:t>fol</w:t>
      </w:r>
      <w:r w:rsidRPr="005853B8">
        <w:rPr>
          <w:lang w:val="de-DE"/>
        </w:rPr>
        <w:t xml:space="preserve">gt von </w:t>
      </w:r>
      <w:r w:rsidRPr="005853B8">
        <w:rPr>
          <w:b/>
          <w:lang w:val="de-DE"/>
        </w:rPr>
        <w:t>Ir</w:t>
      </w:r>
      <w:r w:rsidR="0044259A" w:rsidRPr="005853B8">
        <w:rPr>
          <w:b/>
          <w:lang w:val="de-DE"/>
        </w:rPr>
        <w:t>land</w:t>
      </w:r>
      <w:r w:rsidR="0044259A" w:rsidRPr="005853B8">
        <w:rPr>
          <w:lang w:val="de-DE"/>
        </w:rPr>
        <w:t xml:space="preserve"> (70 </w:t>
      </w:r>
      <w:r w:rsidRPr="005853B8">
        <w:rPr>
          <w:lang w:val="de-DE"/>
        </w:rPr>
        <w:t>je 1 M</w:t>
      </w:r>
      <w:r w:rsidR="0044259A" w:rsidRPr="005853B8">
        <w:rPr>
          <w:lang w:val="de-DE"/>
        </w:rPr>
        <w:t>illion</w:t>
      </w:r>
      <w:r w:rsidRPr="005853B8">
        <w:rPr>
          <w:lang w:val="de-DE"/>
        </w:rPr>
        <w:t xml:space="preserve"> Einwohner</w:t>
      </w:r>
      <w:r w:rsidR="00D83F0D">
        <w:rPr>
          <w:lang w:val="de-DE"/>
        </w:rPr>
        <w:t>/innen</w:t>
      </w:r>
      <w:r w:rsidR="0044259A" w:rsidRPr="005853B8">
        <w:rPr>
          <w:lang w:val="de-DE"/>
        </w:rPr>
        <w:t xml:space="preserve">), </w:t>
      </w:r>
      <w:r w:rsidR="0044259A" w:rsidRPr="005853B8">
        <w:rPr>
          <w:b/>
          <w:lang w:val="de-DE"/>
        </w:rPr>
        <w:t>S</w:t>
      </w:r>
      <w:r w:rsidRPr="005853B8">
        <w:rPr>
          <w:b/>
          <w:lang w:val="de-DE"/>
        </w:rPr>
        <w:t>ch</w:t>
      </w:r>
      <w:r w:rsidR="0044259A" w:rsidRPr="005853B8">
        <w:rPr>
          <w:b/>
          <w:lang w:val="de-DE"/>
        </w:rPr>
        <w:t>weden</w:t>
      </w:r>
      <w:r w:rsidR="0044259A" w:rsidRPr="005853B8">
        <w:rPr>
          <w:lang w:val="de-DE"/>
        </w:rPr>
        <w:t xml:space="preserve"> (63 </w:t>
      </w:r>
      <w:r w:rsidRPr="005853B8">
        <w:rPr>
          <w:lang w:val="de-DE"/>
        </w:rPr>
        <w:t>je 1 M</w:t>
      </w:r>
      <w:r w:rsidR="0044259A" w:rsidRPr="005853B8">
        <w:rPr>
          <w:lang w:val="de-DE"/>
        </w:rPr>
        <w:t>illion</w:t>
      </w:r>
      <w:r w:rsidRPr="005853B8">
        <w:rPr>
          <w:lang w:val="de-DE"/>
        </w:rPr>
        <w:t xml:space="preserve"> Einwohner</w:t>
      </w:r>
      <w:r w:rsidR="00D83F0D">
        <w:rPr>
          <w:lang w:val="de-DE"/>
        </w:rPr>
        <w:t>/innen</w:t>
      </w:r>
      <w:r w:rsidR="0044259A" w:rsidRPr="005853B8">
        <w:rPr>
          <w:lang w:val="de-DE"/>
        </w:rPr>
        <w:t xml:space="preserve">) </w:t>
      </w:r>
      <w:r w:rsidRPr="005853B8">
        <w:rPr>
          <w:lang w:val="de-DE"/>
        </w:rPr>
        <w:t>u</w:t>
      </w:r>
      <w:r w:rsidR="0044259A" w:rsidRPr="005853B8">
        <w:rPr>
          <w:lang w:val="de-DE"/>
        </w:rPr>
        <w:t xml:space="preserve">nd </w:t>
      </w:r>
      <w:r w:rsidR="0044259A" w:rsidRPr="005853B8">
        <w:rPr>
          <w:b/>
          <w:lang w:val="de-DE"/>
        </w:rPr>
        <w:t>Fin</w:t>
      </w:r>
      <w:r w:rsidRPr="005853B8">
        <w:rPr>
          <w:b/>
          <w:lang w:val="de-DE"/>
        </w:rPr>
        <w:t>n</w:t>
      </w:r>
      <w:r w:rsidR="0044259A" w:rsidRPr="005853B8">
        <w:rPr>
          <w:b/>
          <w:lang w:val="de-DE"/>
        </w:rPr>
        <w:t>land</w:t>
      </w:r>
      <w:r w:rsidR="0044259A" w:rsidRPr="005853B8">
        <w:rPr>
          <w:lang w:val="de-DE"/>
        </w:rPr>
        <w:t xml:space="preserve"> (58 </w:t>
      </w:r>
      <w:r w:rsidRPr="005853B8">
        <w:rPr>
          <w:lang w:val="de-DE"/>
        </w:rPr>
        <w:t>je</w:t>
      </w:r>
      <w:r w:rsidR="0044259A" w:rsidRPr="005853B8">
        <w:rPr>
          <w:lang w:val="de-DE"/>
        </w:rPr>
        <w:t xml:space="preserve"> </w:t>
      </w:r>
      <w:r w:rsidRPr="005853B8">
        <w:rPr>
          <w:lang w:val="de-DE"/>
        </w:rPr>
        <w:t>1 M</w:t>
      </w:r>
      <w:r w:rsidR="0044259A" w:rsidRPr="005853B8">
        <w:rPr>
          <w:lang w:val="de-DE"/>
        </w:rPr>
        <w:t>illion</w:t>
      </w:r>
      <w:r w:rsidRPr="005853B8">
        <w:rPr>
          <w:lang w:val="de-DE"/>
        </w:rPr>
        <w:t xml:space="preserve"> Einwohner</w:t>
      </w:r>
      <w:r w:rsidR="00D83F0D">
        <w:rPr>
          <w:lang w:val="de-DE"/>
        </w:rPr>
        <w:t>/innen</w:t>
      </w:r>
      <w:r w:rsidR="0044259A" w:rsidRPr="005853B8">
        <w:rPr>
          <w:lang w:val="de-DE"/>
        </w:rPr>
        <w:t>)</w:t>
      </w:r>
      <w:r w:rsidR="00B12E41" w:rsidRPr="005853B8">
        <w:rPr>
          <w:lang w:val="de-DE"/>
        </w:rPr>
        <w:t xml:space="preserve"> </w:t>
      </w:r>
      <w:r w:rsidR="0044259A" w:rsidRPr="005853B8">
        <w:rPr>
          <w:lang w:val="de-DE"/>
        </w:rPr>
        <w:t>(</w:t>
      </w:r>
      <w:r w:rsidR="00F605A6" w:rsidRPr="005853B8">
        <w:rPr>
          <w:lang w:val="de-DE"/>
        </w:rPr>
        <w:t>Abbildung </w:t>
      </w:r>
      <w:r w:rsidR="0044259A" w:rsidRPr="005853B8">
        <w:rPr>
          <w:lang w:val="de-DE"/>
        </w:rPr>
        <w:t>2.13)</w:t>
      </w:r>
      <w:r w:rsidR="00E52320" w:rsidRPr="005853B8">
        <w:rPr>
          <w:lang w:val="de-DE"/>
        </w:rPr>
        <w:t xml:space="preserve"> (</w:t>
      </w:r>
      <w:r w:rsidR="00E52320" w:rsidRPr="005853B8">
        <w:rPr>
          <w:vertAlign w:val="superscript"/>
          <w:lang w:val="de-DE"/>
        </w:rPr>
        <w:t>2</w:t>
      </w:r>
      <w:r w:rsidR="00E52320" w:rsidRPr="005853B8">
        <w:rPr>
          <w:lang w:val="de-DE"/>
        </w:rPr>
        <w:t>)</w:t>
      </w:r>
      <w:r w:rsidR="0044259A" w:rsidRPr="005853B8">
        <w:rPr>
          <w:lang w:val="de-DE"/>
        </w:rPr>
        <w:t xml:space="preserve">. </w:t>
      </w:r>
    </w:p>
    <w:p w:rsidR="00A16B77" w:rsidRPr="005853B8" w:rsidRDefault="00B12E41" w:rsidP="00AD6931">
      <w:pPr>
        <w:pStyle w:val="newsContent"/>
        <w:ind w:right="-144"/>
        <w:rPr>
          <w:lang w:val="de-DE"/>
        </w:rPr>
      </w:pPr>
      <w:r w:rsidRPr="005853B8">
        <w:rPr>
          <w:lang w:val="de-DE"/>
        </w:rPr>
        <w:t xml:space="preserve">Auch wenn bei vielen Überdosierungen mit Todesfolge </w:t>
      </w:r>
      <w:r w:rsidR="008607AE" w:rsidRPr="005853B8">
        <w:rPr>
          <w:lang w:val="de-DE"/>
        </w:rPr>
        <w:t xml:space="preserve">Heroin </w:t>
      </w:r>
      <w:r w:rsidRPr="005853B8">
        <w:rPr>
          <w:lang w:val="de-DE"/>
        </w:rPr>
        <w:t>noch immer eine Rolle spielt</w:t>
      </w:r>
      <w:r w:rsidR="0044259A" w:rsidRPr="005853B8">
        <w:rPr>
          <w:lang w:val="de-DE"/>
        </w:rPr>
        <w:t xml:space="preserve">, </w:t>
      </w:r>
      <w:r w:rsidRPr="005853B8">
        <w:rPr>
          <w:lang w:val="de-DE"/>
        </w:rPr>
        <w:t>ist die Zahl der Todesfälle im Zusammenhang mit dieser Droge allgemein rückläufig</w:t>
      </w:r>
      <w:r w:rsidR="008607AE">
        <w:rPr>
          <w:lang w:val="de-DE"/>
        </w:rPr>
        <w:t>;</w:t>
      </w:r>
      <w:r w:rsidR="00F57E96">
        <w:rPr>
          <w:lang w:val="de-DE"/>
        </w:rPr>
        <w:t xml:space="preserve"> </w:t>
      </w:r>
      <w:r w:rsidRPr="005853B8">
        <w:rPr>
          <w:lang w:val="de-DE"/>
        </w:rPr>
        <w:t xml:space="preserve">die Zahl der Todesfälle im Zusammenhang mit </w:t>
      </w:r>
      <w:r w:rsidR="0044259A" w:rsidRPr="005853B8">
        <w:rPr>
          <w:lang w:val="de-DE"/>
        </w:rPr>
        <w:t>syntheti</w:t>
      </w:r>
      <w:r w:rsidRPr="005853B8">
        <w:rPr>
          <w:lang w:val="de-DE"/>
        </w:rPr>
        <w:t>schen O</w:t>
      </w:r>
      <w:r w:rsidR="0044259A" w:rsidRPr="005853B8">
        <w:rPr>
          <w:lang w:val="de-DE"/>
        </w:rPr>
        <w:t>pioid</w:t>
      </w:r>
      <w:r w:rsidRPr="005853B8">
        <w:rPr>
          <w:lang w:val="de-DE"/>
        </w:rPr>
        <w:t>en ist in einigen Ländern ansteigend</w:t>
      </w:r>
      <w:r w:rsidR="0044259A" w:rsidRPr="005853B8">
        <w:rPr>
          <w:lang w:val="de-DE"/>
        </w:rPr>
        <w:t xml:space="preserve">. </w:t>
      </w:r>
      <w:r w:rsidRPr="005853B8">
        <w:rPr>
          <w:lang w:val="de-DE"/>
        </w:rPr>
        <w:t>Die Zahl der Todesfälle durch Überdosierung</w:t>
      </w:r>
      <w:r w:rsidR="008607AE">
        <w:rPr>
          <w:lang w:val="de-DE"/>
        </w:rPr>
        <w:t>en</w:t>
      </w:r>
      <w:r w:rsidRPr="005853B8">
        <w:rPr>
          <w:lang w:val="de-DE"/>
        </w:rPr>
        <w:t xml:space="preserve"> ist 2012 in </w:t>
      </w:r>
      <w:r w:rsidRPr="005853B8">
        <w:rPr>
          <w:b/>
          <w:lang w:val="de-DE"/>
        </w:rPr>
        <w:t>Estland</w:t>
      </w:r>
      <w:r w:rsidRPr="005853B8">
        <w:rPr>
          <w:lang w:val="de-DE"/>
        </w:rPr>
        <w:t xml:space="preserve"> stark angestiegen</w:t>
      </w:r>
      <w:r w:rsidR="0044259A" w:rsidRPr="005853B8">
        <w:rPr>
          <w:lang w:val="de-DE"/>
        </w:rPr>
        <w:t xml:space="preserve"> (</w:t>
      </w:r>
      <w:r w:rsidRPr="005853B8">
        <w:rPr>
          <w:lang w:val="de-DE"/>
        </w:rPr>
        <w:t>um</w:t>
      </w:r>
      <w:r w:rsidR="0044259A" w:rsidRPr="005853B8">
        <w:rPr>
          <w:lang w:val="de-DE"/>
        </w:rPr>
        <w:t xml:space="preserve"> 38</w:t>
      </w:r>
      <w:r w:rsidRPr="005853B8">
        <w:rPr>
          <w:lang w:val="de-DE"/>
        </w:rPr>
        <w:t> </w:t>
      </w:r>
      <w:r w:rsidR="0044259A" w:rsidRPr="005853B8">
        <w:rPr>
          <w:lang w:val="de-DE"/>
        </w:rPr>
        <w:t>%)</w:t>
      </w:r>
      <w:r w:rsidRPr="005853B8">
        <w:rPr>
          <w:lang w:val="de-DE"/>
        </w:rPr>
        <w:t>, wobei die meisten Fälle im Zusammenhang mit dem Konsum von F</w:t>
      </w:r>
      <w:r w:rsidR="0044259A" w:rsidRPr="005853B8">
        <w:rPr>
          <w:lang w:val="de-DE"/>
        </w:rPr>
        <w:t xml:space="preserve">entanyl </w:t>
      </w:r>
      <w:r w:rsidRPr="005853B8">
        <w:rPr>
          <w:lang w:val="de-DE"/>
        </w:rPr>
        <w:t>u</w:t>
      </w:r>
      <w:r w:rsidR="0044259A" w:rsidRPr="005853B8">
        <w:rPr>
          <w:lang w:val="de-DE"/>
        </w:rPr>
        <w:t xml:space="preserve">nd </w:t>
      </w:r>
      <w:r w:rsidRPr="005853B8">
        <w:rPr>
          <w:lang w:val="de-DE"/>
        </w:rPr>
        <w:t>Fentanyld</w:t>
      </w:r>
      <w:r w:rsidR="0044259A" w:rsidRPr="005853B8">
        <w:rPr>
          <w:lang w:val="de-DE"/>
        </w:rPr>
        <w:t>erivat</w:t>
      </w:r>
      <w:r w:rsidRPr="005853B8">
        <w:rPr>
          <w:lang w:val="de-DE"/>
        </w:rPr>
        <w:t xml:space="preserve">en </w:t>
      </w:r>
      <w:r w:rsidR="00424B53">
        <w:rPr>
          <w:lang w:val="de-DE"/>
        </w:rPr>
        <w:t>standen</w:t>
      </w:r>
      <w:r w:rsidR="0044259A" w:rsidRPr="005853B8">
        <w:rPr>
          <w:lang w:val="de-DE"/>
        </w:rPr>
        <w:t xml:space="preserve">. </w:t>
      </w:r>
      <w:r w:rsidR="00EE499B" w:rsidRPr="005853B8">
        <w:rPr>
          <w:lang w:val="de-DE"/>
        </w:rPr>
        <w:t xml:space="preserve">Über das </w:t>
      </w:r>
      <w:r w:rsidR="005D3EB5">
        <w:rPr>
          <w:lang w:val="de-DE"/>
        </w:rPr>
        <w:t xml:space="preserve">                                 </w:t>
      </w:r>
      <w:r w:rsidR="00EE499B" w:rsidRPr="005853B8">
        <w:rPr>
          <w:b/>
          <w:lang w:val="de-DE"/>
        </w:rPr>
        <w:t xml:space="preserve">EU-Frühwarnsystem (EU-EWS) </w:t>
      </w:r>
      <w:r w:rsidR="00EE499B" w:rsidRPr="005853B8">
        <w:rPr>
          <w:lang w:val="de-DE"/>
        </w:rPr>
        <w:t xml:space="preserve">wurde ein zunehmender illegaler Drogenhandel mit nicht </w:t>
      </w:r>
      <w:r w:rsidRPr="005853B8">
        <w:rPr>
          <w:lang w:val="de-DE"/>
        </w:rPr>
        <w:t>k</w:t>
      </w:r>
      <w:r w:rsidR="0044259A" w:rsidRPr="005853B8">
        <w:rPr>
          <w:lang w:val="de-DE"/>
        </w:rPr>
        <w:t>ontroll</w:t>
      </w:r>
      <w:r w:rsidRPr="005853B8">
        <w:rPr>
          <w:lang w:val="de-DE"/>
        </w:rPr>
        <w:t>ierte</w:t>
      </w:r>
      <w:r w:rsidR="00EE499B" w:rsidRPr="005853B8">
        <w:rPr>
          <w:lang w:val="de-DE"/>
        </w:rPr>
        <w:t>n</w:t>
      </w:r>
      <w:r w:rsidRPr="005853B8">
        <w:rPr>
          <w:lang w:val="de-DE"/>
        </w:rPr>
        <w:t xml:space="preserve"> F</w:t>
      </w:r>
      <w:r w:rsidR="0044259A" w:rsidRPr="005853B8">
        <w:rPr>
          <w:lang w:val="de-DE"/>
        </w:rPr>
        <w:t>entanylderivat</w:t>
      </w:r>
      <w:r w:rsidRPr="005853B8">
        <w:rPr>
          <w:lang w:val="de-DE"/>
        </w:rPr>
        <w:t>e</w:t>
      </w:r>
      <w:r w:rsidR="00424B53">
        <w:rPr>
          <w:lang w:val="de-DE"/>
        </w:rPr>
        <w:t>n</w:t>
      </w:r>
      <w:r w:rsidR="0044259A" w:rsidRPr="005853B8">
        <w:rPr>
          <w:lang w:val="de-DE"/>
        </w:rPr>
        <w:t xml:space="preserve"> </w:t>
      </w:r>
      <w:r w:rsidRPr="005853B8">
        <w:rPr>
          <w:lang w:val="de-DE"/>
        </w:rPr>
        <w:t>u</w:t>
      </w:r>
      <w:r w:rsidR="0044259A" w:rsidRPr="005853B8">
        <w:rPr>
          <w:lang w:val="de-DE"/>
        </w:rPr>
        <w:t xml:space="preserve">nd </w:t>
      </w:r>
      <w:r w:rsidRPr="005853B8">
        <w:rPr>
          <w:lang w:val="de-DE"/>
        </w:rPr>
        <w:t>eine</w:t>
      </w:r>
      <w:r w:rsidR="00EE499B" w:rsidRPr="005853B8">
        <w:rPr>
          <w:lang w:val="de-DE"/>
        </w:rPr>
        <w:t>r</w:t>
      </w:r>
      <w:r w:rsidRPr="005853B8">
        <w:rPr>
          <w:lang w:val="de-DE"/>
        </w:rPr>
        <w:t xml:space="preserve"> Reihe anderer starker </w:t>
      </w:r>
      <w:r w:rsidR="0044259A" w:rsidRPr="005853B8">
        <w:rPr>
          <w:lang w:val="de-DE"/>
        </w:rPr>
        <w:t>syntheti</w:t>
      </w:r>
      <w:r w:rsidRPr="005853B8">
        <w:rPr>
          <w:lang w:val="de-DE"/>
        </w:rPr>
        <w:t>scher Op</w:t>
      </w:r>
      <w:r w:rsidR="0044259A" w:rsidRPr="005853B8">
        <w:rPr>
          <w:lang w:val="de-DE"/>
        </w:rPr>
        <w:t>ioid</w:t>
      </w:r>
      <w:r w:rsidRPr="005853B8">
        <w:rPr>
          <w:lang w:val="de-DE"/>
        </w:rPr>
        <w:t>e</w:t>
      </w:r>
      <w:r w:rsidR="0044259A" w:rsidRPr="005853B8">
        <w:rPr>
          <w:lang w:val="de-DE"/>
        </w:rPr>
        <w:t xml:space="preserve"> (</w:t>
      </w:r>
      <w:r w:rsidRPr="005853B8">
        <w:rPr>
          <w:lang w:val="de-DE"/>
        </w:rPr>
        <w:t xml:space="preserve">z. B. </w:t>
      </w:r>
      <w:r w:rsidR="0044259A" w:rsidRPr="005853B8">
        <w:rPr>
          <w:lang w:val="de-DE"/>
        </w:rPr>
        <w:t xml:space="preserve">AH-7921) </w:t>
      </w:r>
      <w:r w:rsidRPr="005853B8">
        <w:rPr>
          <w:lang w:val="de-DE"/>
        </w:rPr>
        <w:t>gemeldet</w:t>
      </w:r>
      <w:r w:rsidR="0044259A" w:rsidRPr="005853B8">
        <w:rPr>
          <w:lang w:val="de-DE"/>
        </w:rPr>
        <w:t>.</w:t>
      </w:r>
      <w:r w:rsidR="00A16B77" w:rsidRPr="005853B8">
        <w:rPr>
          <w:lang w:val="de-DE"/>
        </w:rPr>
        <w:t xml:space="preserve"> </w:t>
      </w:r>
    </w:p>
    <w:p w:rsidR="005E0BEB" w:rsidRPr="005853B8" w:rsidRDefault="003C2E9B" w:rsidP="003C2E9B">
      <w:pPr>
        <w:pStyle w:val="newsContent"/>
        <w:rPr>
          <w:lang w:val="de-DE"/>
        </w:rPr>
      </w:pPr>
      <w:r w:rsidRPr="005853B8">
        <w:rPr>
          <w:b/>
          <w:lang w:val="de-DE"/>
        </w:rPr>
        <w:t xml:space="preserve">HIV: </w:t>
      </w:r>
      <w:r w:rsidR="00EE499B" w:rsidRPr="005853B8">
        <w:rPr>
          <w:b/>
          <w:lang w:val="de-DE"/>
        </w:rPr>
        <w:t xml:space="preserve">Ausbrüche in einigen Ländern wirken sich </w:t>
      </w:r>
      <w:r w:rsidR="005E0BEB" w:rsidRPr="005853B8">
        <w:rPr>
          <w:b/>
          <w:lang w:val="de-DE"/>
        </w:rPr>
        <w:t>negativ</w:t>
      </w:r>
      <w:r w:rsidR="00EE499B" w:rsidRPr="005853B8">
        <w:rPr>
          <w:b/>
          <w:lang w:val="de-DE"/>
        </w:rPr>
        <w:t xml:space="preserve"> auf den</w:t>
      </w:r>
      <w:r w:rsidR="005E0BEB" w:rsidRPr="005853B8">
        <w:rPr>
          <w:b/>
          <w:lang w:val="de-DE"/>
        </w:rPr>
        <w:t xml:space="preserve"> EU</w:t>
      </w:r>
      <w:r w:rsidR="00EE499B" w:rsidRPr="005853B8">
        <w:rPr>
          <w:b/>
          <w:lang w:val="de-DE"/>
        </w:rPr>
        <w:t>-T</w:t>
      </w:r>
      <w:r w:rsidR="005E0BEB" w:rsidRPr="005853B8">
        <w:rPr>
          <w:b/>
          <w:lang w:val="de-DE"/>
        </w:rPr>
        <w:t xml:space="preserve">rend </w:t>
      </w:r>
      <w:r w:rsidR="00EE499B" w:rsidRPr="005853B8">
        <w:rPr>
          <w:b/>
          <w:lang w:val="de-DE"/>
        </w:rPr>
        <w:t>aus</w:t>
      </w:r>
    </w:p>
    <w:p w:rsidR="00AC31CE" w:rsidRPr="005853B8" w:rsidRDefault="00EE499B" w:rsidP="00AD6931">
      <w:pPr>
        <w:pStyle w:val="newsContent"/>
        <w:ind w:right="-144"/>
        <w:rPr>
          <w:lang w:val="de-DE"/>
        </w:rPr>
      </w:pPr>
      <w:r w:rsidRPr="005853B8">
        <w:rPr>
          <w:lang w:val="de-DE"/>
        </w:rPr>
        <w:t>Im vergangenen Jahrzehnt wurden in der EU in Bezug auf die Problematik von HIV-Infektionen bei jungen Menschen, die Drogen injizieren, große Fortschritte erzielt</w:t>
      </w:r>
      <w:r w:rsidR="00A67C58" w:rsidRPr="005853B8">
        <w:rPr>
          <w:lang w:val="de-DE"/>
        </w:rPr>
        <w:t xml:space="preserve">. Hierzu zählen </w:t>
      </w:r>
      <w:r w:rsidRPr="005853B8">
        <w:rPr>
          <w:lang w:val="de-DE"/>
        </w:rPr>
        <w:t>u. a. ein größeres Prä</w:t>
      </w:r>
      <w:r w:rsidR="00AC31CE" w:rsidRPr="005853B8">
        <w:rPr>
          <w:lang w:val="de-DE"/>
        </w:rPr>
        <w:t>vention</w:t>
      </w:r>
      <w:r w:rsidRPr="005853B8">
        <w:rPr>
          <w:lang w:val="de-DE"/>
        </w:rPr>
        <w:t>s- und</w:t>
      </w:r>
      <w:r w:rsidR="00AC31CE" w:rsidRPr="005853B8">
        <w:rPr>
          <w:lang w:val="de-DE"/>
        </w:rPr>
        <w:t xml:space="preserve"> </w:t>
      </w:r>
      <w:r w:rsidRPr="005853B8">
        <w:rPr>
          <w:lang w:val="de-DE"/>
        </w:rPr>
        <w:t xml:space="preserve">Behandlungsangebot sowie </w:t>
      </w:r>
      <w:r w:rsidR="00424B53">
        <w:rPr>
          <w:lang w:val="de-DE"/>
        </w:rPr>
        <w:t>eine größere Anzahl von</w:t>
      </w:r>
      <w:r w:rsidR="00F57E96">
        <w:rPr>
          <w:lang w:val="de-DE"/>
        </w:rPr>
        <w:t xml:space="preserve"> </w:t>
      </w:r>
      <w:r w:rsidRPr="005853B8">
        <w:rPr>
          <w:lang w:val="de-DE"/>
        </w:rPr>
        <w:t xml:space="preserve">Maßnahmen zur </w:t>
      </w:r>
      <w:r w:rsidR="00424B53">
        <w:rPr>
          <w:lang w:val="de-DE"/>
        </w:rPr>
        <w:t>Schadensminimierung</w:t>
      </w:r>
      <w:r w:rsidR="00AC31CE" w:rsidRPr="005853B8">
        <w:rPr>
          <w:lang w:val="de-DE"/>
        </w:rPr>
        <w:t>.</w:t>
      </w:r>
      <w:r w:rsidR="00F57E96">
        <w:rPr>
          <w:lang w:val="de-DE"/>
        </w:rPr>
        <w:t xml:space="preserve">      </w:t>
      </w:r>
      <w:r w:rsidR="00224F85">
        <w:rPr>
          <w:lang w:val="de-DE"/>
        </w:rPr>
        <w:t xml:space="preserve"> </w:t>
      </w:r>
      <w:r w:rsidR="005D3EB5">
        <w:rPr>
          <w:lang w:val="de-DE"/>
        </w:rPr>
        <w:t xml:space="preserve">         </w:t>
      </w:r>
      <w:r w:rsidRPr="005853B8">
        <w:rPr>
          <w:lang w:val="de-DE"/>
        </w:rPr>
        <w:t>Die jüngsten Daten zeigen jedoch</w:t>
      </w:r>
      <w:r w:rsidR="00AC31CE" w:rsidRPr="005853B8">
        <w:rPr>
          <w:lang w:val="de-DE"/>
        </w:rPr>
        <w:t xml:space="preserve">, </w:t>
      </w:r>
      <w:r w:rsidRPr="005853B8">
        <w:rPr>
          <w:lang w:val="de-DE"/>
        </w:rPr>
        <w:t xml:space="preserve">dass sich die Entwicklungen in einigen Ländern </w:t>
      </w:r>
      <w:r w:rsidR="00AC31CE" w:rsidRPr="005853B8">
        <w:rPr>
          <w:lang w:val="de-DE"/>
        </w:rPr>
        <w:t xml:space="preserve">negativ </w:t>
      </w:r>
      <w:r w:rsidRPr="005853B8">
        <w:rPr>
          <w:lang w:val="de-DE"/>
        </w:rPr>
        <w:t xml:space="preserve">auf den </w:t>
      </w:r>
      <w:r w:rsidR="00360292" w:rsidRPr="005853B8">
        <w:rPr>
          <w:lang w:val="de-DE"/>
        </w:rPr>
        <w:t xml:space="preserve">langfristigen Rückgang der </w:t>
      </w:r>
      <w:r w:rsidR="00941060">
        <w:rPr>
          <w:lang w:val="de-DE"/>
        </w:rPr>
        <w:t>Gesamtz</w:t>
      </w:r>
      <w:r w:rsidR="00360292" w:rsidRPr="005853B8">
        <w:rPr>
          <w:lang w:val="de-DE"/>
        </w:rPr>
        <w:t xml:space="preserve">ahl der diagnostizierten HIV-Neuinfektionen </w:t>
      </w:r>
      <w:r w:rsidR="00AC31CE" w:rsidRPr="005853B8">
        <w:rPr>
          <w:lang w:val="de-DE"/>
        </w:rPr>
        <w:t>in Europ</w:t>
      </w:r>
      <w:r w:rsidR="00360292" w:rsidRPr="005853B8">
        <w:rPr>
          <w:lang w:val="de-DE"/>
        </w:rPr>
        <w:t>a auswirken</w:t>
      </w:r>
      <w:r w:rsidR="00AC31CE" w:rsidRPr="005853B8">
        <w:rPr>
          <w:lang w:val="de-DE"/>
        </w:rPr>
        <w:t>.</w:t>
      </w:r>
      <w:r w:rsidR="00F57E96">
        <w:rPr>
          <w:lang w:val="de-DE"/>
        </w:rPr>
        <w:t xml:space="preserve">        </w:t>
      </w:r>
      <w:r w:rsidR="00224F85">
        <w:rPr>
          <w:lang w:val="de-DE"/>
        </w:rPr>
        <w:t xml:space="preserve"> </w:t>
      </w:r>
      <w:r w:rsidR="00360292" w:rsidRPr="005853B8">
        <w:rPr>
          <w:lang w:val="de-DE"/>
        </w:rPr>
        <w:t>In dem Bericht heißt es: „</w:t>
      </w:r>
      <w:r w:rsidR="00941060" w:rsidRPr="002406E7">
        <w:rPr>
          <w:lang w:val="de-DE"/>
        </w:rPr>
        <w:t xml:space="preserve">Das </w:t>
      </w:r>
      <w:r w:rsidR="003E7018" w:rsidRPr="002406E7">
        <w:rPr>
          <w:lang w:val="de-DE"/>
        </w:rPr>
        <w:t xml:space="preserve">vermehrte </w:t>
      </w:r>
      <w:r w:rsidR="00941060" w:rsidRPr="002406E7">
        <w:rPr>
          <w:lang w:val="de-DE"/>
        </w:rPr>
        <w:t>Auftreten</w:t>
      </w:r>
      <w:r w:rsidR="00F57E96" w:rsidRPr="002406E7">
        <w:rPr>
          <w:lang w:val="de-DE"/>
        </w:rPr>
        <w:t xml:space="preserve"> </w:t>
      </w:r>
      <w:r w:rsidR="00360292" w:rsidRPr="002406E7">
        <w:rPr>
          <w:lang w:val="de-DE"/>
        </w:rPr>
        <w:t>von</w:t>
      </w:r>
      <w:r w:rsidR="00360292" w:rsidRPr="005853B8">
        <w:rPr>
          <w:lang w:val="de-DE"/>
        </w:rPr>
        <w:t xml:space="preserve"> HIV-Infektionen bei Drogenkonsum</w:t>
      </w:r>
      <w:r w:rsidR="00941060">
        <w:rPr>
          <w:lang w:val="de-DE"/>
        </w:rPr>
        <w:t>ierenden</w:t>
      </w:r>
      <w:r w:rsidR="00F57E96">
        <w:rPr>
          <w:lang w:val="de-DE"/>
        </w:rPr>
        <w:t xml:space="preserve"> </w:t>
      </w:r>
      <w:r w:rsidR="00360292" w:rsidRPr="005853B8">
        <w:rPr>
          <w:lang w:val="de-DE"/>
        </w:rPr>
        <w:t xml:space="preserve">in </w:t>
      </w:r>
      <w:r w:rsidR="00360292" w:rsidRPr="005853B8">
        <w:rPr>
          <w:b/>
          <w:lang w:val="de-DE"/>
        </w:rPr>
        <w:lastRenderedPageBreak/>
        <w:t>Griechenland</w:t>
      </w:r>
      <w:r w:rsidR="00360292" w:rsidRPr="005853B8">
        <w:rPr>
          <w:lang w:val="de-DE"/>
        </w:rPr>
        <w:t xml:space="preserve"> und </w:t>
      </w:r>
      <w:r w:rsidR="00360292" w:rsidRPr="005853B8">
        <w:rPr>
          <w:b/>
          <w:lang w:val="de-DE"/>
        </w:rPr>
        <w:t xml:space="preserve">Rumänien </w:t>
      </w:r>
      <w:r w:rsidR="00941060" w:rsidRPr="00224F85">
        <w:rPr>
          <w:lang w:val="de-DE"/>
        </w:rPr>
        <w:t xml:space="preserve">gemeinsam mit </w:t>
      </w:r>
      <w:r w:rsidR="00360292" w:rsidRPr="00941060">
        <w:rPr>
          <w:lang w:val="de-DE"/>
        </w:rPr>
        <w:t>anhaltende</w:t>
      </w:r>
      <w:r w:rsidR="00941060">
        <w:rPr>
          <w:lang w:val="de-DE"/>
        </w:rPr>
        <w:t>n</w:t>
      </w:r>
      <w:r w:rsidR="00360292" w:rsidRPr="00941060">
        <w:rPr>
          <w:lang w:val="de-DE"/>
        </w:rPr>
        <w:t xml:space="preserve"> Probleme</w:t>
      </w:r>
      <w:r w:rsidR="00941060">
        <w:rPr>
          <w:lang w:val="de-DE"/>
        </w:rPr>
        <w:t>n</w:t>
      </w:r>
      <w:r w:rsidR="00360292" w:rsidRPr="00941060">
        <w:rPr>
          <w:lang w:val="de-DE"/>
        </w:rPr>
        <w:t xml:space="preserve"> in einigen baltischen Staaten </w:t>
      </w:r>
      <w:r w:rsidR="00941060">
        <w:rPr>
          <w:lang w:val="de-DE"/>
        </w:rPr>
        <w:t>führen zu eine</w:t>
      </w:r>
      <w:r w:rsidR="00A8610D">
        <w:rPr>
          <w:lang w:val="de-DE"/>
        </w:rPr>
        <w:t>r Stagnation</w:t>
      </w:r>
      <w:r w:rsidR="00F57E96">
        <w:rPr>
          <w:lang w:val="de-DE"/>
        </w:rPr>
        <w:t xml:space="preserve"> </w:t>
      </w:r>
      <w:r w:rsidR="00360292" w:rsidRPr="00941060">
        <w:rPr>
          <w:lang w:val="de-DE"/>
        </w:rPr>
        <w:t>d</w:t>
      </w:r>
      <w:r w:rsidR="00941060">
        <w:rPr>
          <w:lang w:val="de-DE"/>
        </w:rPr>
        <w:t>er</w:t>
      </w:r>
      <w:r w:rsidR="00360292" w:rsidRPr="00941060">
        <w:rPr>
          <w:lang w:val="de-DE"/>
        </w:rPr>
        <w:t xml:space="preserve"> Fortschritte</w:t>
      </w:r>
      <w:r w:rsidR="00360292" w:rsidRPr="005853B8">
        <w:rPr>
          <w:lang w:val="de-DE"/>
        </w:rPr>
        <w:t xml:space="preserve"> Europas bei der Senkung der Zahl neuer drogenbe</w:t>
      </w:r>
      <w:r w:rsidR="00A8610D">
        <w:rPr>
          <w:lang w:val="de-DE"/>
        </w:rPr>
        <w:t>zogener</w:t>
      </w:r>
      <w:r w:rsidR="00F57E96">
        <w:rPr>
          <w:lang w:val="de-DE"/>
        </w:rPr>
        <w:t xml:space="preserve"> </w:t>
      </w:r>
      <w:r w:rsidR="006C6531">
        <w:rPr>
          <w:lang w:val="de-DE"/>
        </w:rPr>
        <w:t xml:space="preserve"> </w:t>
      </w:r>
      <w:r w:rsidR="00941060">
        <w:rPr>
          <w:lang w:val="de-DE"/>
        </w:rPr>
        <w:t>HIV-</w:t>
      </w:r>
      <w:r w:rsidR="00360292" w:rsidRPr="005853B8">
        <w:rPr>
          <w:lang w:val="de-DE"/>
        </w:rPr>
        <w:t>Infektionen</w:t>
      </w:r>
      <w:r w:rsidR="00A67C58" w:rsidRPr="005853B8">
        <w:rPr>
          <w:lang w:val="de-DE"/>
        </w:rPr>
        <w:t>.</w:t>
      </w:r>
      <w:r w:rsidR="00360292" w:rsidRPr="005853B8">
        <w:rPr>
          <w:lang w:val="de-DE"/>
        </w:rPr>
        <w:t>“</w:t>
      </w:r>
      <w:r w:rsidR="00AC31CE" w:rsidRPr="005853B8">
        <w:rPr>
          <w:lang w:val="de-DE"/>
        </w:rPr>
        <w:t xml:space="preserve"> </w:t>
      </w:r>
    </w:p>
    <w:p w:rsidR="00AC31CE" w:rsidRPr="005853B8" w:rsidRDefault="00360292" w:rsidP="00AD6931">
      <w:pPr>
        <w:pStyle w:val="newsContent"/>
        <w:ind w:right="-144"/>
        <w:rPr>
          <w:lang w:val="de-DE"/>
        </w:rPr>
      </w:pPr>
      <w:r w:rsidRPr="005853B8">
        <w:rPr>
          <w:lang w:val="de-DE"/>
        </w:rPr>
        <w:t xml:space="preserve">Im </w:t>
      </w:r>
      <w:r w:rsidR="0034186C" w:rsidRPr="005853B8">
        <w:rPr>
          <w:lang w:val="de-DE"/>
        </w:rPr>
        <w:t>Jahr </w:t>
      </w:r>
      <w:r w:rsidRPr="005853B8">
        <w:rPr>
          <w:lang w:val="de-DE"/>
        </w:rPr>
        <w:t>2012 betrug der durchschnittliche Anteil der gemeldeten HIV-Neudiagnosen, die auf injizierenden Drogenkonsum zurückgeführt wurden, 3,1 je 1 Million Einwohner</w:t>
      </w:r>
      <w:r w:rsidR="00B02CFE">
        <w:rPr>
          <w:lang w:val="de-DE"/>
        </w:rPr>
        <w:t>/innen</w:t>
      </w:r>
      <w:r w:rsidRPr="005853B8">
        <w:rPr>
          <w:lang w:val="de-DE"/>
        </w:rPr>
        <w:t xml:space="preserve">. </w:t>
      </w:r>
      <w:r w:rsidR="00AC31CE" w:rsidRPr="005853B8">
        <w:rPr>
          <w:lang w:val="de-DE"/>
        </w:rPr>
        <w:t xml:space="preserve">In </w:t>
      </w:r>
      <w:r w:rsidR="00AC31CE" w:rsidRPr="005853B8">
        <w:rPr>
          <w:b/>
          <w:lang w:val="de-DE"/>
        </w:rPr>
        <w:t>Est</w:t>
      </w:r>
      <w:r w:rsidRPr="005853B8">
        <w:rPr>
          <w:b/>
          <w:lang w:val="de-DE"/>
        </w:rPr>
        <w:t>land</w:t>
      </w:r>
      <w:r w:rsidR="00AC31CE" w:rsidRPr="005853B8">
        <w:rPr>
          <w:lang w:val="de-DE"/>
        </w:rPr>
        <w:t xml:space="preserve"> </w:t>
      </w:r>
      <w:r w:rsidRPr="005853B8">
        <w:rPr>
          <w:lang w:val="de-DE"/>
        </w:rPr>
        <w:t>verharrt die R</w:t>
      </w:r>
      <w:r w:rsidR="00AC31CE" w:rsidRPr="005853B8">
        <w:rPr>
          <w:lang w:val="de-DE"/>
        </w:rPr>
        <w:t xml:space="preserve">ate </w:t>
      </w:r>
      <w:r w:rsidRPr="005853B8">
        <w:rPr>
          <w:lang w:val="de-DE"/>
        </w:rPr>
        <w:t>der Neud</w:t>
      </w:r>
      <w:r w:rsidR="00AC31CE" w:rsidRPr="005853B8">
        <w:rPr>
          <w:lang w:val="de-DE"/>
        </w:rPr>
        <w:t>iagnose</w:t>
      </w:r>
      <w:r w:rsidRPr="005853B8">
        <w:rPr>
          <w:lang w:val="de-DE"/>
        </w:rPr>
        <w:t>n weiterhin auf hohem Niveau</w:t>
      </w:r>
      <w:r w:rsidR="00AC31CE" w:rsidRPr="005853B8">
        <w:rPr>
          <w:lang w:val="de-DE"/>
        </w:rPr>
        <w:t xml:space="preserve"> (53</w:t>
      </w:r>
      <w:r w:rsidRPr="005853B8">
        <w:rPr>
          <w:lang w:val="de-DE"/>
        </w:rPr>
        <w:t>,</w:t>
      </w:r>
      <w:r w:rsidR="00AC31CE" w:rsidRPr="005853B8">
        <w:rPr>
          <w:lang w:val="de-DE"/>
        </w:rPr>
        <w:t>7</w:t>
      </w:r>
      <w:r w:rsidRPr="005853B8">
        <w:rPr>
          <w:lang w:val="de-DE"/>
        </w:rPr>
        <w:t> </w:t>
      </w:r>
      <w:r w:rsidR="00C4338E" w:rsidRPr="005853B8">
        <w:rPr>
          <w:lang w:val="de-DE"/>
        </w:rPr>
        <w:t>Fälle je 1 M</w:t>
      </w:r>
      <w:r w:rsidR="00AC31CE" w:rsidRPr="005853B8">
        <w:rPr>
          <w:lang w:val="de-DE"/>
        </w:rPr>
        <w:t xml:space="preserve">illion </w:t>
      </w:r>
      <w:r w:rsidR="00C4338E" w:rsidRPr="005853B8">
        <w:rPr>
          <w:lang w:val="de-DE"/>
        </w:rPr>
        <w:t>Einwohner</w:t>
      </w:r>
      <w:r w:rsidR="00B02CFE">
        <w:rPr>
          <w:lang w:val="de-DE"/>
        </w:rPr>
        <w:t>/innen</w:t>
      </w:r>
      <w:r w:rsidR="00AC31CE" w:rsidRPr="005853B8">
        <w:rPr>
          <w:lang w:val="de-DE"/>
        </w:rPr>
        <w:t xml:space="preserve"> </w:t>
      </w:r>
      <w:r w:rsidR="00A8610D">
        <w:rPr>
          <w:lang w:val="de-DE"/>
        </w:rPr>
        <w:t xml:space="preserve">im Jahr </w:t>
      </w:r>
      <w:r w:rsidR="00AC31CE" w:rsidRPr="005853B8">
        <w:rPr>
          <w:lang w:val="de-DE"/>
        </w:rPr>
        <w:t>2012), w</w:t>
      </w:r>
      <w:r w:rsidR="00C4338E" w:rsidRPr="005853B8">
        <w:rPr>
          <w:lang w:val="de-DE"/>
        </w:rPr>
        <w:t>ährend</w:t>
      </w:r>
      <w:r w:rsidR="00AC31CE" w:rsidRPr="005853B8">
        <w:rPr>
          <w:lang w:val="de-DE"/>
        </w:rPr>
        <w:t xml:space="preserve"> </w:t>
      </w:r>
      <w:r w:rsidR="00C4338E" w:rsidRPr="005853B8">
        <w:rPr>
          <w:lang w:val="de-DE"/>
        </w:rPr>
        <w:t xml:space="preserve">die jährliche Rate </w:t>
      </w:r>
      <w:r w:rsidR="00AC31CE" w:rsidRPr="005853B8">
        <w:rPr>
          <w:lang w:val="de-DE"/>
        </w:rPr>
        <w:t xml:space="preserve">in </w:t>
      </w:r>
      <w:r w:rsidR="00AC31CE" w:rsidRPr="005853B8">
        <w:rPr>
          <w:b/>
          <w:lang w:val="de-DE"/>
        </w:rPr>
        <w:t>L</w:t>
      </w:r>
      <w:r w:rsidR="00C4338E" w:rsidRPr="005853B8">
        <w:rPr>
          <w:b/>
          <w:lang w:val="de-DE"/>
        </w:rPr>
        <w:t>ettland</w:t>
      </w:r>
      <w:r w:rsidR="00AC31CE" w:rsidRPr="005853B8">
        <w:rPr>
          <w:lang w:val="de-DE"/>
        </w:rPr>
        <w:t xml:space="preserve"> </w:t>
      </w:r>
      <w:r w:rsidR="00C4338E" w:rsidRPr="005853B8">
        <w:rPr>
          <w:lang w:val="de-DE"/>
        </w:rPr>
        <w:t xml:space="preserve">seit </w:t>
      </w:r>
      <w:r w:rsidR="00AC31CE" w:rsidRPr="005853B8">
        <w:rPr>
          <w:lang w:val="de-DE"/>
        </w:rPr>
        <w:t xml:space="preserve">2009 </w:t>
      </w:r>
      <w:r w:rsidR="00C4338E" w:rsidRPr="005853B8">
        <w:rPr>
          <w:lang w:val="de-DE"/>
        </w:rPr>
        <w:t xml:space="preserve">weiter steigt </w:t>
      </w:r>
      <w:r w:rsidR="00AC31CE" w:rsidRPr="005853B8">
        <w:rPr>
          <w:lang w:val="de-DE"/>
        </w:rPr>
        <w:t>(</w:t>
      </w:r>
      <w:r w:rsidR="00C4338E" w:rsidRPr="005853B8">
        <w:rPr>
          <w:lang w:val="de-DE"/>
        </w:rPr>
        <w:t>von</w:t>
      </w:r>
      <w:r w:rsidR="00AC31CE" w:rsidRPr="005853B8">
        <w:rPr>
          <w:lang w:val="de-DE"/>
        </w:rPr>
        <w:t xml:space="preserve"> 34</w:t>
      </w:r>
      <w:r w:rsidR="00C4338E" w:rsidRPr="005853B8">
        <w:rPr>
          <w:lang w:val="de-DE"/>
        </w:rPr>
        <w:t>,</w:t>
      </w:r>
      <w:r w:rsidR="00AC31CE" w:rsidRPr="005853B8">
        <w:rPr>
          <w:lang w:val="de-DE"/>
        </w:rPr>
        <w:t>5</w:t>
      </w:r>
      <w:r w:rsidR="00C4338E" w:rsidRPr="005853B8">
        <w:rPr>
          <w:lang w:val="de-DE"/>
        </w:rPr>
        <w:t> Fällen je 1 M</w:t>
      </w:r>
      <w:r w:rsidR="00AC31CE" w:rsidRPr="005853B8">
        <w:rPr>
          <w:lang w:val="de-DE"/>
        </w:rPr>
        <w:t xml:space="preserve">illion </w:t>
      </w:r>
      <w:r w:rsidR="00C4338E" w:rsidRPr="005853B8">
        <w:rPr>
          <w:lang w:val="de-DE"/>
        </w:rPr>
        <w:t>Einwohner</w:t>
      </w:r>
      <w:r w:rsidR="00B02CFE">
        <w:rPr>
          <w:lang w:val="de-DE"/>
        </w:rPr>
        <w:t>/innen</w:t>
      </w:r>
      <w:r w:rsidR="00C4338E" w:rsidRPr="005853B8">
        <w:rPr>
          <w:lang w:val="de-DE"/>
        </w:rPr>
        <w:t xml:space="preserve"> </w:t>
      </w:r>
      <w:r w:rsidR="00A8610D">
        <w:rPr>
          <w:lang w:val="de-DE"/>
        </w:rPr>
        <w:t xml:space="preserve">im Jahr </w:t>
      </w:r>
      <w:r w:rsidR="00AC31CE" w:rsidRPr="005853B8">
        <w:rPr>
          <w:lang w:val="de-DE"/>
        </w:rPr>
        <w:t xml:space="preserve">2009 </w:t>
      </w:r>
      <w:r w:rsidR="00C4338E" w:rsidRPr="005853B8">
        <w:rPr>
          <w:lang w:val="de-DE"/>
        </w:rPr>
        <w:t>auf</w:t>
      </w:r>
      <w:r w:rsidR="00AC31CE" w:rsidRPr="005853B8">
        <w:rPr>
          <w:lang w:val="de-DE"/>
        </w:rPr>
        <w:t xml:space="preserve"> 46</w:t>
      </w:r>
      <w:r w:rsidR="00C4338E" w:rsidRPr="005853B8">
        <w:rPr>
          <w:lang w:val="de-DE"/>
        </w:rPr>
        <w:t>,</w:t>
      </w:r>
      <w:r w:rsidR="00AC31CE" w:rsidRPr="005853B8">
        <w:rPr>
          <w:lang w:val="de-DE"/>
        </w:rPr>
        <w:t xml:space="preserve">0 </w:t>
      </w:r>
      <w:r w:rsidR="00C4338E" w:rsidRPr="005853B8">
        <w:rPr>
          <w:lang w:val="de-DE"/>
        </w:rPr>
        <w:t xml:space="preserve">im </w:t>
      </w:r>
      <w:r w:rsidR="0034186C" w:rsidRPr="005853B8">
        <w:rPr>
          <w:lang w:val="de-DE"/>
        </w:rPr>
        <w:t>Jahr </w:t>
      </w:r>
      <w:r w:rsidR="00AC31CE" w:rsidRPr="005853B8">
        <w:rPr>
          <w:lang w:val="de-DE"/>
        </w:rPr>
        <w:t xml:space="preserve">2012). </w:t>
      </w:r>
      <w:r w:rsidR="00C4338E" w:rsidRPr="005853B8">
        <w:rPr>
          <w:rFonts w:cs="Arial"/>
          <w:szCs w:val="20"/>
          <w:lang w:val="de-DE"/>
        </w:rPr>
        <w:t xml:space="preserve">Im </w:t>
      </w:r>
      <w:r w:rsidR="0034186C" w:rsidRPr="005853B8">
        <w:rPr>
          <w:rFonts w:cs="Arial"/>
          <w:szCs w:val="20"/>
          <w:lang w:val="de-DE"/>
        </w:rPr>
        <w:t>Jahr </w:t>
      </w:r>
      <w:r w:rsidR="00C4338E" w:rsidRPr="005853B8">
        <w:rPr>
          <w:rFonts w:cs="Arial"/>
          <w:szCs w:val="20"/>
          <w:lang w:val="de-DE"/>
        </w:rPr>
        <w:t xml:space="preserve">2012 wurden 1 788 neue Fälle gemeldet. Dies bedeutet einen geringfügigen Anstieg gegenüber 2011 (1 732), womit sich der seit 2010 beobachtete </w:t>
      </w:r>
      <w:r w:rsidR="00A67C58" w:rsidRPr="005853B8">
        <w:rPr>
          <w:rFonts w:cs="Arial"/>
          <w:szCs w:val="20"/>
          <w:lang w:val="de-DE"/>
        </w:rPr>
        <w:t>Trend nach oben</w:t>
      </w:r>
      <w:r w:rsidR="00C4338E" w:rsidRPr="005853B8">
        <w:rPr>
          <w:rFonts w:cs="Arial"/>
          <w:szCs w:val="20"/>
          <w:lang w:val="de-DE"/>
        </w:rPr>
        <w:t xml:space="preserve"> fortsetzt</w:t>
      </w:r>
      <w:r w:rsidR="00C4338E" w:rsidRPr="005853B8">
        <w:rPr>
          <w:szCs w:val="20"/>
          <w:lang w:val="de-DE"/>
        </w:rPr>
        <w:t xml:space="preserve"> (</w:t>
      </w:r>
      <w:r w:rsidR="00F605A6" w:rsidRPr="005853B8">
        <w:rPr>
          <w:szCs w:val="20"/>
          <w:lang w:val="de-DE"/>
        </w:rPr>
        <w:t>Abbildung </w:t>
      </w:r>
      <w:r w:rsidR="00AC31CE" w:rsidRPr="005853B8">
        <w:rPr>
          <w:lang w:val="de-DE"/>
        </w:rPr>
        <w:t xml:space="preserve">2.11). </w:t>
      </w:r>
      <w:r w:rsidR="00892975">
        <w:rPr>
          <w:lang w:val="de-DE"/>
        </w:rPr>
        <w:t>Während i</w:t>
      </w:r>
      <w:r w:rsidR="00C4338E" w:rsidRPr="005853B8">
        <w:rPr>
          <w:lang w:val="de-DE"/>
        </w:rPr>
        <w:t xml:space="preserve">m </w:t>
      </w:r>
      <w:r w:rsidR="0034186C" w:rsidRPr="005853B8">
        <w:rPr>
          <w:lang w:val="de-DE"/>
        </w:rPr>
        <w:t>Jahr </w:t>
      </w:r>
      <w:r w:rsidR="00C4338E" w:rsidRPr="005853B8">
        <w:rPr>
          <w:lang w:val="de-DE"/>
        </w:rPr>
        <w:t xml:space="preserve">2010 auf </w:t>
      </w:r>
      <w:r w:rsidR="00C4338E" w:rsidRPr="005853B8">
        <w:rPr>
          <w:b/>
          <w:lang w:val="de-DE"/>
        </w:rPr>
        <w:t>Griechenland</w:t>
      </w:r>
      <w:r w:rsidR="00C4338E" w:rsidRPr="005853B8">
        <w:rPr>
          <w:lang w:val="de-DE"/>
        </w:rPr>
        <w:t xml:space="preserve"> und </w:t>
      </w:r>
      <w:r w:rsidR="00C4338E" w:rsidRPr="005853B8">
        <w:rPr>
          <w:b/>
          <w:lang w:val="de-DE"/>
        </w:rPr>
        <w:t xml:space="preserve">Rumänien </w:t>
      </w:r>
      <w:r w:rsidR="00C4338E" w:rsidRPr="005853B8">
        <w:rPr>
          <w:lang w:val="de-DE"/>
        </w:rPr>
        <w:t xml:space="preserve">nur etwas über 2 % der Gesamtzahl der neu </w:t>
      </w:r>
      <w:r w:rsidR="00892975" w:rsidRPr="005853B8">
        <w:rPr>
          <w:lang w:val="de-DE"/>
        </w:rPr>
        <w:t xml:space="preserve">in der EU </w:t>
      </w:r>
      <w:r w:rsidR="00C4338E" w:rsidRPr="005853B8">
        <w:rPr>
          <w:lang w:val="de-DE"/>
        </w:rPr>
        <w:t>gemeldeten Diagnosen, die auf injizierenden Drogenkonsum zurückgeführt wurden</w:t>
      </w:r>
      <w:r w:rsidR="00892975">
        <w:rPr>
          <w:lang w:val="de-DE"/>
        </w:rPr>
        <w:t>,</w:t>
      </w:r>
      <w:r w:rsidR="00892975" w:rsidRPr="00892975">
        <w:rPr>
          <w:lang w:val="de-DE"/>
        </w:rPr>
        <w:t xml:space="preserve"> </w:t>
      </w:r>
      <w:r w:rsidR="00892975" w:rsidRPr="005853B8">
        <w:rPr>
          <w:lang w:val="de-DE"/>
        </w:rPr>
        <w:t>entfielen</w:t>
      </w:r>
      <w:r w:rsidR="00C4338E" w:rsidRPr="005853B8">
        <w:rPr>
          <w:lang w:val="de-DE"/>
        </w:rPr>
        <w:t xml:space="preserve">, </w:t>
      </w:r>
      <w:r w:rsidR="00B02CFE">
        <w:rPr>
          <w:lang w:val="de-DE"/>
        </w:rPr>
        <w:t xml:space="preserve">betrug diese Zahl </w:t>
      </w:r>
      <w:r w:rsidR="00C4338E" w:rsidRPr="005853B8">
        <w:rPr>
          <w:lang w:val="de-DE"/>
        </w:rPr>
        <w:t xml:space="preserve">2012 bereits 37 % </w:t>
      </w:r>
      <w:r w:rsidR="00AC31CE" w:rsidRPr="005853B8">
        <w:rPr>
          <w:lang w:val="de-DE"/>
        </w:rPr>
        <w:t>(</w:t>
      </w:r>
      <w:r w:rsidR="00AC31CE" w:rsidRPr="005853B8">
        <w:rPr>
          <w:b/>
          <w:lang w:val="de-DE"/>
        </w:rPr>
        <w:t>Gr</w:t>
      </w:r>
      <w:r w:rsidR="00C4338E" w:rsidRPr="005853B8">
        <w:rPr>
          <w:b/>
          <w:lang w:val="de-DE"/>
        </w:rPr>
        <w:t>iechenland</w:t>
      </w:r>
      <w:r w:rsidR="00AC31CE" w:rsidRPr="005853B8">
        <w:rPr>
          <w:lang w:val="de-DE"/>
        </w:rPr>
        <w:t xml:space="preserve"> </w:t>
      </w:r>
      <w:r w:rsidR="00C4338E" w:rsidRPr="005853B8">
        <w:rPr>
          <w:lang w:val="de-DE"/>
        </w:rPr>
        <w:t>vermeldete eine Rate von</w:t>
      </w:r>
      <w:r w:rsidR="00AC31CE" w:rsidRPr="005853B8">
        <w:rPr>
          <w:lang w:val="de-DE"/>
        </w:rPr>
        <w:t xml:space="preserve"> 42</w:t>
      </w:r>
      <w:r w:rsidR="00C4338E" w:rsidRPr="005853B8">
        <w:rPr>
          <w:lang w:val="de-DE"/>
        </w:rPr>
        <w:t>,</w:t>
      </w:r>
      <w:r w:rsidR="00AC31CE" w:rsidRPr="005853B8">
        <w:rPr>
          <w:lang w:val="de-DE"/>
        </w:rPr>
        <w:t>9</w:t>
      </w:r>
      <w:r w:rsidR="00E643DD" w:rsidRPr="005853B8">
        <w:rPr>
          <w:lang w:val="de-DE"/>
        </w:rPr>
        <w:t> Fällen je 1 Million Einwohner</w:t>
      </w:r>
      <w:r w:rsidR="00B02CFE">
        <w:rPr>
          <w:lang w:val="de-DE"/>
        </w:rPr>
        <w:t>/innen</w:t>
      </w:r>
      <w:r w:rsidR="00E643DD" w:rsidRPr="005853B8">
        <w:rPr>
          <w:lang w:val="de-DE"/>
        </w:rPr>
        <w:t>,</w:t>
      </w:r>
      <w:r w:rsidR="00AC31CE" w:rsidRPr="005853B8">
        <w:rPr>
          <w:lang w:val="de-DE"/>
        </w:rPr>
        <w:t xml:space="preserve"> </w:t>
      </w:r>
      <w:r w:rsidR="00AC31CE" w:rsidRPr="005853B8">
        <w:rPr>
          <w:b/>
          <w:lang w:val="de-DE"/>
        </w:rPr>
        <w:t>R</w:t>
      </w:r>
      <w:r w:rsidR="00E643DD" w:rsidRPr="005853B8">
        <w:rPr>
          <w:b/>
          <w:lang w:val="de-DE"/>
        </w:rPr>
        <w:t>umänien</w:t>
      </w:r>
      <w:r w:rsidR="00AC31CE" w:rsidRPr="005853B8">
        <w:rPr>
          <w:lang w:val="de-DE"/>
        </w:rPr>
        <w:t xml:space="preserve"> 8</w:t>
      </w:r>
      <w:r w:rsidR="00E643DD" w:rsidRPr="005853B8">
        <w:rPr>
          <w:lang w:val="de-DE"/>
        </w:rPr>
        <w:t>,</w:t>
      </w:r>
      <w:r w:rsidR="00AC31CE" w:rsidRPr="005853B8">
        <w:rPr>
          <w:lang w:val="de-DE"/>
        </w:rPr>
        <w:t>0</w:t>
      </w:r>
      <w:r w:rsidR="00E643DD" w:rsidRPr="005853B8">
        <w:rPr>
          <w:lang w:val="de-DE"/>
        </w:rPr>
        <w:t> Fälle</w:t>
      </w:r>
      <w:r w:rsidR="00AC31CE" w:rsidRPr="005853B8">
        <w:rPr>
          <w:lang w:val="de-DE"/>
        </w:rPr>
        <w:t>).</w:t>
      </w:r>
    </w:p>
    <w:p w:rsidR="00A16B77" w:rsidRPr="005853B8" w:rsidRDefault="00E643DD" w:rsidP="00AD6931">
      <w:pPr>
        <w:pStyle w:val="newsContent"/>
        <w:ind w:right="-144"/>
        <w:rPr>
          <w:lang w:val="de-DE"/>
        </w:rPr>
      </w:pPr>
      <w:r w:rsidRPr="005853B8">
        <w:rPr>
          <w:lang w:val="de-DE"/>
        </w:rPr>
        <w:t xml:space="preserve">Trotz der Erfolge </w:t>
      </w:r>
      <w:r w:rsidR="00AC31CE" w:rsidRPr="005853B8">
        <w:rPr>
          <w:lang w:val="de-DE"/>
        </w:rPr>
        <w:t>Europ</w:t>
      </w:r>
      <w:r w:rsidRPr="005853B8">
        <w:rPr>
          <w:lang w:val="de-DE"/>
        </w:rPr>
        <w:t>as</w:t>
      </w:r>
      <w:r w:rsidR="00AC31CE" w:rsidRPr="005853B8">
        <w:rPr>
          <w:lang w:val="de-DE"/>
        </w:rPr>
        <w:t xml:space="preserve"> </w:t>
      </w:r>
      <w:r w:rsidRPr="005853B8">
        <w:rPr>
          <w:lang w:val="de-DE"/>
        </w:rPr>
        <w:t xml:space="preserve">bei der Bekämpfung von </w:t>
      </w:r>
      <w:r w:rsidR="00AC31CE" w:rsidRPr="005853B8">
        <w:rPr>
          <w:lang w:val="de-DE"/>
        </w:rPr>
        <w:t>HIV</w:t>
      </w:r>
      <w:r w:rsidRPr="005853B8">
        <w:rPr>
          <w:lang w:val="de-DE"/>
        </w:rPr>
        <w:t>-Übertragungen unter Drogenkonsum</w:t>
      </w:r>
      <w:r w:rsidR="00D11C6F">
        <w:rPr>
          <w:lang w:val="de-DE"/>
        </w:rPr>
        <w:t>ierenden</w:t>
      </w:r>
      <w:r w:rsidR="00F57E96">
        <w:rPr>
          <w:lang w:val="de-DE"/>
        </w:rPr>
        <w:t xml:space="preserve"> </w:t>
      </w:r>
      <w:r w:rsidRPr="005853B8">
        <w:rPr>
          <w:lang w:val="de-DE"/>
        </w:rPr>
        <w:t xml:space="preserve">kann sich das Virus in bestimmten Gruppen </w:t>
      </w:r>
      <w:r w:rsidR="00D11C6F" w:rsidRPr="005853B8">
        <w:rPr>
          <w:lang w:val="de-DE"/>
        </w:rPr>
        <w:t xml:space="preserve">weiterhin </w:t>
      </w:r>
      <w:r w:rsidR="00A67C58" w:rsidRPr="005853B8">
        <w:rPr>
          <w:lang w:val="de-DE"/>
        </w:rPr>
        <w:t xml:space="preserve">rasch </w:t>
      </w:r>
      <w:r w:rsidRPr="005853B8">
        <w:rPr>
          <w:lang w:val="de-DE"/>
        </w:rPr>
        <w:t>ausbreiten</w:t>
      </w:r>
      <w:r w:rsidR="00AC31CE" w:rsidRPr="005853B8">
        <w:rPr>
          <w:lang w:val="de-DE"/>
        </w:rPr>
        <w:t xml:space="preserve">. </w:t>
      </w:r>
      <w:r w:rsidR="002376C3" w:rsidRPr="005853B8">
        <w:rPr>
          <w:lang w:val="de-DE"/>
        </w:rPr>
        <w:t>In e</w:t>
      </w:r>
      <w:r w:rsidRPr="005853B8">
        <w:rPr>
          <w:lang w:val="de-DE"/>
        </w:rPr>
        <w:t>ine</w:t>
      </w:r>
      <w:r w:rsidR="002376C3" w:rsidRPr="005853B8">
        <w:rPr>
          <w:lang w:val="de-DE"/>
        </w:rPr>
        <w:t>r</w:t>
      </w:r>
      <w:r w:rsidRPr="005853B8">
        <w:rPr>
          <w:lang w:val="de-DE"/>
        </w:rPr>
        <w:t xml:space="preserve"> Risikobewertung von </w:t>
      </w:r>
      <w:r w:rsidR="00AC31CE" w:rsidRPr="005853B8">
        <w:rPr>
          <w:b/>
          <w:lang w:val="de-DE"/>
        </w:rPr>
        <w:t>EMCDDA</w:t>
      </w:r>
      <w:r w:rsidR="00C741A0" w:rsidRPr="005853B8">
        <w:rPr>
          <w:lang w:val="de-DE"/>
        </w:rPr>
        <w:t xml:space="preserve"> und</w:t>
      </w:r>
      <w:r w:rsidR="002406E7">
        <w:rPr>
          <w:lang w:val="de-DE"/>
        </w:rPr>
        <w:t xml:space="preserve"> vom</w:t>
      </w:r>
      <w:r w:rsidR="00C741A0" w:rsidRPr="005853B8">
        <w:rPr>
          <w:lang w:val="de-DE"/>
        </w:rPr>
        <w:t xml:space="preserve"> </w:t>
      </w:r>
      <w:r w:rsidR="005C0E4B" w:rsidRPr="002406E7">
        <w:rPr>
          <w:rFonts w:cs="Arial"/>
          <w:b/>
          <w:bCs/>
          <w:szCs w:val="18"/>
          <w:lang w:val="de-DE"/>
        </w:rPr>
        <w:t>Europäische</w:t>
      </w:r>
      <w:r w:rsidR="002406E7" w:rsidRPr="002406E7">
        <w:rPr>
          <w:rFonts w:cs="Arial"/>
          <w:b/>
          <w:bCs/>
          <w:szCs w:val="18"/>
          <w:lang w:val="de-DE"/>
        </w:rPr>
        <w:t>n</w:t>
      </w:r>
      <w:r w:rsidR="005C0E4B" w:rsidRPr="002406E7">
        <w:rPr>
          <w:rFonts w:cs="Arial"/>
          <w:b/>
          <w:bCs/>
          <w:szCs w:val="18"/>
          <w:lang w:val="de-DE"/>
        </w:rPr>
        <w:t xml:space="preserve"> Zentrum für die Prävention und die Kontrolle von Krankheiten (ECDC)</w:t>
      </w:r>
      <w:r w:rsidR="005C0E4B" w:rsidRPr="002406E7">
        <w:rPr>
          <w:rFonts w:cs="Arial"/>
          <w:szCs w:val="18"/>
          <w:lang w:val="de-DE"/>
        </w:rPr>
        <w:t xml:space="preserve"> </w:t>
      </w:r>
      <w:r w:rsidR="00D11C6F" w:rsidRPr="002406E7">
        <w:rPr>
          <w:lang w:val="de-DE"/>
        </w:rPr>
        <w:t>im</w:t>
      </w:r>
      <w:r w:rsidR="00D11C6F">
        <w:rPr>
          <w:lang w:val="de-DE"/>
        </w:rPr>
        <w:t xml:space="preserve"> Jahr </w:t>
      </w:r>
      <w:r w:rsidRPr="005853B8">
        <w:rPr>
          <w:lang w:val="de-DE"/>
        </w:rPr>
        <w:t xml:space="preserve">2013 </w:t>
      </w:r>
      <w:r w:rsidR="002376C3" w:rsidRPr="005853B8">
        <w:rPr>
          <w:lang w:val="de-DE"/>
        </w:rPr>
        <w:t>wurden Länder auf die Gefahr eines Ausbruches neuer HIV-Fälle untersucht. Die Untersuchung</w:t>
      </w:r>
      <w:r w:rsidRPr="005853B8">
        <w:rPr>
          <w:lang w:val="de-DE"/>
        </w:rPr>
        <w:t xml:space="preserve"> ergab, dass in etwa einem Drittel der 30 untersuchten Länder einer oder mehr Risiko</w:t>
      </w:r>
      <w:r w:rsidR="00AC31CE" w:rsidRPr="005853B8">
        <w:rPr>
          <w:lang w:val="de-DE"/>
        </w:rPr>
        <w:t>indi</w:t>
      </w:r>
      <w:r w:rsidRPr="005853B8">
        <w:rPr>
          <w:lang w:val="de-DE"/>
        </w:rPr>
        <w:t>katoren vorlagen</w:t>
      </w:r>
      <w:r w:rsidR="001F6362" w:rsidRPr="005853B8">
        <w:rPr>
          <w:lang w:val="de-DE"/>
        </w:rPr>
        <w:t xml:space="preserve"> (</w:t>
      </w:r>
      <w:r w:rsidR="001F6362" w:rsidRPr="005853B8">
        <w:rPr>
          <w:vertAlign w:val="superscript"/>
          <w:lang w:val="de-DE"/>
        </w:rPr>
        <w:t>3</w:t>
      </w:r>
      <w:r w:rsidR="001F6362" w:rsidRPr="005853B8">
        <w:rPr>
          <w:lang w:val="de-DE"/>
        </w:rPr>
        <w:t>).</w:t>
      </w:r>
      <w:r w:rsidR="00AC31CE" w:rsidRPr="005853B8">
        <w:rPr>
          <w:lang w:val="de-DE"/>
        </w:rPr>
        <w:t xml:space="preserve"> </w:t>
      </w:r>
      <w:r w:rsidR="005C0E4B">
        <w:rPr>
          <w:lang w:val="de-DE"/>
        </w:rPr>
        <w:t xml:space="preserve"> </w:t>
      </w:r>
      <w:r w:rsidRPr="005853B8">
        <w:rPr>
          <w:lang w:val="de-DE"/>
        </w:rPr>
        <w:t xml:space="preserve">Dies lässt </w:t>
      </w:r>
      <w:r w:rsidR="002376C3" w:rsidRPr="005853B8">
        <w:rPr>
          <w:lang w:val="de-DE"/>
        </w:rPr>
        <w:t>eine anhaltende</w:t>
      </w:r>
      <w:r w:rsidRPr="005853B8">
        <w:rPr>
          <w:lang w:val="de-DE"/>
        </w:rPr>
        <w:t xml:space="preserve"> Wachsamkeit u</w:t>
      </w:r>
      <w:r w:rsidR="00AC31CE" w:rsidRPr="005853B8">
        <w:rPr>
          <w:lang w:val="de-DE"/>
        </w:rPr>
        <w:t xml:space="preserve">nd </w:t>
      </w:r>
      <w:r w:rsidR="002376C3" w:rsidRPr="005853B8">
        <w:rPr>
          <w:lang w:val="de-DE"/>
        </w:rPr>
        <w:t>einen verbesserten Abdeckungs</w:t>
      </w:r>
      <w:r w:rsidR="00DD0B91">
        <w:rPr>
          <w:lang w:val="de-DE"/>
        </w:rPr>
        <w:t>grad</w:t>
      </w:r>
      <w:r w:rsidR="002376C3" w:rsidRPr="005853B8">
        <w:rPr>
          <w:lang w:val="de-DE"/>
        </w:rPr>
        <w:t xml:space="preserve"> von HIV-</w:t>
      </w:r>
      <w:r w:rsidR="00DD0B91">
        <w:rPr>
          <w:lang w:val="de-DE"/>
        </w:rPr>
        <w:t>Präventionsmaßnahmen</w:t>
      </w:r>
      <w:r w:rsidR="00F57E96">
        <w:rPr>
          <w:lang w:val="de-DE"/>
        </w:rPr>
        <w:t xml:space="preserve"> </w:t>
      </w:r>
      <w:r w:rsidR="002376C3" w:rsidRPr="005853B8">
        <w:rPr>
          <w:lang w:val="de-DE"/>
        </w:rPr>
        <w:t xml:space="preserve">geboten erscheinen </w:t>
      </w:r>
      <w:r w:rsidR="00AC31CE" w:rsidRPr="005853B8">
        <w:rPr>
          <w:lang w:val="de-DE"/>
        </w:rPr>
        <w:t>(</w:t>
      </w:r>
      <w:r w:rsidR="002376C3" w:rsidRPr="005853B8">
        <w:rPr>
          <w:lang w:val="de-DE"/>
        </w:rPr>
        <w:t>Abbildung </w:t>
      </w:r>
      <w:r w:rsidR="00AC31CE" w:rsidRPr="005853B8">
        <w:rPr>
          <w:lang w:val="de-DE"/>
        </w:rPr>
        <w:t>3</w:t>
      </w:r>
      <w:r w:rsidR="001F6362" w:rsidRPr="005853B8">
        <w:rPr>
          <w:lang w:val="de-DE"/>
        </w:rPr>
        <w:t>.5).</w:t>
      </w:r>
    </w:p>
    <w:p w:rsidR="00AC31CE" w:rsidRPr="005853B8" w:rsidRDefault="003C2E9B" w:rsidP="00AD6931">
      <w:pPr>
        <w:pStyle w:val="newsContent"/>
        <w:ind w:right="-144"/>
        <w:rPr>
          <w:lang w:val="de-DE"/>
        </w:rPr>
      </w:pPr>
      <w:r w:rsidRPr="005853B8">
        <w:rPr>
          <w:b/>
          <w:lang w:val="de-DE"/>
        </w:rPr>
        <w:t>Stimulan</w:t>
      </w:r>
      <w:r w:rsidR="002376C3" w:rsidRPr="005853B8">
        <w:rPr>
          <w:b/>
          <w:lang w:val="de-DE"/>
        </w:rPr>
        <w:t>zien: Koka</w:t>
      </w:r>
      <w:r w:rsidR="00AC31CE" w:rsidRPr="005853B8">
        <w:rPr>
          <w:b/>
          <w:lang w:val="de-DE"/>
        </w:rPr>
        <w:t>in</w:t>
      </w:r>
      <w:r w:rsidR="002376C3" w:rsidRPr="005853B8">
        <w:rPr>
          <w:b/>
          <w:lang w:val="de-DE"/>
        </w:rPr>
        <w:t>konsum</w:t>
      </w:r>
      <w:r w:rsidR="00AC31CE" w:rsidRPr="005853B8">
        <w:rPr>
          <w:b/>
          <w:lang w:val="de-DE"/>
        </w:rPr>
        <w:t xml:space="preserve"> </w:t>
      </w:r>
      <w:r w:rsidR="00C4664A" w:rsidRPr="005853B8">
        <w:rPr>
          <w:b/>
          <w:lang w:val="de-DE"/>
        </w:rPr>
        <w:t>stabil</w:t>
      </w:r>
      <w:r w:rsidR="002376C3" w:rsidRPr="005853B8">
        <w:rPr>
          <w:b/>
          <w:lang w:val="de-DE"/>
        </w:rPr>
        <w:t xml:space="preserve"> oder rückläufig</w:t>
      </w:r>
      <w:r w:rsidR="00AC31CE" w:rsidRPr="005853B8">
        <w:rPr>
          <w:b/>
          <w:lang w:val="de-DE"/>
        </w:rPr>
        <w:t xml:space="preserve">, </w:t>
      </w:r>
      <w:r w:rsidR="002376C3" w:rsidRPr="005853B8">
        <w:rPr>
          <w:b/>
          <w:lang w:val="de-DE"/>
        </w:rPr>
        <w:t>aber Besorgnis in Bezug auf M</w:t>
      </w:r>
      <w:r w:rsidR="00AC31CE" w:rsidRPr="005853B8">
        <w:rPr>
          <w:b/>
          <w:lang w:val="de-DE"/>
        </w:rPr>
        <w:t xml:space="preserve">ethamphetamin </w:t>
      </w:r>
      <w:r w:rsidR="002376C3" w:rsidRPr="005853B8">
        <w:rPr>
          <w:b/>
          <w:lang w:val="de-DE"/>
        </w:rPr>
        <w:t>u</w:t>
      </w:r>
      <w:r w:rsidR="00AC31CE" w:rsidRPr="005853B8">
        <w:rPr>
          <w:b/>
          <w:lang w:val="de-DE"/>
        </w:rPr>
        <w:t>nd MDMA</w:t>
      </w:r>
    </w:p>
    <w:p w:rsidR="00AC31CE" w:rsidRPr="005853B8" w:rsidRDefault="00E30FB1" w:rsidP="003C2E9B">
      <w:pPr>
        <w:pStyle w:val="newsNotes"/>
        <w:rPr>
          <w:lang w:val="de-DE"/>
        </w:rPr>
      </w:pPr>
      <w:r w:rsidRPr="005853B8">
        <w:rPr>
          <w:lang w:val="de-DE"/>
        </w:rPr>
        <w:t>Kokain ist nach wie vor das am häufigsten konsumierte illegale Stimulans in Europa</w:t>
      </w:r>
      <w:r w:rsidR="00AC31CE" w:rsidRPr="005853B8">
        <w:rPr>
          <w:lang w:val="de-DE"/>
        </w:rPr>
        <w:t xml:space="preserve">, </w:t>
      </w:r>
      <w:r w:rsidR="00DD0B91">
        <w:rPr>
          <w:lang w:val="de-DE"/>
        </w:rPr>
        <w:t>obwohl sich</w:t>
      </w:r>
      <w:r w:rsidR="00F57E96">
        <w:rPr>
          <w:lang w:val="de-DE"/>
        </w:rPr>
        <w:t xml:space="preserve"> </w:t>
      </w:r>
      <w:r w:rsidRPr="005853B8">
        <w:rPr>
          <w:lang w:val="de-DE"/>
        </w:rPr>
        <w:t>die Mehrheit der Konsum</w:t>
      </w:r>
      <w:r w:rsidR="00DD0B91">
        <w:rPr>
          <w:lang w:val="de-DE"/>
        </w:rPr>
        <w:t>ierenden</w:t>
      </w:r>
      <w:r w:rsidR="00F57E96">
        <w:rPr>
          <w:lang w:val="de-DE"/>
        </w:rPr>
        <w:t xml:space="preserve"> </w:t>
      </w:r>
      <w:r w:rsidRPr="005853B8">
        <w:rPr>
          <w:lang w:val="de-DE"/>
        </w:rPr>
        <w:t>auf eine kleine Zahl westeuropäischer Länder</w:t>
      </w:r>
      <w:r w:rsidR="00B835C6">
        <w:rPr>
          <w:lang w:val="de-DE"/>
        </w:rPr>
        <w:t xml:space="preserve"> konzentriert</w:t>
      </w:r>
      <w:r w:rsidRPr="005853B8">
        <w:rPr>
          <w:lang w:val="de-DE"/>
        </w:rPr>
        <w:t>.</w:t>
      </w:r>
      <w:r w:rsidR="00AC31CE" w:rsidRPr="005853B8">
        <w:rPr>
          <w:lang w:val="de-DE"/>
        </w:rPr>
        <w:t xml:space="preserve"> </w:t>
      </w:r>
      <w:r w:rsidR="00C4664A" w:rsidRPr="005853B8">
        <w:rPr>
          <w:lang w:val="de-DE"/>
        </w:rPr>
        <w:t xml:space="preserve">Schätzungsweise </w:t>
      </w:r>
      <w:r w:rsidR="00AC31CE" w:rsidRPr="005853B8">
        <w:rPr>
          <w:lang w:val="de-DE"/>
        </w:rPr>
        <w:t>14</w:t>
      </w:r>
      <w:r w:rsidR="00C4664A" w:rsidRPr="005853B8">
        <w:rPr>
          <w:lang w:val="de-DE"/>
        </w:rPr>
        <w:t>,</w:t>
      </w:r>
      <w:r w:rsidR="00AC31CE" w:rsidRPr="005853B8">
        <w:rPr>
          <w:lang w:val="de-DE"/>
        </w:rPr>
        <w:t>1</w:t>
      </w:r>
      <w:r w:rsidR="00C4664A" w:rsidRPr="005853B8">
        <w:rPr>
          <w:lang w:val="de-DE"/>
        </w:rPr>
        <w:t> M</w:t>
      </w:r>
      <w:r w:rsidR="00AC31CE" w:rsidRPr="005853B8">
        <w:rPr>
          <w:lang w:val="de-DE"/>
        </w:rPr>
        <w:t>illion</w:t>
      </w:r>
      <w:r w:rsidR="00C4664A" w:rsidRPr="005853B8">
        <w:rPr>
          <w:lang w:val="de-DE"/>
        </w:rPr>
        <w:t>en</w:t>
      </w:r>
      <w:r w:rsidR="00AC31CE" w:rsidRPr="005853B8">
        <w:rPr>
          <w:lang w:val="de-DE"/>
        </w:rPr>
        <w:t xml:space="preserve"> </w:t>
      </w:r>
      <w:r w:rsidR="00C4664A" w:rsidRPr="005853B8">
        <w:rPr>
          <w:lang w:val="de-DE"/>
        </w:rPr>
        <w:t xml:space="preserve">erwachsene </w:t>
      </w:r>
      <w:r w:rsidR="00AC31CE" w:rsidRPr="005853B8">
        <w:rPr>
          <w:lang w:val="de-DE"/>
        </w:rPr>
        <w:t>Europ</w:t>
      </w:r>
      <w:r w:rsidR="00C4664A" w:rsidRPr="005853B8">
        <w:rPr>
          <w:lang w:val="de-DE"/>
        </w:rPr>
        <w:t>äer</w:t>
      </w:r>
      <w:r w:rsidR="00AC31CE" w:rsidRPr="005853B8">
        <w:rPr>
          <w:lang w:val="de-DE"/>
        </w:rPr>
        <w:t xml:space="preserve"> (15</w:t>
      </w:r>
      <w:r w:rsidR="00C4664A" w:rsidRPr="005853B8">
        <w:rPr>
          <w:lang w:val="de-DE"/>
        </w:rPr>
        <w:t xml:space="preserve"> bis </w:t>
      </w:r>
      <w:r w:rsidR="0041185E" w:rsidRPr="005853B8">
        <w:rPr>
          <w:lang w:val="de-DE"/>
        </w:rPr>
        <w:t>64 </w:t>
      </w:r>
      <w:r w:rsidR="00C4664A" w:rsidRPr="005853B8">
        <w:rPr>
          <w:lang w:val="de-DE"/>
        </w:rPr>
        <w:t>Jahre</w:t>
      </w:r>
      <w:r w:rsidR="00AC31CE" w:rsidRPr="005853B8">
        <w:rPr>
          <w:lang w:val="de-DE"/>
        </w:rPr>
        <w:t>) ha</w:t>
      </w:r>
      <w:r w:rsidR="00C4664A" w:rsidRPr="005853B8">
        <w:rPr>
          <w:lang w:val="de-DE"/>
        </w:rPr>
        <w:t>ben die Droge mindestens einmal konsumiert</w:t>
      </w:r>
      <w:r w:rsidR="002B4F46" w:rsidRPr="005853B8">
        <w:rPr>
          <w:lang w:val="de-DE"/>
        </w:rPr>
        <w:t>,</w:t>
      </w:r>
      <w:r w:rsidR="00AC31CE" w:rsidRPr="005853B8">
        <w:rPr>
          <w:lang w:val="de-DE"/>
        </w:rPr>
        <w:t xml:space="preserve"> 3</w:t>
      </w:r>
      <w:r w:rsidR="00C4664A" w:rsidRPr="005853B8">
        <w:rPr>
          <w:lang w:val="de-DE"/>
        </w:rPr>
        <w:t>,</w:t>
      </w:r>
      <w:r w:rsidR="00AC31CE" w:rsidRPr="005853B8">
        <w:rPr>
          <w:lang w:val="de-DE"/>
        </w:rPr>
        <w:t>1</w:t>
      </w:r>
      <w:r w:rsidR="00C4664A" w:rsidRPr="005853B8">
        <w:rPr>
          <w:lang w:val="de-DE"/>
        </w:rPr>
        <w:t> M</w:t>
      </w:r>
      <w:r w:rsidR="00AC31CE" w:rsidRPr="005853B8">
        <w:rPr>
          <w:lang w:val="de-DE"/>
        </w:rPr>
        <w:t>illion</w:t>
      </w:r>
      <w:r w:rsidR="00C4664A" w:rsidRPr="005853B8">
        <w:rPr>
          <w:lang w:val="de-DE"/>
        </w:rPr>
        <w:t>en</w:t>
      </w:r>
      <w:r w:rsidR="00AC31CE" w:rsidRPr="005853B8">
        <w:rPr>
          <w:lang w:val="de-DE"/>
        </w:rPr>
        <w:t xml:space="preserve"> i</w:t>
      </w:r>
      <w:r w:rsidR="00C4664A" w:rsidRPr="005853B8">
        <w:rPr>
          <w:lang w:val="de-DE"/>
        </w:rPr>
        <w:t>m vergangenen Jahr</w:t>
      </w:r>
      <w:r w:rsidR="00AC31CE" w:rsidRPr="005853B8">
        <w:rPr>
          <w:lang w:val="de-DE"/>
        </w:rPr>
        <w:t xml:space="preserve"> (s</w:t>
      </w:r>
      <w:r w:rsidR="00C4664A" w:rsidRPr="005853B8">
        <w:rPr>
          <w:lang w:val="de-DE"/>
        </w:rPr>
        <w:t>iehe Tabelle „Auf einen Blick“</w:t>
      </w:r>
      <w:r w:rsidR="00AC31CE" w:rsidRPr="005853B8">
        <w:rPr>
          <w:lang w:val="de-DE"/>
        </w:rPr>
        <w:t xml:space="preserve">). </w:t>
      </w:r>
      <w:r w:rsidR="00C4664A" w:rsidRPr="005853B8">
        <w:rPr>
          <w:lang w:val="de-DE"/>
        </w:rPr>
        <w:t>Jüngste Daten lassen auf einen zurückgehenden Kokainkonsum schließen</w:t>
      </w:r>
      <w:r w:rsidR="0041185E" w:rsidRPr="005853B8">
        <w:rPr>
          <w:lang w:val="de-DE"/>
        </w:rPr>
        <w:t>, wobei 11 der 12 </w:t>
      </w:r>
      <w:r w:rsidR="00C4664A" w:rsidRPr="005853B8">
        <w:rPr>
          <w:lang w:val="de-DE"/>
        </w:rPr>
        <w:t>Länder, in denen zwischen 2011 und 2013 Erhebungen durchgeführt wurden,</w:t>
      </w:r>
      <w:r w:rsidR="00F57E96">
        <w:rPr>
          <w:lang w:val="de-DE"/>
        </w:rPr>
        <w:t xml:space="preserve"> </w:t>
      </w:r>
      <w:r w:rsidR="00C4664A" w:rsidRPr="005853B8">
        <w:rPr>
          <w:lang w:val="de-DE"/>
        </w:rPr>
        <w:t>rückläufige Prävalenz</w:t>
      </w:r>
      <w:r w:rsidR="00B835C6">
        <w:rPr>
          <w:lang w:val="de-DE"/>
        </w:rPr>
        <w:t>en</w:t>
      </w:r>
      <w:r w:rsidR="00C4664A" w:rsidRPr="005853B8">
        <w:rPr>
          <w:lang w:val="de-DE"/>
        </w:rPr>
        <w:t xml:space="preserve"> unter jungen Erwachsenen</w:t>
      </w:r>
      <w:r w:rsidR="00F57E96">
        <w:rPr>
          <w:lang w:val="de-DE"/>
        </w:rPr>
        <w:t xml:space="preserve"> </w:t>
      </w:r>
      <w:r w:rsidR="00224F85">
        <w:rPr>
          <w:lang w:val="de-DE"/>
        </w:rPr>
        <w:t xml:space="preserve"> </w:t>
      </w:r>
      <w:r w:rsidR="00034352">
        <w:rPr>
          <w:lang w:val="de-DE"/>
        </w:rPr>
        <w:t xml:space="preserve"> </w:t>
      </w:r>
      <w:r w:rsidR="00AC31CE" w:rsidRPr="005853B8">
        <w:rPr>
          <w:lang w:val="de-DE"/>
        </w:rPr>
        <w:t>(15</w:t>
      </w:r>
      <w:r w:rsidR="00C4664A" w:rsidRPr="005853B8">
        <w:rPr>
          <w:lang w:val="de-DE"/>
        </w:rPr>
        <w:t xml:space="preserve"> bis </w:t>
      </w:r>
      <w:r w:rsidR="00AC31CE" w:rsidRPr="005853B8">
        <w:rPr>
          <w:lang w:val="de-DE"/>
        </w:rPr>
        <w:t>34</w:t>
      </w:r>
      <w:r w:rsidR="00C4664A" w:rsidRPr="005853B8">
        <w:rPr>
          <w:lang w:val="de-DE"/>
        </w:rPr>
        <w:t> Jahre</w:t>
      </w:r>
      <w:r w:rsidR="00AC31CE" w:rsidRPr="005853B8">
        <w:rPr>
          <w:lang w:val="de-DE"/>
        </w:rPr>
        <w:t>)</w:t>
      </w:r>
      <w:r w:rsidR="00C4664A" w:rsidRPr="005853B8">
        <w:rPr>
          <w:lang w:val="de-DE"/>
        </w:rPr>
        <w:t xml:space="preserve"> melden</w:t>
      </w:r>
      <w:r w:rsidR="00AC31CE" w:rsidRPr="005853B8">
        <w:rPr>
          <w:lang w:val="de-DE"/>
        </w:rPr>
        <w:t xml:space="preserve">. </w:t>
      </w:r>
      <w:r w:rsidR="001161DA">
        <w:rPr>
          <w:lang w:val="de-DE"/>
        </w:rPr>
        <w:t>L</w:t>
      </w:r>
      <w:r w:rsidR="00C4664A" w:rsidRPr="005853B8">
        <w:rPr>
          <w:lang w:val="de-DE"/>
        </w:rPr>
        <w:t xml:space="preserve">ängerfristige Trends </w:t>
      </w:r>
      <w:r w:rsidR="00B835C6">
        <w:rPr>
          <w:lang w:val="de-DE"/>
        </w:rPr>
        <w:t>zum</w:t>
      </w:r>
      <w:r w:rsidR="00F57E96">
        <w:rPr>
          <w:lang w:val="de-DE"/>
        </w:rPr>
        <w:t xml:space="preserve"> </w:t>
      </w:r>
      <w:r w:rsidR="00C4664A" w:rsidRPr="005853B8">
        <w:rPr>
          <w:lang w:val="de-DE"/>
        </w:rPr>
        <w:t xml:space="preserve">Kokainkonsum </w:t>
      </w:r>
      <w:r w:rsidR="001161DA">
        <w:rPr>
          <w:lang w:val="de-DE"/>
        </w:rPr>
        <w:t>zeigen</w:t>
      </w:r>
      <w:r w:rsidR="001161DA" w:rsidRPr="005853B8">
        <w:rPr>
          <w:lang w:val="de-DE"/>
        </w:rPr>
        <w:t xml:space="preserve"> </w:t>
      </w:r>
      <w:r w:rsidR="00C4664A" w:rsidRPr="005853B8">
        <w:rPr>
          <w:lang w:val="de-DE"/>
        </w:rPr>
        <w:t xml:space="preserve">in </w:t>
      </w:r>
      <w:r w:rsidR="00C4664A" w:rsidRPr="005853B8">
        <w:rPr>
          <w:b/>
          <w:lang w:val="de-DE"/>
        </w:rPr>
        <w:t>Dänemark</w:t>
      </w:r>
      <w:r w:rsidR="00C4664A" w:rsidRPr="005853B8">
        <w:rPr>
          <w:lang w:val="de-DE"/>
        </w:rPr>
        <w:t xml:space="preserve">, </w:t>
      </w:r>
      <w:r w:rsidR="00C4664A" w:rsidRPr="005853B8">
        <w:rPr>
          <w:b/>
          <w:lang w:val="de-DE"/>
        </w:rPr>
        <w:t>Spanien</w:t>
      </w:r>
      <w:r w:rsidR="00C4664A" w:rsidRPr="005853B8">
        <w:rPr>
          <w:lang w:val="de-DE"/>
        </w:rPr>
        <w:t xml:space="preserve"> und im </w:t>
      </w:r>
      <w:r w:rsidR="00C4664A" w:rsidRPr="005853B8">
        <w:rPr>
          <w:b/>
          <w:lang w:val="de-DE"/>
        </w:rPr>
        <w:t>Vereinigten Königreich</w:t>
      </w:r>
      <w:r w:rsidR="00C4664A" w:rsidRPr="005853B8">
        <w:rPr>
          <w:lang w:val="de-DE"/>
        </w:rPr>
        <w:t xml:space="preserve"> </w:t>
      </w:r>
      <w:r w:rsidR="00A67C58" w:rsidRPr="005853B8">
        <w:rPr>
          <w:lang w:val="de-DE"/>
        </w:rPr>
        <w:t xml:space="preserve">– </w:t>
      </w:r>
      <w:r w:rsidR="00C4664A" w:rsidRPr="005853B8">
        <w:rPr>
          <w:lang w:val="de-DE"/>
        </w:rPr>
        <w:t>durchweg</w:t>
      </w:r>
      <w:r w:rsidR="00B835C6">
        <w:rPr>
          <w:lang w:val="de-DE"/>
        </w:rPr>
        <w:t>s</w:t>
      </w:r>
      <w:r w:rsidR="00C4664A" w:rsidRPr="005853B8">
        <w:rPr>
          <w:lang w:val="de-DE"/>
        </w:rPr>
        <w:t xml:space="preserve"> Länder mit relativ hohen gemeldeten Prävalenzraten</w:t>
      </w:r>
      <w:r w:rsidR="00A67C58" w:rsidRPr="005853B8">
        <w:rPr>
          <w:lang w:val="de-DE"/>
        </w:rPr>
        <w:t xml:space="preserve"> –</w:t>
      </w:r>
      <w:r w:rsidR="00C4664A" w:rsidRPr="005853B8">
        <w:rPr>
          <w:lang w:val="de-DE"/>
        </w:rPr>
        <w:t xml:space="preserve"> nach einem Höhepunkt im </w:t>
      </w:r>
      <w:r w:rsidR="0034186C" w:rsidRPr="005853B8">
        <w:rPr>
          <w:lang w:val="de-DE"/>
        </w:rPr>
        <w:t>Jahr </w:t>
      </w:r>
      <w:r w:rsidR="00C4664A" w:rsidRPr="005853B8">
        <w:rPr>
          <w:lang w:val="de-DE"/>
        </w:rPr>
        <w:t>2008 rückläufige Entwicklungen (Abbildung 2.5). In den meisten anderen Ländern verläuft der Trend stabil bzw. rückläufig</w:t>
      </w:r>
      <w:r w:rsidR="00AC31CE" w:rsidRPr="005853B8">
        <w:rPr>
          <w:lang w:val="de-DE"/>
        </w:rPr>
        <w:t xml:space="preserve">. </w:t>
      </w:r>
    </w:p>
    <w:p w:rsidR="00AC31CE" w:rsidRPr="005853B8" w:rsidRDefault="00C4664A" w:rsidP="003C2E9B">
      <w:pPr>
        <w:pStyle w:val="newsNotes"/>
        <w:rPr>
          <w:lang w:val="de-DE"/>
        </w:rPr>
      </w:pPr>
      <w:r w:rsidRPr="005853B8">
        <w:rPr>
          <w:lang w:val="de-DE"/>
        </w:rPr>
        <w:t>Der Konsum von A</w:t>
      </w:r>
      <w:r w:rsidR="00AC31CE" w:rsidRPr="005853B8">
        <w:rPr>
          <w:lang w:val="de-DE"/>
        </w:rPr>
        <w:t>mphetamine</w:t>
      </w:r>
      <w:r w:rsidRPr="005853B8">
        <w:rPr>
          <w:lang w:val="de-DE"/>
        </w:rPr>
        <w:t>n</w:t>
      </w:r>
      <w:r w:rsidR="00AC31CE" w:rsidRPr="005853B8">
        <w:rPr>
          <w:lang w:val="de-DE"/>
        </w:rPr>
        <w:t xml:space="preserve"> (</w:t>
      </w:r>
      <w:r w:rsidRPr="005853B8">
        <w:rPr>
          <w:lang w:val="de-DE"/>
        </w:rPr>
        <w:t>A</w:t>
      </w:r>
      <w:r w:rsidR="00AC31CE" w:rsidRPr="005853B8">
        <w:rPr>
          <w:lang w:val="de-DE"/>
        </w:rPr>
        <w:t xml:space="preserve">mphetamin </w:t>
      </w:r>
      <w:r w:rsidRPr="005853B8">
        <w:rPr>
          <w:lang w:val="de-DE"/>
        </w:rPr>
        <w:t>u</w:t>
      </w:r>
      <w:r w:rsidR="00AC31CE" w:rsidRPr="005853B8">
        <w:rPr>
          <w:lang w:val="de-DE"/>
        </w:rPr>
        <w:t xml:space="preserve">nd </w:t>
      </w:r>
      <w:r w:rsidRPr="005853B8">
        <w:rPr>
          <w:lang w:val="de-DE"/>
        </w:rPr>
        <w:t>M</w:t>
      </w:r>
      <w:r w:rsidR="00AC31CE" w:rsidRPr="005853B8">
        <w:rPr>
          <w:lang w:val="de-DE"/>
        </w:rPr>
        <w:t xml:space="preserve">ethamphetamin) </w:t>
      </w:r>
      <w:r w:rsidRPr="005853B8">
        <w:rPr>
          <w:lang w:val="de-DE"/>
        </w:rPr>
        <w:t>ist in Europa insgesamt geringer als der von Kokain</w:t>
      </w:r>
      <w:r w:rsidR="00510C3C" w:rsidRPr="005853B8">
        <w:rPr>
          <w:lang w:val="de-DE"/>
        </w:rPr>
        <w:t xml:space="preserve">. Etwa </w:t>
      </w:r>
      <w:r w:rsidR="00AC31CE" w:rsidRPr="005853B8">
        <w:rPr>
          <w:lang w:val="de-DE"/>
        </w:rPr>
        <w:t>11</w:t>
      </w:r>
      <w:r w:rsidR="00510C3C" w:rsidRPr="005853B8">
        <w:rPr>
          <w:lang w:val="de-DE"/>
        </w:rPr>
        <w:t>,</w:t>
      </w:r>
      <w:r w:rsidR="00AC31CE" w:rsidRPr="005853B8">
        <w:rPr>
          <w:lang w:val="de-DE"/>
        </w:rPr>
        <w:t>4</w:t>
      </w:r>
      <w:r w:rsidR="00510C3C" w:rsidRPr="005853B8">
        <w:rPr>
          <w:lang w:val="de-DE"/>
        </w:rPr>
        <w:t> M</w:t>
      </w:r>
      <w:r w:rsidR="00AC31CE" w:rsidRPr="005853B8">
        <w:rPr>
          <w:lang w:val="de-DE"/>
        </w:rPr>
        <w:t>illion</w:t>
      </w:r>
      <w:r w:rsidR="00510C3C" w:rsidRPr="005853B8">
        <w:rPr>
          <w:lang w:val="de-DE"/>
        </w:rPr>
        <w:t>en Erwachsene berichten, irgendwann einmal in ihrem Leben, u</w:t>
      </w:r>
      <w:r w:rsidR="00AC31CE" w:rsidRPr="005853B8">
        <w:rPr>
          <w:lang w:val="de-DE"/>
        </w:rPr>
        <w:t>nd 1</w:t>
      </w:r>
      <w:r w:rsidR="00510C3C" w:rsidRPr="005853B8">
        <w:rPr>
          <w:lang w:val="de-DE"/>
        </w:rPr>
        <w:t>,</w:t>
      </w:r>
      <w:r w:rsidR="00AC31CE" w:rsidRPr="005853B8">
        <w:rPr>
          <w:lang w:val="de-DE"/>
        </w:rPr>
        <w:t>5</w:t>
      </w:r>
      <w:r w:rsidR="00510C3C" w:rsidRPr="005853B8">
        <w:rPr>
          <w:lang w:val="de-DE"/>
        </w:rPr>
        <w:t> M</w:t>
      </w:r>
      <w:r w:rsidR="00AC31CE" w:rsidRPr="005853B8">
        <w:rPr>
          <w:lang w:val="de-DE"/>
        </w:rPr>
        <w:t>illion</w:t>
      </w:r>
      <w:r w:rsidR="00510C3C" w:rsidRPr="005853B8">
        <w:rPr>
          <w:lang w:val="de-DE"/>
        </w:rPr>
        <w:t>en, in den letzten 12 Monaten eine dieser Drogen konsumiert zu haben</w:t>
      </w:r>
      <w:r w:rsidR="00AC31CE" w:rsidRPr="005853B8">
        <w:rPr>
          <w:lang w:val="de-DE"/>
        </w:rPr>
        <w:t xml:space="preserve">. </w:t>
      </w:r>
      <w:r w:rsidR="001161DA">
        <w:rPr>
          <w:lang w:val="de-DE"/>
        </w:rPr>
        <w:t>V</w:t>
      </w:r>
      <w:r w:rsidR="001161DA" w:rsidRPr="005853B8">
        <w:rPr>
          <w:lang w:val="de-DE"/>
        </w:rPr>
        <w:t xml:space="preserve">on den beiden Drogen </w:t>
      </w:r>
      <w:r w:rsidR="001161DA">
        <w:rPr>
          <w:lang w:val="de-DE"/>
        </w:rPr>
        <w:t xml:space="preserve">wird </w:t>
      </w:r>
      <w:r w:rsidR="00510C3C" w:rsidRPr="005853B8">
        <w:rPr>
          <w:lang w:val="de-DE"/>
        </w:rPr>
        <w:t>A</w:t>
      </w:r>
      <w:r w:rsidR="00AC31CE" w:rsidRPr="005853B8">
        <w:rPr>
          <w:lang w:val="de-DE"/>
        </w:rPr>
        <w:t>mphetamin</w:t>
      </w:r>
      <w:r w:rsidR="00510C3C" w:rsidRPr="005853B8">
        <w:rPr>
          <w:lang w:val="de-DE"/>
        </w:rPr>
        <w:t xml:space="preserve"> häufiger konsumiert</w:t>
      </w:r>
      <w:r w:rsidR="00AC31CE" w:rsidRPr="005853B8">
        <w:rPr>
          <w:lang w:val="de-DE"/>
        </w:rPr>
        <w:t xml:space="preserve">, </w:t>
      </w:r>
      <w:r w:rsidR="00510C3C" w:rsidRPr="005853B8">
        <w:rPr>
          <w:lang w:val="de-DE"/>
        </w:rPr>
        <w:t>aber Verfügbarkeit und Konsum von Methamphetamin</w:t>
      </w:r>
      <w:r w:rsidR="00AC31CE" w:rsidRPr="005853B8">
        <w:rPr>
          <w:lang w:val="de-DE"/>
        </w:rPr>
        <w:t xml:space="preserve"> in Europ</w:t>
      </w:r>
      <w:r w:rsidR="00510C3C" w:rsidRPr="005853B8">
        <w:rPr>
          <w:lang w:val="de-DE"/>
        </w:rPr>
        <w:t>a geben zunehmend Anlass zur Besorgnis</w:t>
      </w:r>
      <w:r w:rsidR="00AC31CE" w:rsidRPr="005853B8">
        <w:rPr>
          <w:lang w:val="de-DE"/>
        </w:rPr>
        <w:t xml:space="preserve">. </w:t>
      </w:r>
      <w:r w:rsidR="00510C3C" w:rsidRPr="005853B8">
        <w:rPr>
          <w:lang w:val="de-DE"/>
        </w:rPr>
        <w:t xml:space="preserve">Der heute vorgelegte Bericht beschreibt für Methamphetamin-Sicherstellungen </w:t>
      </w:r>
      <w:r w:rsidR="001161DA">
        <w:rPr>
          <w:lang w:val="de-DE"/>
        </w:rPr>
        <w:t xml:space="preserve">- </w:t>
      </w:r>
      <w:r w:rsidR="00510C3C" w:rsidRPr="005853B8">
        <w:rPr>
          <w:lang w:val="de-DE"/>
        </w:rPr>
        <w:t xml:space="preserve">ungeachtet der zahlen- und mengenmäßig noch geringen Werte </w:t>
      </w:r>
      <w:r w:rsidR="001161DA">
        <w:rPr>
          <w:lang w:val="de-DE"/>
        </w:rPr>
        <w:t xml:space="preserve">- </w:t>
      </w:r>
      <w:r w:rsidR="00510C3C" w:rsidRPr="005853B8">
        <w:rPr>
          <w:lang w:val="de-DE"/>
        </w:rPr>
        <w:t>einen steigenden Verlauf über die letzten zehn Jahre</w:t>
      </w:r>
      <w:r w:rsidR="00AC31CE" w:rsidRPr="005853B8">
        <w:rPr>
          <w:lang w:val="de-DE"/>
        </w:rPr>
        <w:t xml:space="preserve">, </w:t>
      </w:r>
      <w:r w:rsidR="00510C3C" w:rsidRPr="005853B8">
        <w:rPr>
          <w:lang w:val="de-DE"/>
        </w:rPr>
        <w:t xml:space="preserve">was eine erhöhte Verfügbarkeit der Droge nahelegt </w:t>
      </w:r>
      <w:r w:rsidR="00AC31CE" w:rsidRPr="005853B8">
        <w:rPr>
          <w:lang w:val="de-DE"/>
        </w:rPr>
        <w:t>(</w:t>
      </w:r>
      <w:r w:rsidR="00510C3C" w:rsidRPr="005853B8">
        <w:rPr>
          <w:lang w:val="de-DE"/>
        </w:rPr>
        <w:t>Abbildung </w:t>
      </w:r>
      <w:r w:rsidR="00AC31CE" w:rsidRPr="005853B8">
        <w:rPr>
          <w:lang w:val="de-DE"/>
        </w:rPr>
        <w:t xml:space="preserve">1.10). </w:t>
      </w:r>
      <w:r w:rsidR="00510C3C" w:rsidRPr="005853B8">
        <w:rPr>
          <w:lang w:val="de-DE"/>
        </w:rPr>
        <w:t xml:space="preserve">Im </w:t>
      </w:r>
      <w:r w:rsidR="0034186C" w:rsidRPr="005853B8">
        <w:rPr>
          <w:lang w:val="de-DE"/>
        </w:rPr>
        <w:t>Jahr </w:t>
      </w:r>
      <w:r w:rsidR="00510C3C" w:rsidRPr="005853B8">
        <w:rPr>
          <w:lang w:val="de-DE"/>
        </w:rPr>
        <w:t xml:space="preserve">2012 wurden in der </w:t>
      </w:r>
      <w:r w:rsidR="00853F17" w:rsidRPr="005853B8">
        <w:rPr>
          <w:b/>
          <w:lang w:val="de-DE"/>
        </w:rPr>
        <w:t>EU</w:t>
      </w:r>
      <w:r w:rsidR="00510C3C" w:rsidRPr="005853B8">
        <w:rPr>
          <w:lang w:val="de-DE"/>
        </w:rPr>
        <w:t xml:space="preserve"> 7</w:t>
      </w:r>
      <w:r w:rsidR="00D55985" w:rsidRPr="005853B8">
        <w:rPr>
          <w:lang w:val="de-DE"/>
        </w:rPr>
        <w:t> </w:t>
      </w:r>
      <w:r w:rsidR="00510C3C" w:rsidRPr="005853B8">
        <w:rPr>
          <w:lang w:val="de-DE"/>
        </w:rPr>
        <w:t>000</w:t>
      </w:r>
      <w:r w:rsidR="00D55985" w:rsidRPr="005853B8">
        <w:rPr>
          <w:lang w:val="de-DE"/>
        </w:rPr>
        <w:t> </w:t>
      </w:r>
      <w:r w:rsidR="00510C3C" w:rsidRPr="005853B8">
        <w:rPr>
          <w:lang w:val="de-DE"/>
        </w:rPr>
        <w:t>Sicherstellungen mit einer Gesamtmenge von 34</w:t>
      </w:r>
      <w:r w:rsidR="00853F17" w:rsidRPr="005853B8">
        <w:rPr>
          <w:lang w:val="de-DE"/>
        </w:rPr>
        <w:t>3</w:t>
      </w:r>
      <w:r w:rsidR="00510C3C" w:rsidRPr="005853B8">
        <w:rPr>
          <w:lang w:val="de-DE"/>
        </w:rPr>
        <w:t> </w:t>
      </w:r>
      <w:r w:rsidR="00853F17" w:rsidRPr="005853B8">
        <w:rPr>
          <w:lang w:val="de-DE"/>
        </w:rPr>
        <w:t>kg</w:t>
      </w:r>
      <w:r w:rsidR="00510C3C" w:rsidRPr="005853B8">
        <w:rPr>
          <w:lang w:val="de-DE"/>
        </w:rPr>
        <w:t xml:space="preserve"> Methamp</w:t>
      </w:r>
      <w:r w:rsidR="00D55985" w:rsidRPr="005853B8">
        <w:rPr>
          <w:lang w:val="de-DE"/>
        </w:rPr>
        <w:t>hetamin gemeldet. Weitere 4 000 </w:t>
      </w:r>
      <w:r w:rsidR="00510C3C" w:rsidRPr="005853B8">
        <w:rPr>
          <w:lang w:val="de-DE"/>
        </w:rPr>
        <w:t>Sicherstellungen mit einer Gesamtmenge von 6</w:t>
      </w:r>
      <w:r w:rsidR="00853F17" w:rsidRPr="005853B8">
        <w:rPr>
          <w:lang w:val="de-DE"/>
        </w:rPr>
        <w:t>37</w:t>
      </w:r>
      <w:r w:rsidR="00510C3C" w:rsidRPr="005853B8">
        <w:rPr>
          <w:lang w:val="de-DE"/>
        </w:rPr>
        <w:t> </w:t>
      </w:r>
      <w:r w:rsidR="00853F17" w:rsidRPr="005853B8">
        <w:rPr>
          <w:lang w:val="de-DE"/>
        </w:rPr>
        <w:t>kg</w:t>
      </w:r>
      <w:r w:rsidR="00510C3C" w:rsidRPr="005853B8">
        <w:rPr>
          <w:lang w:val="de-DE"/>
        </w:rPr>
        <w:t xml:space="preserve"> wurden aus der </w:t>
      </w:r>
      <w:r w:rsidR="00510C3C" w:rsidRPr="005853B8">
        <w:rPr>
          <w:b/>
          <w:lang w:val="de-DE"/>
        </w:rPr>
        <w:t xml:space="preserve">Türkei </w:t>
      </w:r>
      <w:r w:rsidR="00510C3C" w:rsidRPr="005853B8">
        <w:rPr>
          <w:lang w:val="de-DE"/>
        </w:rPr>
        <w:t xml:space="preserve">und aus </w:t>
      </w:r>
      <w:r w:rsidR="00510C3C" w:rsidRPr="005853B8">
        <w:rPr>
          <w:b/>
          <w:lang w:val="de-DE"/>
        </w:rPr>
        <w:t>Norwegen</w:t>
      </w:r>
      <w:r w:rsidR="00510C3C" w:rsidRPr="005853B8">
        <w:rPr>
          <w:lang w:val="de-DE"/>
        </w:rPr>
        <w:t xml:space="preserve"> gemeldet, </w:t>
      </w:r>
      <w:r w:rsidR="00893A1B">
        <w:rPr>
          <w:lang w:val="de-DE"/>
        </w:rPr>
        <w:t>was</w:t>
      </w:r>
      <w:r w:rsidR="00F57E96">
        <w:rPr>
          <w:lang w:val="de-DE"/>
        </w:rPr>
        <w:t xml:space="preserve"> </w:t>
      </w:r>
      <w:r w:rsidR="00510C3C" w:rsidRPr="005853B8">
        <w:rPr>
          <w:lang w:val="de-DE"/>
        </w:rPr>
        <w:t>insgesamt ungefähr d</w:t>
      </w:r>
      <w:r w:rsidR="00893A1B">
        <w:rPr>
          <w:lang w:val="de-DE"/>
        </w:rPr>
        <w:t>em</w:t>
      </w:r>
      <w:r w:rsidR="00510C3C" w:rsidRPr="005853B8">
        <w:rPr>
          <w:lang w:val="de-DE"/>
        </w:rPr>
        <w:t xml:space="preserve"> Doppelte</w:t>
      </w:r>
      <w:r w:rsidR="00893A1B">
        <w:rPr>
          <w:lang w:val="de-DE"/>
        </w:rPr>
        <w:t>n</w:t>
      </w:r>
      <w:r w:rsidR="00510C3C" w:rsidRPr="005853B8">
        <w:rPr>
          <w:lang w:val="de-DE"/>
        </w:rPr>
        <w:t xml:space="preserve"> der in der </w:t>
      </w:r>
      <w:r w:rsidR="00A67C58" w:rsidRPr="005853B8">
        <w:rPr>
          <w:lang w:val="de-DE"/>
        </w:rPr>
        <w:t xml:space="preserve">gesamten </w:t>
      </w:r>
      <w:r w:rsidR="00510C3C" w:rsidRPr="005853B8">
        <w:rPr>
          <w:b/>
          <w:lang w:val="de-DE"/>
        </w:rPr>
        <w:t>E</w:t>
      </w:r>
      <w:r w:rsidR="00853F17" w:rsidRPr="005853B8">
        <w:rPr>
          <w:b/>
          <w:lang w:val="de-DE"/>
        </w:rPr>
        <w:t>U</w:t>
      </w:r>
      <w:r w:rsidR="00510C3C" w:rsidRPr="005853B8">
        <w:rPr>
          <w:lang w:val="de-DE"/>
        </w:rPr>
        <w:t xml:space="preserve"> sichergestellten Mengen </w:t>
      </w:r>
      <w:r w:rsidR="00893A1B">
        <w:rPr>
          <w:lang w:val="de-DE"/>
        </w:rPr>
        <w:t>entspricht.</w:t>
      </w:r>
      <w:r w:rsidR="00F57E96">
        <w:rPr>
          <w:lang w:val="de-DE"/>
        </w:rPr>
        <w:t xml:space="preserve"> </w:t>
      </w:r>
    </w:p>
    <w:p w:rsidR="00AC31CE" w:rsidRPr="005853B8" w:rsidRDefault="00853F17" w:rsidP="00AD6931">
      <w:pPr>
        <w:pStyle w:val="newsNotes"/>
        <w:rPr>
          <w:lang w:val="de-DE"/>
        </w:rPr>
      </w:pPr>
      <w:r w:rsidRPr="005853B8">
        <w:rPr>
          <w:lang w:val="de-DE"/>
        </w:rPr>
        <w:t xml:space="preserve">Der </w:t>
      </w:r>
      <w:r w:rsidR="00AC31CE" w:rsidRPr="005853B8">
        <w:rPr>
          <w:lang w:val="de-DE"/>
        </w:rPr>
        <w:t>Methamphetamin</w:t>
      </w:r>
      <w:r w:rsidRPr="005853B8">
        <w:rPr>
          <w:lang w:val="de-DE"/>
        </w:rPr>
        <w:t>konsum</w:t>
      </w:r>
      <w:r w:rsidR="00AC31CE" w:rsidRPr="005853B8">
        <w:rPr>
          <w:lang w:val="de-DE"/>
        </w:rPr>
        <w:t xml:space="preserve">, </w:t>
      </w:r>
      <w:r w:rsidRPr="005853B8">
        <w:rPr>
          <w:lang w:val="de-DE"/>
        </w:rPr>
        <w:t xml:space="preserve">der </w:t>
      </w:r>
      <w:r w:rsidR="00AC31CE" w:rsidRPr="005853B8">
        <w:rPr>
          <w:lang w:val="de-DE"/>
        </w:rPr>
        <w:t>in Europ</w:t>
      </w:r>
      <w:r w:rsidRPr="005853B8">
        <w:rPr>
          <w:lang w:val="de-DE"/>
        </w:rPr>
        <w:t>a in der Vergangenheit stets gering u</w:t>
      </w:r>
      <w:r w:rsidR="00AC31CE" w:rsidRPr="005853B8">
        <w:rPr>
          <w:lang w:val="de-DE"/>
        </w:rPr>
        <w:t xml:space="preserve">nd </w:t>
      </w:r>
      <w:r w:rsidRPr="005853B8">
        <w:rPr>
          <w:lang w:val="de-DE"/>
        </w:rPr>
        <w:t>hauptsächlich auf die</w:t>
      </w:r>
      <w:r w:rsidR="00AC31CE" w:rsidRPr="005853B8">
        <w:rPr>
          <w:lang w:val="de-DE"/>
        </w:rPr>
        <w:t xml:space="preserve"> </w:t>
      </w:r>
      <w:r w:rsidRPr="005853B8">
        <w:rPr>
          <w:b/>
          <w:lang w:val="de-DE"/>
        </w:rPr>
        <w:t>Tsch</w:t>
      </w:r>
      <w:r w:rsidR="00AC31CE" w:rsidRPr="005853B8">
        <w:rPr>
          <w:b/>
          <w:lang w:val="de-DE"/>
        </w:rPr>
        <w:t>ech</w:t>
      </w:r>
      <w:r w:rsidRPr="005853B8">
        <w:rPr>
          <w:b/>
          <w:lang w:val="de-DE"/>
        </w:rPr>
        <w:t>ische</w:t>
      </w:r>
      <w:r w:rsidR="00AC31CE" w:rsidRPr="005853B8">
        <w:rPr>
          <w:b/>
          <w:lang w:val="de-DE"/>
        </w:rPr>
        <w:t xml:space="preserve"> Republi</w:t>
      </w:r>
      <w:r w:rsidRPr="005853B8">
        <w:rPr>
          <w:b/>
          <w:lang w:val="de-DE"/>
        </w:rPr>
        <w:t>k</w:t>
      </w:r>
      <w:r w:rsidR="00AC31CE" w:rsidRPr="005853B8">
        <w:rPr>
          <w:b/>
          <w:lang w:val="de-DE"/>
        </w:rPr>
        <w:t xml:space="preserve"> </w:t>
      </w:r>
      <w:r w:rsidRPr="005853B8">
        <w:rPr>
          <w:lang w:val="de-DE"/>
        </w:rPr>
        <w:t>u</w:t>
      </w:r>
      <w:r w:rsidR="00AC31CE" w:rsidRPr="005853B8">
        <w:rPr>
          <w:lang w:val="de-DE"/>
        </w:rPr>
        <w:t xml:space="preserve">nd </w:t>
      </w:r>
      <w:r w:rsidRPr="005853B8">
        <w:rPr>
          <w:lang w:val="de-DE"/>
        </w:rPr>
        <w:t xml:space="preserve">die </w:t>
      </w:r>
      <w:r w:rsidR="00AC31CE" w:rsidRPr="005853B8">
        <w:rPr>
          <w:b/>
          <w:lang w:val="de-DE"/>
        </w:rPr>
        <w:t>Slo</w:t>
      </w:r>
      <w:r w:rsidRPr="005853B8">
        <w:rPr>
          <w:b/>
          <w:lang w:val="de-DE"/>
        </w:rPr>
        <w:t>wakische Republik</w:t>
      </w:r>
      <w:r w:rsidR="00AC31CE" w:rsidRPr="005853B8">
        <w:rPr>
          <w:lang w:val="de-DE"/>
        </w:rPr>
        <w:t xml:space="preserve"> </w:t>
      </w:r>
      <w:r w:rsidRPr="005853B8">
        <w:rPr>
          <w:lang w:val="de-DE"/>
        </w:rPr>
        <w:t>begrenzt war, scheint sich mittlerweile auszubreiten</w:t>
      </w:r>
      <w:r w:rsidR="008216AB" w:rsidRPr="005853B8">
        <w:rPr>
          <w:lang w:val="de-DE"/>
        </w:rPr>
        <w:t xml:space="preserve"> (</w:t>
      </w:r>
      <w:r w:rsidRPr="005853B8">
        <w:rPr>
          <w:lang w:val="de-DE"/>
        </w:rPr>
        <w:t>z. B.</w:t>
      </w:r>
      <w:r w:rsidR="008216AB" w:rsidRPr="005853B8">
        <w:rPr>
          <w:lang w:val="de-DE"/>
        </w:rPr>
        <w:t xml:space="preserve"> in </w:t>
      </w:r>
      <w:r w:rsidRPr="005853B8">
        <w:rPr>
          <w:b/>
          <w:lang w:val="de-DE"/>
        </w:rPr>
        <w:t>D</w:t>
      </w:r>
      <w:r w:rsidR="008216AB" w:rsidRPr="005853B8">
        <w:rPr>
          <w:b/>
          <w:lang w:val="de-DE"/>
        </w:rPr>
        <w:t>e</w:t>
      </w:r>
      <w:r w:rsidRPr="005853B8">
        <w:rPr>
          <w:b/>
          <w:lang w:val="de-DE"/>
        </w:rPr>
        <w:t>utschland</w:t>
      </w:r>
      <w:r w:rsidR="008216AB" w:rsidRPr="005853B8">
        <w:rPr>
          <w:lang w:val="de-DE"/>
        </w:rPr>
        <w:t>)</w:t>
      </w:r>
      <w:r w:rsidR="00AC31CE" w:rsidRPr="005853B8">
        <w:rPr>
          <w:lang w:val="de-DE"/>
        </w:rPr>
        <w:t xml:space="preserve">. </w:t>
      </w:r>
      <w:r w:rsidRPr="005853B8">
        <w:rPr>
          <w:lang w:val="de-DE"/>
        </w:rPr>
        <w:t>Es gibt Besorgnis erregende Meldungen aus Südoste</w:t>
      </w:r>
      <w:r w:rsidR="00AC31CE" w:rsidRPr="005853B8">
        <w:rPr>
          <w:lang w:val="de-DE"/>
        </w:rPr>
        <w:t>urop</w:t>
      </w:r>
      <w:r w:rsidRPr="005853B8">
        <w:rPr>
          <w:lang w:val="de-DE"/>
        </w:rPr>
        <w:t>a</w:t>
      </w:r>
      <w:r w:rsidR="00AC31CE" w:rsidRPr="005853B8">
        <w:rPr>
          <w:lang w:val="de-DE"/>
        </w:rPr>
        <w:t xml:space="preserve"> (</w:t>
      </w:r>
      <w:r w:rsidR="00AC31CE" w:rsidRPr="005853B8">
        <w:rPr>
          <w:b/>
          <w:lang w:val="de-DE"/>
        </w:rPr>
        <w:t>Gr</w:t>
      </w:r>
      <w:r w:rsidRPr="005853B8">
        <w:rPr>
          <w:b/>
          <w:lang w:val="de-DE"/>
        </w:rPr>
        <w:t>iechenland</w:t>
      </w:r>
      <w:r w:rsidR="00AC31CE" w:rsidRPr="005853B8">
        <w:rPr>
          <w:b/>
          <w:lang w:val="de-DE"/>
        </w:rPr>
        <w:t xml:space="preserve">, </w:t>
      </w:r>
      <w:r w:rsidRPr="005853B8">
        <w:rPr>
          <w:b/>
          <w:lang w:val="de-DE"/>
        </w:rPr>
        <w:t>Z</w:t>
      </w:r>
      <w:r w:rsidR="00AC31CE" w:rsidRPr="005853B8">
        <w:rPr>
          <w:b/>
          <w:lang w:val="de-DE"/>
        </w:rPr>
        <w:t>yp</w:t>
      </w:r>
      <w:r w:rsidRPr="005853B8">
        <w:rPr>
          <w:b/>
          <w:lang w:val="de-DE"/>
        </w:rPr>
        <w:t>ern</w:t>
      </w:r>
      <w:r w:rsidR="00AC31CE" w:rsidRPr="005853B8">
        <w:rPr>
          <w:b/>
          <w:lang w:val="de-DE"/>
        </w:rPr>
        <w:t>, T</w:t>
      </w:r>
      <w:r w:rsidRPr="005853B8">
        <w:rPr>
          <w:b/>
          <w:lang w:val="de-DE"/>
        </w:rPr>
        <w:t>ürkei</w:t>
      </w:r>
      <w:r w:rsidR="00AC31CE" w:rsidRPr="005853B8">
        <w:rPr>
          <w:lang w:val="de-DE"/>
        </w:rPr>
        <w:t>)</w:t>
      </w:r>
      <w:r w:rsidRPr="005853B8">
        <w:rPr>
          <w:lang w:val="de-DE"/>
        </w:rPr>
        <w:t>,</w:t>
      </w:r>
      <w:r w:rsidR="00AC31CE" w:rsidRPr="005853B8">
        <w:rPr>
          <w:lang w:val="de-DE"/>
        </w:rPr>
        <w:t xml:space="preserve"> </w:t>
      </w:r>
      <w:r w:rsidRPr="005853B8">
        <w:rPr>
          <w:lang w:val="de-DE"/>
        </w:rPr>
        <w:t xml:space="preserve">dass das </w:t>
      </w:r>
      <w:r w:rsidRPr="005853B8">
        <w:rPr>
          <w:i/>
          <w:lang w:val="de-DE"/>
        </w:rPr>
        <w:t>Rauchen</w:t>
      </w:r>
      <w:r w:rsidRPr="005853B8">
        <w:rPr>
          <w:lang w:val="de-DE"/>
        </w:rPr>
        <w:t xml:space="preserve"> von kristallförmigem M</w:t>
      </w:r>
      <w:r w:rsidR="00AC31CE" w:rsidRPr="005853B8">
        <w:rPr>
          <w:lang w:val="de-DE"/>
        </w:rPr>
        <w:t>ethamphetamin</w:t>
      </w:r>
      <w:r w:rsidR="00A716B8">
        <w:rPr>
          <w:lang w:val="de-DE"/>
        </w:rPr>
        <w:t xml:space="preserve"> (Crystal-Meth)</w:t>
      </w:r>
      <w:r w:rsidRPr="005853B8">
        <w:rPr>
          <w:lang w:val="de-DE"/>
        </w:rPr>
        <w:t xml:space="preserve"> </w:t>
      </w:r>
      <w:r w:rsidR="00D8289E" w:rsidRPr="005853B8">
        <w:rPr>
          <w:lang w:val="de-DE"/>
        </w:rPr>
        <w:t xml:space="preserve">zwar </w:t>
      </w:r>
      <w:r w:rsidRPr="005853B8">
        <w:rPr>
          <w:lang w:val="de-DE"/>
        </w:rPr>
        <w:t xml:space="preserve">ein begrenztes, aber </w:t>
      </w:r>
      <w:r w:rsidR="00D8289E" w:rsidRPr="005853B8">
        <w:rPr>
          <w:lang w:val="de-DE"/>
        </w:rPr>
        <w:t xml:space="preserve">vermehrt </w:t>
      </w:r>
      <w:r w:rsidRPr="005853B8">
        <w:rPr>
          <w:lang w:val="de-DE"/>
        </w:rPr>
        <w:t>auftreten</w:t>
      </w:r>
      <w:r w:rsidR="00D8289E" w:rsidRPr="005853B8">
        <w:rPr>
          <w:lang w:val="de-DE"/>
        </w:rPr>
        <w:t>d</w:t>
      </w:r>
      <w:r w:rsidRPr="005853B8">
        <w:rPr>
          <w:lang w:val="de-DE"/>
        </w:rPr>
        <w:t>es P</w:t>
      </w:r>
      <w:r w:rsidR="00AC31CE" w:rsidRPr="005853B8">
        <w:rPr>
          <w:lang w:val="de-DE"/>
        </w:rPr>
        <w:t>roblem</w:t>
      </w:r>
      <w:r w:rsidRPr="005853B8">
        <w:rPr>
          <w:lang w:val="de-DE"/>
        </w:rPr>
        <w:t xml:space="preserve"> </w:t>
      </w:r>
      <w:r w:rsidR="00A716B8">
        <w:rPr>
          <w:lang w:val="de-DE"/>
        </w:rPr>
        <w:t>mit der</w:t>
      </w:r>
      <w:r w:rsidR="00F57E96">
        <w:rPr>
          <w:lang w:val="de-DE"/>
        </w:rPr>
        <w:t xml:space="preserve"> </w:t>
      </w:r>
      <w:r w:rsidR="00D8289E" w:rsidRPr="005853B8">
        <w:rPr>
          <w:lang w:val="de-DE"/>
        </w:rPr>
        <w:t>Möglichkeit einer Ausweitung auf v</w:t>
      </w:r>
      <w:r w:rsidR="00AC31CE" w:rsidRPr="005853B8">
        <w:rPr>
          <w:lang w:val="de-DE"/>
        </w:rPr>
        <w:t xml:space="preserve">ulnerable </w:t>
      </w:r>
      <w:r w:rsidR="00D8289E" w:rsidRPr="005853B8">
        <w:rPr>
          <w:lang w:val="de-DE"/>
        </w:rPr>
        <w:t xml:space="preserve">Bevölkerungsgruppen </w:t>
      </w:r>
      <w:r w:rsidR="00A716B8">
        <w:rPr>
          <w:lang w:val="de-DE"/>
        </w:rPr>
        <w:t>darstellt</w:t>
      </w:r>
      <w:r w:rsidR="00AC31CE" w:rsidRPr="005853B8">
        <w:rPr>
          <w:lang w:val="de-DE"/>
        </w:rPr>
        <w:t xml:space="preserve">. </w:t>
      </w:r>
      <w:r w:rsidRPr="005853B8">
        <w:rPr>
          <w:lang w:val="de-DE"/>
        </w:rPr>
        <w:t>Außerdem wurd</w:t>
      </w:r>
      <w:r w:rsidR="00A67C58" w:rsidRPr="005853B8">
        <w:rPr>
          <w:lang w:val="de-DE"/>
        </w:rPr>
        <w:t>e</w:t>
      </w:r>
      <w:r w:rsidRPr="005853B8">
        <w:rPr>
          <w:lang w:val="de-DE"/>
        </w:rPr>
        <w:t xml:space="preserve"> </w:t>
      </w:r>
      <w:r w:rsidR="00A67C58" w:rsidRPr="005853B8">
        <w:rPr>
          <w:lang w:val="de-DE"/>
        </w:rPr>
        <w:t xml:space="preserve">in einigen europäischen Großstädten </w:t>
      </w:r>
      <w:r w:rsidRPr="005853B8">
        <w:rPr>
          <w:lang w:val="de-DE"/>
        </w:rPr>
        <w:t xml:space="preserve">bei </w:t>
      </w:r>
      <w:r w:rsidRPr="005853B8">
        <w:rPr>
          <w:lang w:val="de-DE"/>
        </w:rPr>
        <w:lastRenderedPageBreak/>
        <w:t xml:space="preserve">kleinen Gruppen von Männern, die Geschlechtsverkehr mit anderen Männern </w:t>
      </w:r>
      <w:r w:rsidR="00A716B8">
        <w:rPr>
          <w:lang w:val="de-DE"/>
        </w:rPr>
        <w:t>haben</w:t>
      </w:r>
      <w:r w:rsidRPr="005853B8">
        <w:rPr>
          <w:lang w:val="de-DE"/>
        </w:rPr>
        <w:t>, de</w:t>
      </w:r>
      <w:r w:rsidR="00A67C58" w:rsidRPr="005853B8">
        <w:rPr>
          <w:lang w:val="de-DE"/>
        </w:rPr>
        <w:t>r</w:t>
      </w:r>
      <w:r w:rsidRPr="005853B8">
        <w:rPr>
          <w:lang w:val="de-DE"/>
        </w:rPr>
        <w:t xml:space="preserve"> </w:t>
      </w:r>
      <w:r w:rsidRPr="005853B8">
        <w:rPr>
          <w:i/>
          <w:lang w:val="de-DE"/>
        </w:rPr>
        <w:t>injizierende</w:t>
      </w:r>
      <w:r w:rsidR="00A67C58" w:rsidRPr="005853B8">
        <w:rPr>
          <w:lang w:val="de-DE"/>
        </w:rPr>
        <w:t xml:space="preserve"> Konsum</w:t>
      </w:r>
      <w:r w:rsidRPr="005853B8">
        <w:rPr>
          <w:lang w:val="de-DE"/>
        </w:rPr>
        <w:t xml:space="preserve"> </w:t>
      </w:r>
      <w:r w:rsidR="00A67C58" w:rsidRPr="005853B8">
        <w:rPr>
          <w:lang w:val="de-DE"/>
        </w:rPr>
        <w:t xml:space="preserve">von Metamphetamin als neuer Trend </w:t>
      </w:r>
      <w:r w:rsidRPr="005853B8">
        <w:rPr>
          <w:lang w:val="de-DE"/>
        </w:rPr>
        <w:t>festgestellt</w:t>
      </w:r>
      <w:r w:rsidR="00AC31CE" w:rsidRPr="005853B8">
        <w:rPr>
          <w:lang w:val="de-DE"/>
        </w:rPr>
        <w:t xml:space="preserve"> (</w:t>
      </w:r>
      <w:r w:rsidR="008A6F08" w:rsidRPr="005853B8">
        <w:rPr>
          <w:vertAlign w:val="superscript"/>
          <w:lang w:val="de-DE"/>
        </w:rPr>
        <w:t>4</w:t>
      </w:r>
      <w:r w:rsidR="00AC31CE" w:rsidRPr="005853B8">
        <w:rPr>
          <w:lang w:val="de-DE"/>
        </w:rPr>
        <w:t xml:space="preserve">). </w:t>
      </w:r>
    </w:p>
    <w:p w:rsidR="00AC31CE" w:rsidRPr="005853B8" w:rsidRDefault="00A716B8" w:rsidP="003C2E9B">
      <w:pPr>
        <w:pStyle w:val="newsNotes"/>
        <w:rPr>
          <w:lang w:val="de-DE"/>
        </w:rPr>
      </w:pPr>
      <w:r>
        <w:rPr>
          <w:lang w:val="de-DE"/>
        </w:rPr>
        <w:t>Im</w:t>
      </w:r>
      <w:r w:rsidR="00D8289E" w:rsidRPr="005853B8">
        <w:rPr>
          <w:lang w:val="de-DE"/>
        </w:rPr>
        <w:t xml:space="preserve"> heut</w:t>
      </w:r>
      <w:r>
        <w:rPr>
          <w:lang w:val="de-DE"/>
        </w:rPr>
        <w:t>e erscheinenden</w:t>
      </w:r>
      <w:r w:rsidR="00F57E96">
        <w:rPr>
          <w:lang w:val="de-DE"/>
        </w:rPr>
        <w:t xml:space="preserve"> </w:t>
      </w:r>
      <w:r w:rsidR="00D8289E" w:rsidRPr="005853B8">
        <w:rPr>
          <w:lang w:val="de-DE"/>
        </w:rPr>
        <w:t xml:space="preserve">Bericht </w:t>
      </w:r>
      <w:r w:rsidR="00D55985" w:rsidRPr="005853B8">
        <w:rPr>
          <w:lang w:val="de-DE"/>
        </w:rPr>
        <w:t xml:space="preserve">wird ferner </w:t>
      </w:r>
      <w:r w:rsidR="006C2BDF" w:rsidRPr="005853B8">
        <w:rPr>
          <w:lang w:val="de-DE"/>
        </w:rPr>
        <w:t xml:space="preserve">die </w:t>
      </w:r>
      <w:r w:rsidR="00D8289E" w:rsidRPr="005853B8">
        <w:rPr>
          <w:lang w:val="de-DE"/>
        </w:rPr>
        <w:t xml:space="preserve">Besorgnis bezüglich des erneuten Auftretens von Ecstasy </w:t>
      </w:r>
      <w:r w:rsidR="007A7548">
        <w:rPr>
          <w:lang w:val="de-DE"/>
        </w:rPr>
        <w:t>von</w:t>
      </w:r>
      <w:r w:rsidR="00F57E96">
        <w:rPr>
          <w:lang w:val="de-DE"/>
        </w:rPr>
        <w:t xml:space="preserve"> </w:t>
      </w:r>
      <w:r w:rsidR="00D8289E" w:rsidRPr="005853B8">
        <w:rPr>
          <w:lang w:val="de-DE"/>
        </w:rPr>
        <w:t>hoher Reinheit</w:t>
      </w:r>
      <w:r w:rsidR="00AC31CE" w:rsidRPr="005853B8">
        <w:rPr>
          <w:lang w:val="de-DE"/>
        </w:rPr>
        <w:t xml:space="preserve"> (MDMA) </w:t>
      </w:r>
      <w:r w:rsidR="00D8289E" w:rsidRPr="005853B8">
        <w:rPr>
          <w:lang w:val="de-DE"/>
        </w:rPr>
        <w:t>in Pulver- und P</w:t>
      </w:r>
      <w:r w:rsidR="00AC31CE" w:rsidRPr="005853B8">
        <w:rPr>
          <w:lang w:val="de-DE"/>
        </w:rPr>
        <w:t>ill</w:t>
      </w:r>
      <w:r w:rsidR="00D8289E" w:rsidRPr="005853B8">
        <w:rPr>
          <w:lang w:val="de-DE"/>
        </w:rPr>
        <w:t>enform</w:t>
      </w:r>
      <w:r w:rsidR="00D55985" w:rsidRPr="005853B8">
        <w:rPr>
          <w:lang w:val="de-DE"/>
        </w:rPr>
        <w:t xml:space="preserve"> </w:t>
      </w:r>
      <w:r w:rsidR="006C2BDF" w:rsidRPr="005853B8">
        <w:rPr>
          <w:lang w:val="de-DE"/>
        </w:rPr>
        <w:t>hervorgehoben</w:t>
      </w:r>
      <w:r w:rsidR="00AC31CE" w:rsidRPr="005853B8">
        <w:rPr>
          <w:lang w:val="de-DE"/>
        </w:rPr>
        <w:t xml:space="preserve">. </w:t>
      </w:r>
      <w:r w:rsidR="00461B56" w:rsidRPr="005853B8">
        <w:rPr>
          <w:lang w:val="de-DE"/>
        </w:rPr>
        <w:t xml:space="preserve">Infolge von Sicherstellungen und Berichten über gesundheitsschädliche Wirkungen gaben </w:t>
      </w:r>
      <w:r w:rsidR="00461B56" w:rsidRPr="005853B8">
        <w:rPr>
          <w:b/>
          <w:lang w:val="de-DE"/>
        </w:rPr>
        <w:t xml:space="preserve">Europol </w:t>
      </w:r>
      <w:r w:rsidR="00461B56" w:rsidRPr="005853B8">
        <w:rPr>
          <w:lang w:val="de-DE"/>
        </w:rPr>
        <w:t xml:space="preserve">und die </w:t>
      </w:r>
      <w:r w:rsidR="00461B56" w:rsidRPr="005853B8">
        <w:rPr>
          <w:b/>
          <w:lang w:val="de-DE"/>
        </w:rPr>
        <w:t>EMCDDA</w:t>
      </w:r>
      <w:r w:rsidR="00461B56" w:rsidRPr="005853B8">
        <w:rPr>
          <w:lang w:val="de-DE"/>
        </w:rPr>
        <w:t xml:space="preserve"> eine gemeinsame Warnmitteilung zur Verfügbarkeit von MDMA-haltigen Produkten mit extrem hoher Stärke heraus</w:t>
      </w:r>
      <w:r w:rsidR="00AC31CE" w:rsidRPr="005853B8">
        <w:rPr>
          <w:lang w:val="de-DE"/>
        </w:rPr>
        <w:t xml:space="preserve"> (</w:t>
      </w:r>
      <w:r w:rsidR="008A6F08" w:rsidRPr="005853B8">
        <w:rPr>
          <w:vertAlign w:val="superscript"/>
          <w:lang w:val="de-DE"/>
        </w:rPr>
        <w:t>5</w:t>
      </w:r>
      <w:r w:rsidR="00AC31CE" w:rsidRPr="005853B8">
        <w:rPr>
          <w:lang w:val="de-DE"/>
        </w:rPr>
        <w:t xml:space="preserve">). </w:t>
      </w:r>
      <w:r w:rsidR="00461B56" w:rsidRPr="005853B8">
        <w:rPr>
          <w:b/>
          <w:lang w:val="de-DE"/>
        </w:rPr>
        <w:t>Europol</w:t>
      </w:r>
      <w:r w:rsidR="00461B56" w:rsidRPr="005853B8">
        <w:rPr>
          <w:lang w:val="de-DE"/>
        </w:rPr>
        <w:t xml:space="preserve"> meldete 2013 aus </w:t>
      </w:r>
      <w:r w:rsidR="00461B56" w:rsidRPr="005853B8">
        <w:rPr>
          <w:b/>
          <w:lang w:val="de-DE"/>
        </w:rPr>
        <w:t>Belgien</w:t>
      </w:r>
      <w:r w:rsidR="00461B56" w:rsidRPr="005853B8">
        <w:rPr>
          <w:lang w:val="de-DE"/>
        </w:rPr>
        <w:t xml:space="preserve"> die Zerschlagung von zwei der größten Drogenherstellungsanlagen, die jemals in der </w:t>
      </w:r>
      <w:r w:rsidR="00461B56" w:rsidRPr="005853B8">
        <w:rPr>
          <w:b/>
          <w:lang w:val="de-DE"/>
        </w:rPr>
        <w:t>EU</w:t>
      </w:r>
      <w:r w:rsidR="00461B56" w:rsidRPr="005853B8">
        <w:rPr>
          <w:lang w:val="de-DE"/>
        </w:rPr>
        <w:t xml:space="preserve"> entdeckt worden sind und die für die rasche Herstellung großer Mengen an MDMA ausgelegt waren.</w:t>
      </w:r>
    </w:p>
    <w:p w:rsidR="00AC31CE" w:rsidRPr="005853B8" w:rsidRDefault="003C2E9B" w:rsidP="003C2E9B">
      <w:pPr>
        <w:pStyle w:val="newsNotes"/>
        <w:rPr>
          <w:lang w:val="de-DE"/>
        </w:rPr>
      </w:pPr>
      <w:r w:rsidRPr="005853B8">
        <w:rPr>
          <w:b/>
          <w:lang w:val="de-DE"/>
        </w:rPr>
        <w:t>Ne</w:t>
      </w:r>
      <w:r w:rsidR="00461B56" w:rsidRPr="005853B8">
        <w:rPr>
          <w:b/>
          <w:lang w:val="de-DE"/>
        </w:rPr>
        <w:t>ue</w:t>
      </w:r>
      <w:r w:rsidRPr="005853B8">
        <w:rPr>
          <w:b/>
          <w:lang w:val="de-DE"/>
        </w:rPr>
        <w:t xml:space="preserve"> p</w:t>
      </w:r>
      <w:r w:rsidR="001A46CB" w:rsidRPr="005853B8">
        <w:rPr>
          <w:b/>
          <w:lang w:val="de-DE"/>
        </w:rPr>
        <w:t>sychoa</w:t>
      </w:r>
      <w:r w:rsidR="00461B56" w:rsidRPr="005853B8">
        <w:rPr>
          <w:b/>
          <w:lang w:val="de-DE"/>
        </w:rPr>
        <w:t>k</w:t>
      </w:r>
      <w:r w:rsidR="001A46CB" w:rsidRPr="005853B8">
        <w:rPr>
          <w:b/>
          <w:lang w:val="de-DE"/>
        </w:rPr>
        <w:t xml:space="preserve">tive </w:t>
      </w:r>
      <w:r w:rsidR="00461B56" w:rsidRPr="005853B8">
        <w:rPr>
          <w:b/>
          <w:lang w:val="de-DE"/>
        </w:rPr>
        <w:t>S</w:t>
      </w:r>
      <w:r w:rsidR="001A46CB" w:rsidRPr="005853B8">
        <w:rPr>
          <w:b/>
          <w:lang w:val="de-DE"/>
        </w:rPr>
        <w:t>ubstan</w:t>
      </w:r>
      <w:r w:rsidR="00461B56" w:rsidRPr="005853B8">
        <w:rPr>
          <w:b/>
          <w:lang w:val="de-DE"/>
        </w:rPr>
        <w:t>zen</w:t>
      </w:r>
      <w:r w:rsidR="001A46CB" w:rsidRPr="005853B8">
        <w:rPr>
          <w:b/>
          <w:lang w:val="de-DE"/>
        </w:rPr>
        <w:t>: EU</w:t>
      </w:r>
      <w:r w:rsidR="00461B56" w:rsidRPr="005853B8">
        <w:rPr>
          <w:b/>
          <w:lang w:val="de-DE"/>
        </w:rPr>
        <w:t>-Frühw</w:t>
      </w:r>
      <w:r w:rsidR="001A46CB" w:rsidRPr="005853B8">
        <w:rPr>
          <w:b/>
          <w:lang w:val="de-DE"/>
        </w:rPr>
        <w:t>arn</w:t>
      </w:r>
      <w:r w:rsidR="00461B56" w:rsidRPr="005853B8">
        <w:rPr>
          <w:b/>
          <w:lang w:val="de-DE"/>
        </w:rPr>
        <w:t>s</w:t>
      </w:r>
      <w:r w:rsidR="001A46CB" w:rsidRPr="005853B8">
        <w:rPr>
          <w:b/>
          <w:lang w:val="de-DE"/>
        </w:rPr>
        <w:t xml:space="preserve">ystem </w:t>
      </w:r>
      <w:r w:rsidR="00461B56" w:rsidRPr="005853B8">
        <w:rPr>
          <w:b/>
          <w:lang w:val="de-DE"/>
        </w:rPr>
        <w:t>„</w:t>
      </w:r>
      <w:r w:rsidR="00A67C58" w:rsidRPr="005853B8">
        <w:rPr>
          <w:b/>
          <w:lang w:val="de-DE"/>
        </w:rPr>
        <w:t xml:space="preserve">zunehmend </w:t>
      </w:r>
      <w:r w:rsidR="00461B56" w:rsidRPr="005853B8">
        <w:rPr>
          <w:b/>
          <w:lang w:val="de-DE"/>
        </w:rPr>
        <w:t>unter Druck“</w:t>
      </w:r>
    </w:p>
    <w:p w:rsidR="00214415" w:rsidRPr="005853B8" w:rsidRDefault="00461B56" w:rsidP="003C2E9B">
      <w:pPr>
        <w:pStyle w:val="newsNotes"/>
        <w:rPr>
          <w:lang w:val="de-DE"/>
        </w:rPr>
      </w:pPr>
      <w:r w:rsidRPr="005853B8">
        <w:rPr>
          <w:lang w:val="de-DE"/>
        </w:rPr>
        <w:t>„Hinsichtlich der zunehmenden Anzahl</w:t>
      </w:r>
      <w:r w:rsidR="00214415" w:rsidRPr="005853B8">
        <w:rPr>
          <w:lang w:val="de-DE"/>
        </w:rPr>
        <w:t xml:space="preserve">, </w:t>
      </w:r>
      <w:r w:rsidRPr="005853B8">
        <w:rPr>
          <w:lang w:val="de-DE"/>
        </w:rPr>
        <w:t xml:space="preserve">Vielfalt und Verfügbarkeit neuer </w:t>
      </w:r>
      <w:r w:rsidR="00214415" w:rsidRPr="005853B8">
        <w:rPr>
          <w:lang w:val="de-DE"/>
        </w:rPr>
        <w:t>psychoa</w:t>
      </w:r>
      <w:r w:rsidRPr="005853B8">
        <w:rPr>
          <w:lang w:val="de-DE"/>
        </w:rPr>
        <w:t>k</w:t>
      </w:r>
      <w:r w:rsidR="00214415" w:rsidRPr="005853B8">
        <w:rPr>
          <w:lang w:val="de-DE"/>
        </w:rPr>
        <w:t>tive</w:t>
      </w:r>
      <w:r w:rsidRPr="005853B8">
        <w:rPr>
          <w:lang w:val="de-DE"/>
        </w:rPr>
        <w:t>r S</w:t>
      </w:r>
      <w:r w:rsidR="00214415" w:rsidRPr="005853B8">
        <w:rPr>
          <w:lang w:val="de-DE"/>
        </w:rPr>
        <w:t>ubstan</w:t>
      </w:r>
      <w:r w:rsidRPr="005853B8">
        <w:rPr>
          <w:lang w:val="de-DE"/>
        </w:rPr>
        <w:t>zen</w:t>
      </w:r>
      <w:r w:rsidR="00214415" w:rsidRPr="005853B8">
        <w:rPr>
          <w:lang w:val="de-DE"/>
        </w:rPr>
        <w:t xml:space="preserve"> (</w:t>
      </w:r>
      <w:r w:rsidR="007A7548">
        <w:rPr>
          <w:lang w:val="de-DE"/>
        </w:rPr>
        <w:t xml:space="preserve">NPS oder </w:t>
      </w:r>
      <w:r w:rsidRPr="005853B8">
        <w:rPr>
          <w:lang w:val="de-DE"/>
        </w:rPr>
        <w:t>„neue Drogen“</w:t>
      </w:r>
      <w:r w:rsidR="00214415" w:rsidRPr="005853B8">
        <w:rPr>
          <w:lang w:val="de-DE"/>
        </w:rPr>
        <w:t>) in Europ</w:t>
      </w:r>
      <w:r w:rsidRPr="005853B8">
        <w:rPr>
          <w:lang w:val="de-DE"/>
        </w:rPr>
        <w:t>a</w:t>
      </w:r>
      <w:r w:rsidR="00214415" w:rsidRPr="005853B8">
        <w:rPr>
          <w:lang w:val="de-DE"/>
        </w:rPr>
        <w:t xml:space="preserve"> </w:t>
      </w:r>
      <w:r w:rsidRPr="005853B8">
        <w:rPr>
          <w:lang w:val="de-DE"/>
        </w:rPr>
        <w:t>ist noch kein Ende in Sicht“</w:t>
      </w:r>
      <w:r w:rsidR="00A67C58" w:rsidRPr="005853B8">
        <w:rPr>
          <w:lang w:val="de-DE"/>
        </w:rPr>
        <w:t>,</w:t>
      </w:r>
      <w:r w:rsidRPr="005853B8">
        <w:rPr>
          <w:lang w:val="de-DE"/>
        </w:rPr>
        <w:t xml:space="preserve"> so die</w:t>
      </w:r>
      <w:r w:rsidR="00214415" w:rsidRPr="005853B8">
        <w:rPr>
          <w:lang w:val="de-DE"/>
        </w:rPr>
        <w:t xml:space="preserve"> </w:t>
      </w:r>
      <w:r w:rsidR="00214415" w:rsidRPr="005853B8">
        <w:rPr>
          <w:b/>
          <w:lang w:val="de-DE"/>
        </w:rPr>
        <w:t>EMCDDA</w:t>
      </w:r>
      <w:r w:rsidR="00214415" w:rsidRPr="005853B8">
        <w:rPr>
          <w:lang w:val="de-DE"/>
        </w:rPr>
        <w:t xml:space="preserve">. </w:t>
      </w:r>
      <w:r w:rsidR="006112E5" w:rsidRPr="005853B8">
        <w:rPr>
          <w:lang w:val="de-DE"/>
        </w:rPr>
        <w:t xml:space="preserve">Im </w:t>
      </w:r>
      <w:r w:rsidR="0034186C" w:rsidRPr="005853B8">
        <w:rPr>
          <w:lang w:val="de-DE"/>
        </w:rPr>
        <w:t>Jahr </w:t>
      </w:r>
      <w:r w:rsidR="006112E5" w:rsidRPr="005853B8">
        <w:rPr>
          <w:lang w:val="de-DE"/>
        </w:rPr>
        <w:t xml:space="preserve">2013 wurden an das </w:t>
      </w:r>
      <w:r w:rsidR="006112E5" w:rsidRPr="005853B8">
        <w:rPr>
          <w:b/>
          <w:lang w:val="de-DE"/>
        </w:rPr>
        <w:t>EU-Frühwarnsystem</w:t>
      </w:r>
      <w:r w:rsidR="00A67C58" w:rsidRPr="005853B8">
        <w:rPr>
          <w:lang w:val="de-DE"/>
        </w:rPr>
        <w:t xml:space="preserve"> </w:t>
      </w:r>
      <w:r w:rsidR="007C645C" w:rsidRPr="00224F85">
        <w:rPr>
          <w:b/>
          <w:lang w:val="de-DE"/>
        </w:rPr>
        <w:t>(</w:t>
      </w:r>
      <w:r w:rsidR="00A67C58" w:rsidRPr="005853B8">
        <w:rPr>
          <w:b/>
          <w:lang w:val="de-DE"/>
        </w:rPr>
        <w:t>EU-EWS</w:t>
      </w:r>
      <w:r w:rsidR="007C645C">
        <w:rPr>
          <w:b/>
          <w:lang w:val="de-DE"/>
        </w:rPr>
        <w:t>)</w:t>
      </w:r>
      <w:r w:rsidR="006112E5" w:rsidRPr="005853B8">
        <w:rPr>
          <w:lang w:val="de-DE"/>
        </w:rPr>
        <w:t xml:space="preserve"> 81 neue psychoaktive Substanzen gemeldet, womit sich die Zahl der überwachten Substanzen auf mehr als 350 erhöht hat</w:t>
      </w:r>
      <w:r w:rsidR="00214415" w:rsidRPr="005853B8">
        <w:rPr>
          <w:lang w:val="de-DE"/>
        </w:rPr>
        <w:t xml:space="preserve"> (</w:t>
      </w:r>
      <w:r w:rsidR="008A6F08" w:rsidRPr="005853B8">
        <w:rPr>
          <w:vertAlign w:val="superscript"/>
          <w:lang w:val="de-DE"/>
        </w:rPr>
        <w:t>6</w:t>
      </w:r>
      <w:r w:rsidR="00214415" w:rsidRPr="005853B8">
        <w:rPr>
          <w:lang w:val="de-DE"/>
        </w:rPr>
        <w:t xml:space="preserve">). </w:t>
      </w:r>
      <w:r w:rsidR="006112E5" w:rsidRPr="005853B8">
        <w:rPr>
          <w:lang w:val="de-DE"/>
        </w:rPr>
        <w:t>Laut dem heute vorgelegten Bericht gerät das Sy</w:t>
      </w:r>
      <w:r w:rsidR="00214415" w:rsidRPr="005853B8">
        <w:rPr>
          <w:lang w:val="de-DE"/>
        </w:rPr>
        <w:t xml:space="preserve">stem </w:t>
      </w:r>
      <w:r w:rsidR="00A67C58" w:rsidRPr="005853B8">
        <w:rPr>
          <w:lang w:val="de-DE"/>
        </w:rPr>
        <w:t>„</w:t>
      </w:r>
      <w:r w:rsidR="006112E5" w:rsidRPr="005853B8">
        <w:rPr>
          <w:lang w:val="de-DE"/>
        </w:rPr>
        <w:t>aufgrund des Umfangs und der Vielfalt der Substanzen, die auf dem Markt auftauchen, zunehmend unter Druck“</w:t>
      </w:r>
      <w:r w:rsidR="00214415" w:rsidRPr="005853B8">
        <w:rPr>
          <w:lang w:val="de-DE"/>
        </w:rPr>
        <w:t xml:space="preserve">. </w:t>
      </w:r>
      <w:r w:rsidR="006112E5" w:rsidRPr="005853B8">
        <w:rPr>
          <w:lang w:val="de-DE"/>
        </w:rPr>
        <w:t>In den vergangenen vier Jahren wurden knapp</w:t>
      </w:r>
      <w:r w:rsidR="00214415" w:rsidRPr="005853B8">
        <w:rPr>
          <w:lang w:val="de-DE"/>
        </w:rPr>
        <w:t xml:space="preserve"> 250</w:t>
      </w:r>
      <w:r w:rsidR="006112E5" w:rsidRPr="005853B8">
        <w:rPr>
          <w:lang w:val="de-DE"/>
        </w:rPr>
        <w:t> </w:t>
      </w:r>
      <w:r w:rsidR="003E7018">
        <w:rPr>
          <w:lang w:val="de-DE"/>
        </w:rPr>
        <w:t xml:space="preserve">neue </w:t>
      </w:r>
      <w:r w:rsidR="006112E5" w:rsidRPr="005853B8">
        <w:rPr>
          <w:lang w:val="de-DE"/>
        </w:rPr>
        <w:t>S</w:t>
      </w:r>
      <w:r w:rsidR="00214415" w:rsidRPr="005853B8">
        <w:rPr>
          <w:lang w:val="de-DE"/>
        </w:rPr>
        <w:t>ubstan</w:t>
      </w:r>
      <w:r w:rsidR="006112E5" w:rsidRPr="005853B8">
        <w:rPr>
          <w:lang w:val="de-DE"/>
        </w:rPr>
        <w:t xml:space="preserve">zen </w:t>
      </w:r>
      <w:r w:rsidR="007C645C">
        <w:rPr>
          <w:lang w:val="de-DE"/>
        </w:rPr>
        <w:t>erfasst</w:t>
      </w:r>
      <w:r w:rsidR="00214415" w:rsidRPr="005853B8">
        <w:rPr>
          <w:lang w:val="de-DE"/>
        </w:rPr>
        <w:t xml:space="preserve">. </w:t>
      </w:r>
    </w:p>
    <w:p w:rsidR="00214415" w:rsidRPr="005853B8" w:rsidRDefault="00214415" w:rsidP="003C2E9B">
      <w:pPr>
        <w:pStyle w:val="newsNotes"/>
        <w:rPr>
          <w:lang w:val="de-DE"/>
        </w:rPr>
      </w:pPr>
      <w:r w:rsidRPr="005853B8">
        <w:rPr>
          <w:lang w:val="de-DE"/>
        </w:rPr>
        <w:t>Ne</w:t>
      </w:r>
      <w:r w:rsidR="006112E5" w:rsidRPr="005853B8">
        <w:rPr>
          <w:lang w:val="de-DE"/>
        </w:rPr>
        <w:t>ue</w:t>
      </w:r>
      <w:r w:rsidRPr="005853B8">
        <w:rPr>
          <w:lang w:val="de-DE"/>
        </w:rPr>
        <w:t xml:space="preserve"> psychoa</w:t>
      </w:r>
      <w:r w:rsidR="006112E5" w:rsidRPr="005853B8">
        <w:rPr>
          <w:lang w:val="de-DE"/>
        </w:rPr>
        <w:t>k</w:t>
      </w:r>
      <w:r w:rsidRPr="005853B8">
        <w:rPr>
          <w:lang w:val="de-DE"/>
        </w:rPr>
        <w:t xml:space="preserve">tive </w:t>
      </w:r>
      <w:r w:rsidR="006112E5" w:rsidRPr="005853B8">
        <w:rPr>
          <w:lang w:val="de-DE"/>
        </w:rPr>
        <w:t>S</w:t>
      </w:r>
      <w:r w:rsidRPr="005853B8">
        <w:rPr>
          <w:lang w:val="de-DE"/>
        </w:rPr>
        <w:t>ubstan</w:t>
      </w:r>
      <w:r w:rsidR="006112E5" w:rsidRPr="005853B8">
        <w:rPr>
          <w:lang w:val="de-DE"/>
        </w:rPr>
        <w:t>zen</w:t>
      </w:r>
      <w:r w:rsidRPr="005853B8">
        <w:rPr>
          <w:lang w:val="de-DE"/>
        </w:rPr>
        <w:t xml:space="preserve">, </w:t>
      </w:r>
      <w:r w:rsidR="006112E5" w:rsidRPr="005853B8">
        <w:rPr>
          <w:lang w:val="de-DE"/>
        </w:rPr>
        <w:t xml:space="preserve">die </w:t>
      </w:r>
      <w:r w:rsidR="003E7018">
        <w:rPr>
          <w:lang w:val="de-DE"/>
        </w:rPr>
        <w:t>keiner internationalen Kontrolle unterliegen</w:t>
      </w:r>
      <w:r w:rsidR="006112E5" w:rsidRPr="005853B8">
        <w:rPr>
          <w:lang w:val="de-DE"/>
        </w:rPr>
        <w:t>, werden auf dem Markt häufig als „Legal Highs“ verkauft</w:t>
      </w:r>
      <w:r w:rsidRPr="005853B8">
        <w:rPr>
          <w:lang w:val="de-DE"/>
        </w:rPr>
        <w:t xml:space="preserve"> </w:t>
      </w:r>
      <w:r w:rsidR="006112E5" w:rsidRPr="005853B8">
        <w:rPr>
          <w:lang w:val="de-DE"/>
        </w:rPr>
        <w:t>u</w:t>
      </w:r>
      <w:r w:rsidRPr="005853B8">
        <w:rPr>
          <w:lang w:val="de-DE"/>
        </w:rPr>
        <w:t xml:space="preserve">nd </w:t>
      </w:r>
      <w:r w:rsidR="006112E5" w:rsidRPr="005853B8">
        <w:rPr>
          <w:lang w:val="de-DE"/>
        </w:rPr>
        <w:t>oft mit der Absicht hergestellt, die Wirkungen verbotener Drogen nachzuahmen</w:t>
      </w:r>
      <w:r w:rsidRPr="005853B8">
        <w:rPr>
          <w:lang w:val="de-DE"/>
        </w:rPr>
        <w:t xml:space="preserve">. </w:t>
      </w:r>
      <w:r w:rsidR="008C0AF6" w:rsidRPr="005853B8">
        <w:rPr>
          <w:lang w:val="de-DE"/>
        </w:rPr>
        <w:t xml:space="preserve">Bei 29 der </w:t>
      </w:r>
      <w:r w:rsidR="003E7018">
        <w:rPr>
          <w:lang w:val="de-DE"/>
        </w:rPr>
        <w:t xml:space="preserve">im vergangenen Jahr </w:t>
      </w:r>
      <w:r w:rsidR="008C0AF6" w:rsidRPr="005853B8">
        <w:rPr>
          <w:lang w:val="de-DE"/>
        </w:rPr>
        <w:t>ermittelten Drogen handelte es sich um synthetische Cannabinoide</w:t>
      </w:r>
      <w:r w:rsidRPr="005853B8">
        <w:rPr>
          <w:lang w:val="de-DE"/>
        </w:rPr>
        <w:t xml:space="preserve">, </w:t>
      </w:r>
      <w:r w:rsidR="00AA5D33">
        <w:rPr>
          <w:lang w:val="de-DE"/>
        </w:rPr>
        <w:t>die</w:t>
      </w:r>
      <w:r w:rsidR="00AA5D33" w:rsidRPr="005853B8">
        <w:rPr>
          <w:lang w:val="de-DE"/>
        </w:rPr>
        <w:t xml:space="preserve"> </w:t>
      </w:r>
      <w:r w:rsidR="008C0AF6" w:rsidRPr="005853B8">
        <w:rPr>
          <w:lang w:val="de-DE"/>
        </w:rPr>
        <w:t xml:space="preserve">größte derzeit durch das </w:t>
      </w:r>
      <w:r w:rsidRPr="00034352">
        <w:rPr>
          <w:b/>
          <w:lang w:val="de-DE"/>
        </w:rPr>
        <w:t>EU</w:t>
      </w:r>
      <w:r w:rsidR="008C0AF6" w:rsidRPr="00034352">
        <w:rPr>
          <w:b/>
          <w:lang w:val="de-DE"/>
        </w:rPr>
        <w:t>-</w:t>
      </w:r>
      <w:r w:rsidRPr="00034352">
        <w:rPr>
          <w:b/>
          <w:lang w:val="de-DE"/>
        </w:rPr>
        <w:t>EWS</w:t>
      </w:r>
      <w:r w:rsidR="008C0AF6" w:rsidRPr="005853B8">
        <w:rPr>
          <w:lang w:val="de-DE"/>
        </w:rPr>
        <w:t xml:space="preserve"> überwachte Substanzgruppe</w:t>
      </w:r>
      <w:r w:rsidRPr="005853B8">
        <w:rPr>
          <w:lang w:val="de-DE"/>
        </w:rPr>
        <w:t xml:space="preserve">. </w:t>
      </w:r>
      <w:r w:rsidR="008C0AF6" w:rsidRPr="005853B8">
        <w:rPr>
          <w:lang w:val="de-DE"/>
        </w:rPr>
        <w:t>Die Geschwindigkeit, mit der Substanzen, die</w:t>
      </w:r>
      <w:r w:rsidR="00AA5D33">
        <w:rPr>
          <w:lang w:val="de-DE"/>
        </w:rPr>
        <w:t xml:space="preserve"> seit kurzem</w:t>
      </w:r>
      <w:r w:rsidR="00F57E96">
        <w:rPr>
          <w:lang w:val="de-DE"/>
        </w:rPr>
        <w:t xml:space="preserve"> </w:t>
      </w:r>
      <w:r w:rsidR="008C0AF6" w:rsidRPr="005853B8">
        <w:rPr>
          <w:lang w:val="de-DE"/>
        </w:rPr>
        <w:t xml:space="preserve">Kontrollen unterliegen, durch neue Substanzen abgelöst wurden, </w:t>
      </w:r>
      <w:r w:rsidR="00A67C58" w:rsidRPr="005853B8">
        <w:rPr>
          <w:lang w:val="de-DE"/>
        </w:rPr>
        <w:t>hat</w:t>
      </w:r>
      <w:r w:rsidR="008C0AF6" w:rsidRPr="005853B8">
        <w:rPr>
          <w:lang w:val="de-DE"/>
        </w:rPr>
        <w:t xml:space="preserve"> in Europa </w:t>
      </w:r>
      <w:r w:rsidR="00A67C58" w:rsidRPr="005853B8">
        <w:rPr>
          <w:lang w:val="de-DE"/>
        </w:rPr>
        <w:t>zu einer Bandbreite innovativer gesetzlicher Maßnahmen geführt</w:t>
      </w:r>
      <w:r w:rsidR="008C0AF6" w:rsidRPr="005853B8">
        <w:rPr>
          <w:lang w:val="de-DE"/>
        </w:rPr>
        <w:t xml:space="preserve"> </w:t>
      </w:r>
      <w:r w:rsidRPr="005853B8">
        <w:rPr>
          <w:lang w:val="de-DE"/>
        </w:rPr>
        <w:t>(</w:t>
      </w:r>
      <w:r w:rsidR="008C0AF6" w:rsidRPr="005853B8">
        <w:rPr>
          <w:lang w:val="de-DE"/>
        </w:rPr>
        <w:t>Kapitel </w:t>
      </w:r>
      <w:r w:rsidRPr="005853B8">
        <w:rPr>
          <w:lang w:val="de-DE"/>
        </w:rPr>
        <w:t>4).</w:t>
      </w:r>
    </w:p>
    <w:p w:rsidR="00214415" w:rsidRPr="005853B8" w:rsidRDefault="008C0AF6" w:rsidP="003C2E9B">
      <w:pPr>
        <w:pStyle w:val="newsNotes"/>
        <w:rPr>
          <w:lang w:val="de-DE"/>
        </w:rPr>
      </w:pPr>
      <w:r w:rsidRPr="005853B8">
        <w:rPr>
          <w:lang w:val="de-DE"/>
        </w:rPr>
        <w:t xml:space="preserve">In einigen Fällen werden die neuen Drogen </w:t>
      </w:r>
      <w:r w:rsidR="00AA5D33" w:rsidRPr="005853B8">
        <w:rPr>
          <w:lang w:val="de-DE"/>
        </w:rPr>
        <w:t xml:space="preserve">in geheimen Labors </w:t>
      </w:r>
      <w:r w:rsidRPr="005853B8">
        <w:rPr>
          <w:lang w:val="de-DE"/>
        </w:rPr>
        <w:t>in Europa produziert</w:t>
      </w:r>
      <w:r w:rsidR="00214415" w:rsidRPr="005853B8">
        <w:rPr>
          <w:lang w:val="de-DE"/>
        </w:rPr>
        <w:t xml:space="preserve">. </w:t>
      </w:r>
      <w:r w:rsidRPr="005853B8">
        <w:rPr>
          <w:lang w:val="de-DE"/>
        </w:rPr>
        <w:t xml:space="preserve">Häufiger jedoch werden sie, meist aus </w:t>
      </w:r>
      <w:r w:rsidRPr="005853B8">
        <w:rPr>
          <w:b/>
          <w:lang w:val="de-DE"/>
        </w:rPr>
        <w:t>China</w:t>
      </w:r>
      <w:r w:rsidRPr="005853B8">
        <w:rPr>
          <w:lang w:val="de-DE"/>
        </w:rPr>
        <w:t xml:space="preserve"> und </w:t>
      </w:r>
      <w:r w:rsidRPr="005853B8">
        <w:rPr>
          <w:b/>
          <w:lang w:val="de-DE"/>
        </w:rPr>
        <w:t>Indien</w:t>
      </w:r>
      <w:r w:rsidRPr="005853B8">
        <w:rPr>
          <w:lang w:val="de-DE"/>
        </w:rPr>
        <w:t>, legal als Pulver bezogen u</w:t>
      </w:r>
      <w:r w:rsidR="00214415" w:rsidRPr="005853B8">
        <w:rPr>
          <w:lang w:val="de-DE"/>
        </w:rPr>
        <w:t xml:space="preserve">nd </w:t>
      </w:r>
      <w:r w:rsidRPr="005853B8">
        <w:rPr>
          <w:lang w:val="de-DE"/>
        </w:rPr>
        <w:t xml:space="preserve">nach </w:t>
      </w:r>
      <w:r w:rsidR="00214415" w:rsidRPr="005853B8">
        <w:rPr>
          <w:lang w:val="de-DE"/>
        </w:rPr>
        <w:t>Europ</w:t>
      </w:r>
      <w:r w:rsidRPr="005853B8">
        <w:rPr>
          <w:lang w:val="de-DE"/>
        </w:rPr>
        <w:t>a eingeführt, wo sie weiter verarbeitet</w:t>
      </w:r>
      <w:r w:rsidR="00214415" w:rsidRPr="005853B8">
        <w:rPr>
          <w:lang w:val="de-DE"/>
        </w:rPr>
        <w:t xml:space="preserve">, </w:t>
      </w:r>
      <w:r w:rsidRPr="005853B8">
        <w:rPr>
          <w:lang w:val="de-DE"/>
        </w:rPr>
        <w:t>ver</w:t>
      </w:r>
      <w:r w:rsidR="00214415" w:rsidRPr="005853B8">
        <w:rPr>
          <w:lang w:val="de-DE"/>
        </w:rPr>
        <w:t>pack</w:t>
      </w:r>
      <w:r w:rsidRPr="005853B8">
        <w:rPr>
          <w:lang w:val="de-DE"/>
        </w:rPr>
        <w:t>t u</w:t>
      </w:r>
      <w:r w:rsidR="00214415" w:rsidRPr="005853B8">
        <w:rPr>
          <w:lang w:val="de-DE"/>
        </w:rPr>
        <w:t xml:space="preserve">nd </w:t>
      </w:r>
      <w:r w:rsidRPr="005853B8">
        <w:rPr>
          <w:lang w:val="de-DE"/>
        </w:rPr>
        <w:t>als „L</w:t>
      </w:r>
      <w:r w:rsidR="00214415" w:rsidRPr="005853B8">
        <w:rPr>
          <w:lang w:val="de-DE"/>
        </w:rPr>
        <w:t xml:space="preserve">egal </w:t>
      </w:r>
      <w:r w:rsidRPr="005853B8">
        <w:rPr>
          <w:lang w:val="de-DE"/>
        </w:rPr>
        <w:t>H</w:t>
      </w:r>
      <w:r w:rsidR="00214415" w:rsidRPr="005853B8">
        <w:rPr>
          <w:lang w:val="de-DE"/>
        </w:rPr>
        <w:t>igh</w:t>
      </w:r>
      <w:r w:rsidRPr="005853B8">
        <w:rPr>
          <w:lang w:val="de-DE"/>
        </w:rPr>
        <w:t xml:space="preserve">s“ </w:t>
      </w:r>
      <w:r w:rsidR="00214415" w:rsidRPr="005853B8">
        <w:rPr>
          <w:lang w:val="de-DE"/>
        </w:rPr>
        <w:t>o</w:t>
      </w:r>
      <w:r w:rsidRPr="005853B8">
        <w:rPr>
          <w:lang w:val="de-DE"/>
        </w:rPr>
        <w:t>de</w:t>
      </w:r>
      <w:r w:rsidR="00214415" w:rsidRPr="005853B8">
        <w:rPr>
          <w:lang w:val="de-DE"/>
        </w:rPr>
        <w:t xml:space="preserve">r </w:t>
      </w:r>
      <w:r w:rsidR="00A861FC" w:rsidRPr="005853B8">
        <w:rPr>
          <w:lang w:val="de-DE"/>
        </w:rPr>
        <w:t>„</w:t>
      </w:r>
      <w:r w:rsidR="00C07EE4">
        <w:rPr>
          <w:lang w:val="de-DE"/>
        </w:rPr>
        <w:t>Research Chemicals</w:t>
      </w:r>
      <w:r w:rsidR="00A861FC" w:rsidRPr="005853B8">
        <w:rPr>
          <w:lang w:val="de-DE"/>
        </w:rPr>
        <w:t>“ oder direkt auf dem illegalen Drogenmarkt verkauft werden</w:t>
      </w:r>
      <w:r w:rsidR="00214415" w:rsidRPr="005853B8">
        <w:rPr>
          <w:lang w:val="de-DE"/>
        </w:rPr>
        <w:t xml:space="preserve">. </w:t>
      </w:r>
      <w:r w:rsidR="004368B3" w:rsidRPr="005853B8">
        <w:rPr>
          <w:lang w:val="de-DE"/>
        </w:rPr>
        <w:t xml:space="preserve">Dem </w:t>
      </w:r>
      <w:r w:rsidR="00214415" w:rsidRPr="005853B8">
        <w:rPr>
          <w:lang w:val="de-DE"/>
        </w:rPr>
        <w:t xml:space="preserve">Internet </w:t>
      </w:r>
      <w:r w:rsidR="004368B3" w:rsidRPr="005853B8">
        <w:rPr>
          <w:lang w:val="de-DE"/>
        </w:rPr>
        <w:t>kommt nach wie vor</w:t>
      </w:r>
      <w:r w:rsidR="00214415" w:rsidRPr="005853B8">
        <w:rPr>
          <w:lang w:val="de-DE"/>
        </w:rPr>
        <w:t xml:space="preserve"> </w:t>
      </w:r>
      <w:r w:rsidR="004368B3" w:rsidRPr="005853B8">
        <w:rPr>
          <w:lang w:val="de-DE"/>
        </w:rPr>
        <w:t>eine entscheidende Rolle bei der Gestaltung des M</w:t>
      </w:r>
      <w:r w:rsidR="00214415" w:rsidRPr="005853B8">
        <w:rPr>
          <w:lang w:val="de-DE"/>
        </w:rPr>
        <w:t>arkt</w:t>
      </w:r>
      <w:r w:rsidR="004368B3" w:rsidRPr="005853B8">
        <w:rPr>
          <w:lang w:val="de-DE"/>
        </w:rPr>
        <w:t>es neuer psychoaktiver Substanzen zu</w:t>
      </w:r>
      <w:r w:rsidR="00214415" w:rsidRPr="005853B8">
        <w:rPr>
          <w:lang w:val="de-DE"/>
        </w:rPr>
        <w:t xml:space="preserve">. </w:t>
      </w:r>
      <w:r w:rsidR="004368B3" w:rsidRPr="005853B8">
        <w:rPr>
          <w:lang w:val="de-DE"/>
        </w:rPr>
        <w:t>Die</w:t>
      </w:r>
      <w:r w:rsidR="00214415" w:rsidRPr="005853B8">
        <w:rPr>
          <w:lang w:val="de-DE"/>
        </w:rPr>
        <w:t xml:space="preserve"> </w:t>
      </w:r>
      <w:r w:rsidR="00214415" w:rsidRPr="005853B8">
        <w:rPr>
          <w:b/>
          <w:lang w:val="de-DE"/>
        </w:rPr>
        <w:t xml:space="preserve">EMCDDA </w:t>
      </w:r>
      <w:r w:rsidR="00C07EE4">
        <w:rPr>
          <w:lang w:val="de-DE"/>
        </w:rPr>
        <w:t>identifizierte</w:t>
      </w:r>
      <w:r w:rsidR="00C07EE4" w:rsidRPr="005853B8">
        <w:rPr>
          <w:lang w:val="de-DE"/>
        </w:rPr>
        <w:t xml:space="preserve"> </w:t>
      </w:r>
      <w:r w:rsidR="004368B3" w:rsidRPr="005853B8">
        <w:rPr>
          <w:lang w:val="de-DE"/>
        </w:rPr>
        <w:t>2013 rund</w:t>
      </w:r>
      <w:r w:rsidR="00214415" w:rsidRPr="005853B8">
        <w:rPr>
          <w:lang w:val="de-DE"/>
        </w:rPr>
        <w:t xml:space="preserve"> 650</w:t>
      </w:r>
      <w:r w:rsidR="004368B3" w:rsidRPr="005853B8">
        <w:rPr>
          <w:lang w:val="de-DE"/>
        </w:rPr>
        <w:t> Internetseiten, über die diese S</w:t>
      </w:r>
      <w:r w:rsidR="00214415" w:rsidRPr="005853B8">
        <w:rPr>
          <w:lang w:val="de-DE"/>
        </w:rPr>
        <w:t>ubstan</w:t>
      </w:r>
      <w:r w:rsidR="004368B3" w:rsidRPr="005853B8">
        <w:rPr>
          <w:lang w:val="de-DE"/>
        </w:rPr>
        <w:t xml:space="preserve">zen an </w:t>
      </w:r>
      <w:r w:rsidR="00214415" w:rsidRPr="005853B8">
        <w:rPr>
          <w:lang w:val="de-DE"/>
        </w:rPr>
        <w:t>Europ</w:t>
      </w:r>
      <w:r w:rsidR="004368B3" w:rsidRPr="005853B8">
        <w:rPr>
          <w:lang w:val="de-DE"/>
        </w:rPr>
        <w:t>äer</w:t>
      </w:r>
      <w:r w:rsidR="00C07EE4">
        <w:rPr>
          <w:lang w:val="de-DE"/>
        </w:rPr>
        <w:t>/innen</w:t>
      </w:r>
      <w:r w:rsidR="004368B3" w:rsidRPr="005853B8">
        <w:rPr>
          <w:lang w:val="de-DE"/>
        </w:rPr>
        <w:t xml:space="preserve"> verkauft werden</w:t>
      </w:r>
      <w:r w:rsidR="00214415" w:rsidRPr="005853B8">
        <w:rPr>
          <w:lang w:val="de-DE"/>
        </w:rPr>
        <w:t xml:space="preserve">. </w:t>
      </w:r>
      <w:r w:rsidR="004368B3" w:rsidRPr="005853B8">
        <w:rPr>
          <w:lang w:val="de-DE"/>
        </w:rPr>
        <w:t xml:space="preserve">Zudem stellt der Kauf neuer und „alter“ Drogen über </w:t>
      </w:r>
      <w:r w:rsidR="00B34A3F" w:rsidRPr="005853B8">
        <w:rPr>
          <w:lang w:val="de-DE"/>
        </w:rPr>
        <w:t>sogenannt</w:t>
      </w:r>
      <w:r w:rsidR="004368B3" w:rsidRPr="005853B8">
        <w:rPr>
          <w:lang w:val="de-DE"/>
        </w:rPr>
        <w:t>e „D</w:t>
      </w:r>
      <w:r w:rsidR="00214415" w:rsidRPr="005853B8">
        <w:rPr>
          <w:lang w:val="de-DE"/>
        </w:rPr>
        <w:t>arknets</w:t>
      </w:r>
      <w:r w:rsidR="004368B3" w:rsidRPr="005853B8">
        <w:rPr>
          <w:lang w:val="de-DE"/>
        </w:rPr>
        <w:t>“</w:t>
      </w:r>
      <w:r w:rsidR="00214415" w:rsidRPr="005853B8">
        <w:rPr>
          <w:lang w:val="de-DE"/>
        </w:rPr>
        <w:t xml:space="preserve"> </w:t>
      </w:r>
      <w:r w:rsidR="004368B3" w:rsidRPr="005853B8">
        <w:rPr>
          <w:lang w:val="de-DE"/>
        </w:rPr>
        <w:t xml:space="preserve">– </w:t>
      </w:r>
      <w:r w:rsidR="004F0C61">
        <w:rPr>
          <w:lang w:val="de-DE"/>
        </w:rPr>
        <w:t xml:space="preserve">online Netzwerke, die anonyme Kommunikation erlauben </w:t>
      </w:r>
      <w:r w:rsidR="004368B3" w:rsidRPr="005853B8">
        <w:rPr>
          <w:lang w:val="de-DE"/>
        </w:rPr>
        <w:t xml:space="preserve">– für den Gesetzgeber eine </w:t>
      </w:r>
      <w:r w:rsidR="008216AB" w:rsidRPr="005853B8">
        <w:rPr>
          <w:lang w:val="de-DE"/>
        </w:rPr>
        <w:t>ne</w:t>
      </w:r>
      <w:r w:rsidR="004368B3" w:rsidRPr="005853B8">
        <w:rPr>
          <w:lang w:val="de-DE"/>
        </w:rPr>
        <w:t>ue Herausforderung dar</w:t>
      </w:r>
      <w:r w:rsidR="00214415" w:rsidRPr="005853B8">
        <w:rPr>
          <w:lang w:val="de-DE"/>
        </w:rPr>
        <w:t xml:space="preserve">. </w:t>
      </w:r>
    </w:p>
    <w:p w:rsidR="00214415" w:rsidRPr="005853B8" w:rsidRDefault="00214415" w:rsidP="003C2E9B">
      <w:pPr>
        <w:pStyle w:val="newsNotes"/>
        <w:rPr>
          <w:b/>
          <w:lang w:val="de-DE"/>
        </w:rPr>
      </w:pPr>
      <w:r w:rsidRPr="005853B8">
        <w:rPr>
          <w:lang w:val="de-DE"/>
        </w:rPr>
        <w:t>H</w:t>
      </w:r>
      <w:r w:rsidR="004368B3" w:rsidRPr="005853B8">
        <w:rPr>
          <w:lang w:val="de-DE"/>
        </w:rPr>
        <w:t>ervorgehoben werden heute Anzeichen dafür, dass diese Substanzen in einigen Ländern mittlerweile auf die Hauptsegmente des Drogenmarktes abzielen</w:t>
      </w:r>
      <w:r w:rsidRPr="005853B8">
        <w:rPr>
          <w:lang w:val="de-DE"/>
        </w:rPr>
        <w:t>. I</w:t>
      </w:r>
      <w:r w:rsidR="00460EDA" w:rsidRPr="005853B8">
        <w:rPr>
          <w:lang w:val="de-DE"/>
        </w:rPr>
        <w:t>m</w:t>
      </w:r>
      <w:r w:rsidR="001B7748" w:rsidRPr="005853B8">
        <w:rPr>
          <w:lang w:val="de-DE"/>
        </w:rPr>
        <w:t xml:space="preserve"> April </w:t>
      </w:r>
      <w:r w:rsidRPr="005853B8">
        <w:rPr>
          <w:lang w:val="de-DE"/>
        </w:rPr>
        <w:t xml:space="preserve">2014 </w:t>
      </w:r>
      <w:r w:rsidR="00460EDA" w:rsidRPr="005853B8">
        <w:rPr>
          <w:lang w:val="de-DE"/>
        </w:rPr>
        <w:t xml:space="preserve">erarbeitete der </w:t>
      </w:r>
      <w:r w:rsidR="00460EDA" w:rsidRPr="005853B8">
        <w:rPr>
          <w:b/>
          <w:lang w:val="de-DE"/>
        </w:rPr>
        <w:t xml:space="preserve">Wissenschaftliche </w:t>
      </w:r>
      <w:r w:rsidR="000E4A95" w:rsidRPr="005853B8">
        <w:rPr>
          <w:b/>
          <w:lang w:val="de-DE"/>
        </w:rPr>
        <w:t>Ausschuss</w:t>
      </w:r>
      <w:r w:rsidR="00460EDA" w:rsidRPr="005853B8">
        <w:rPr>
          <w:b/>
          <w:lang w:val="de-DE"/>
        </w:rPr>
        <w:t xml:space="preserve"> der EMCDDA</w:t>
      </w:r>
      <w:r w:rsidRPr="005853B8">
        <w:rPr>
          <w:lang w:val="de-DE"/>
        </w:rPr>
        <w:t xml:space="preserve"> </w:t>
      </w:r>
      <w:r w:rsidR="00460EDA" w:rsidRPr="005853B8">
        <w:rPr>
          <w:lang w:val="de-DE"/>
        </w:rPr>
        <w:t>eine Ri</w:t>
      </w:r>
      <w:r w:rsidRPr="005853B8">
        <w:rPr>
          <w:lang w:val="de-DE"/>
        </w:rPr>
        <w:t>s</w:t>
      </w:r>
      <w:r w:rsidR="00460EDA" w:rsidRPr="005853B8">
        <w:rPr>
          <w:lang w:val="de-DE"/>
        </w:rPr>
        <w:t>i</w:t>
      </w:r>
      <w:r w:rsidRPr="005853B8">
        <w:rPr>
          <w:lang w:val="de-DE"/>
        </w:rPr>
        <w:t>k</w:t>
      </w:r>
      <w:r w:rsidR="00460EDA" w:rsidRPr="005853B8">
        <w:rPr>
          <w:lang w:val="de-DE"/>
        </w:rPr>
        <w:t>obewertung für vier wirk</w:t>
      </w:r>
      <w:r w:rsidR="00A67C58" w:rsidRPr="005853B8">
        <w:rPr>
          <w:lang w:val="de-DE"/>
        </w:rPr>
        <w:t>ungs</w:t>
      </w:r>
      <w:r w:rsidR="00460EDA" w:rsidRPr="005853B8">
        <w:rPr>
          <w:lang w:val="de-DE"/>
        </w:rPr>
        <w:t>starke u</w:t>
      </w:r>
      <w:r w:rsidRPr="005853B8">
        <w:rPr>
          <w:lang w:val="de-DE"/>
        </w:rPr>
        <w:t xml:space="preserve">nd </w:t>
      </w:r>
      <w:r w:rsidR="00460EDA" w:rsidRPr="005853B8">
        <w:rPr>
          <w:lang w:val="de-DE"/>
        </w:rPr>
        <w:t>schädliche neue Substanzen</w:t>
      </w:r>
      <w:r w:rsidRPr="005853B8">
        <w:rPr>
          <w:lang w:val="de-DE"/>
        </w:rPr>
        <w:t xml:space="preserve">: 25I-NBOM, AH-7921, MDPV </w:t>
      </w:r>
      <w:r w:rsidR="00460EDA" w:rsidRPr="005853B8">
        <w:rPr>
          <w:lang w:val="de-DE"/>
        </w:rPr>
        <w:t>u</w:t>
      </w:r>
      <w:r w:rsidRPr="005853B8">
        <w:rPr>
          <w:lang w:val="de-DE"/>
        </w:rPr>
        <w:t xml:space="preserve">nd </w:t>
      </w:r>
      <w:r w:rsidR="00460EDA" w:rsidRPr="005853B8">
        <w:rPr>
          <w:lang w:val="de-DE"/>
        </w:rPr>
        <w:t>M</w:t>
      </w:r>
      <w:r w:rsidRPr="005853B8">
        <w:rPr>
          <w:lang w:val="de-DE"/>
        </w:rPr>
        <w:t xml:space="preserve">ethoxetamin. </w:t>
      </w:r>
      <w:r w:rsidR="00460EDA" w:rsidRPr="005853B8">
        <w:rPr>
          <w:lang w:val="de-DE"/>
        </w:rPr>
        <w:t xml:space="preserve">Diese werden als </w:t>
      </w:r>
      <w:r w:rsidR="00A67C58" w:rsidRPr="005853B8">
        <w:rPr>
          <w:lang w:val="de-DE"/>
        </w:rPr>
        <w:t>Ersatzstoffe</w:t>
      </w:r>
      <w:r w:rsidR="00460EDA" w:rsidRPr="005853B8">
        <w:rPr>
          <w:lang w:val="de-DE"/>
        </w:rPr>
        <w:t xml:space="preserve"> für </w:t>
      </w:r>
      <w:r w:rsidR="00F8481D">
        <w:rPr>
          <w:lang w:val="de-DE"/>
        </w:rPr>
        <w:t>jene</w:t>
      </w:r>
      <w:r w:rsidR="00F57E96">
        <w:rPr>
          <w:lang w:val="de-DE"/>
        </w:rPr>
        <w:t xml:space="preserve"> </w:t>
      </w:r>
      <w:r w:rsidR="00460EDA" w:rsidRPr="005853B8">
        <w:rPr>
          <w:lang w:val="de-DE"/>
        </w:rPr>
        <w:t>Drogen</w:t>
      </w:r>
      <w:r w:rsidR="00F8481D">
        <w:rPr>
          <w:lang w:val="de-DE"/>
        </w:rPr>
        <w:t xml:space="preserve"> verkauft</w:t>
      </w:r>
      <w:r w:rsidR="00460EDA" w:rsidRPr="005853B8">
        <w:rPr>
          <w:lang w:val="de-DE"/>
        </w:rPr>
        <w:t xml:space="preserve">, deren Wirkung sie nachahmen </w:t>
      </w:r>
      <w:r w:rsidR="00A67C58" w:rsidRPr="005853B8">
        <w:rPr>
          <w:lang w:val="de-DE"/>
        </w:rPr>
        <w:t xml:space="preserve">– </w:t>
      </w:r>
      <w:r w:rsidRPr="005853B8">
        <w:rPr>
          <w:lang w:val="de-DE"/>
        </w:rPr>
        <w:t>LSD (</w:t>
      </w:r>
      <w:r w:rsidR="00460EDA" w:rsidRPr="005853B8">
        <w:rPr>
          <w:lang w:val="de-DE"/>
        </w:rPr>
        <w:t>H</w:t>
      </w:r>
      <w:r w:rsidRPr="005853B8">
        <w:rPr>
          <w:lang w:val="de-DE"/>
        </w:rPr>
        <w:t>allu</w:t>
      </w:r>
      <w:r w:rsidR="00460EDA" w:rsidRPr="005853B8">
        <w:rPr>
          <w:lang w:val="de-DE"/>
        </w:rPr>
        <w:t>z</w:t>
      </w:r>
      <w:r w:rsidRPr="005853B8">
        <w:rPr>
          <w:lang w:val="de-DE"/>
        </w:rPr>
        <w:t xml:space="preserve">inogen), </w:t>
      </w:r>
      <w:r w:rsidR="00460EDA" w:rsidRPr="005853B8">
        <w:rPr>
          <w:lang w:val="de-DE"/>
        </w:rPr>
        <w:t>M</w:t>
      </w:r>
      <w:r w:rsidRPr="005853B8">
        <w:rPr>
          <w:lang w:val="de-DE"/>
        </w:rPr>
        <w:t>orphin (</w:t>
      </w:r>
      <w:r w:rsidR="00460EDA" w:rsidRPr="005853B8">
        <w:rPr>
          <w:lang w:val="de-DE"/>
        </w:rPr>
        <w:t>O</w:t>
      </w:r>
      <w:r w:rsidRPr="005853B8">
        <w:rPr>
          <w:lang w:val="de-DE"/>
        </w:rPr>
        <w:t xml:space="preserve">piat), </w:t>
      </w:r>
      <w:r w:rsidR="00460EDA" w:rsidRPr="005853B8">
        <w:rPr>
          <w:lang w:val="de-DE"/>
        </w:rPr>
        <w:t>Kok</w:t>
      </w:r>
      <w:r w:rsidRPr="005853B8">
        <w:rPr>
          <w:lang w:val="de-DE"/>
        </w:rPr>
        <w:t>ain (</w:t>
      </w:r>
      <w:r w:rsidR="00460EDA" w:rsidRPr="005853B8">
        <w:rPr>
          <w:lang w:val="de-DE"/>
        </w:rPr>
        <w:t>S</w:t>
      </w:r>
      <w:r w:rsidRPr="005853B8">
        <w:rPr>
          <w:lang w:val="de-DE"/>
        </w:rPr>
        <w:t>timulan</w:t>
      </w:r>
      <w:r w:rsidR="00F8481D">
        <w:rPr>
          <w:lang w:val="de-DE"/>
        </w:rPr>
        <w:t>s</w:t>
      </w:r>
      <w:r w:rsidRPr="005853B8">
        <w:rPr>
          <w:lang w:val="de-DE"/>
        </w:rPr>
        <w:t xml:space="preserve">) </w:t>
      </w:r>
      <w:r w:rsidR="00F8481D">
        <w:rPr>
          <w:lang w:val="de-DE"/>
        </w:rPr>
        <w:t>bzw.</w:t>
      </w:r>
      <w:r w:rsidR="00F8481D" w:rsidRPr="005853B8">
        <w:rPr>
          <w:lang w:val="de-DE"/>
        </w:rPr>
        <w:t xml:space="preserve"> </w:t>
      </w:r>
      <w:r w:rsidR="00460EDA" w:rsidRPr="005853B8">
        <w:rPr>
          <w:lang w:val="de-DE"/>
        </w:rPr>
        <w:t>K</w:t>
      </w:r>
      <w:r w:rsidRPr="005853B8">
        <w:rPr>
          <w:lang w:val="de-DE"/>
        </w:rPr>
        <w:t>etamin (</w:t>
      </w:r>
      <w:r w:rsidR="00460EDA" w:rsidRPr="005853B8">
        <w:rPr>
          <w:lang w:val="de-DE"/>
        </w:rPr>
        <w:t xml:space="preserve">ein Arzneimittel mit </w:t>
      </w:r>
      <w:r w:rsidRPr="005853B8">
        <w:rPr>
          <w:lang w:val="de-DE"/>
        </w:rPr>
        <w:t>analge</w:t>
      </w:r>
      <w:r w:rsidR="00460EDA" w:rsidRPr="005853B8">
        <w:rPr>
          <w:lang w:val="de-DE"/>
        </w:rPr>
        <w:t>tischen u</w:t>
      </w:r>
      <w:r w:rsidRPr="005853B8">
        <w:rPr>
          <w:lang w:val="de-DE"/>
        </w:rPr>
        <w:t>nd an</w:t>
      </w:r>
      <w:r w:rsidR="00460EDA" w:rsidRPr="005853B8">
        <w:rPr>
          <w:lang w:val="de-DE"/>
        </w:rPr>
        <w:t>ä</w:t>
      </w:r>
      <w:r w:rsidRPr="005853B8">
        <w:rPr>
          <w:lang w:val="de-DE"/>
        </w:rPr>
        <w:t>stheti</w:t>
      </w:r>
      <w:r w:rsidR="00460EDA" w:rsidRPr="005853B8">
        <w:rPr>
          <w:lang w:val="de-DE"/>
        </w:rPr>
        <w:t>schen Eigenschaften</w:t>
      </w:r>
      <w:r w:rsidRPr="005853B8">
        <w:rPr>
          <w:lang w:val="de-DE"/>
        </w:rPr>
        <w:t>)</w:t>
      </w:r>
      <w:r w:rsidR="00A67C58" w:rsidRPr="005853B8">
        <w:rPr>
          <w:lang w:val="de-DE"/>
        </w:rPr>
        <w:t xml:space="preserve"> –und könnten sogar schädlicher als die</w:t>
      </w:r>
      <w:r w:rsidR="009E38E2" w:rsidRPr="005853B8">
        <w:rPr>
          <w:lang w:val="de-DE"/>
        </w:rPr>
        <w:t>se selbst</w:t>
      </w:r>
      <w:r w:rsidR="00A67C58" w:rsidRPr="005853B8">
        <w:rPr>
          <w:lang w:val="de-DE"/>
        </w:rPr>
        <w:t xml:space="preserve"> sein</w:t>
      </w:r>
      <w:r w:rsidRPr="005853B8">
        <w:rPr>
          <w:lang w:val="de-DE"/>
        </w:rPr>
        <w:t xml:space="preserve">. </w:t>
      </w:r>
      <w:r w:rsidR="00460EDA" w:rsidRPr="005853B8">
        <w:rPr>
          <w:lang w:val="de-DE"/>
        </w:rPr>
        <w:t>Der</w:t>
      </w:r>
      <w:r w:rsidRPr="005853B8">
        <w:rPr>
          <w:lang w:val="de-DE"/>
        </w:rPr>
        <w:t xml:space="preserve"> </w:t>
      </w:r>
      <w:r w:rsidRPr="005853B8">
        <w:rPr>
          <w:b/>
          <w:lang w:val="de-DE"/>
        </w:rPr>
        <w:t>Europ</w:t>
      </w:r>
      <w:r w:rsidR="00460EDA" w:rsidRPr="005853B8">
        <w:rPr>
          <w:b/>
          <w:lang w:val="de-DE"/>
        </w:rPr>
        <w:t>äischen K</w:t>
      </w:r>
      <w:r w:rsidRPr="005853B8">
        <w:rPr>
          <w:b/>
          <w:lang w:val="de-DE"/>
        </w:rPr>
        <w:t>ommission</w:t>
      </w:r>
      <w:r w:rsidRPr="005853B8">
        <w:rPr>
          <w:lang w:val="de-DE"/>
        </w:rPr>
        <w:t xml:space="preserve"> </w:t>
      </w:r>
      <w:r w:rsidR="00460EDA" w:rsidRPr="005853B8">
        <w:rPr>
          <w:lang w:val="de-DE"/>
        </w:rPr>
        <w:t>u</w:t>
      </w:r>
      <w:r w:rsidRPr="005853B8">
        <w:rPr>
          <w:lang w:val="de-DE"/>
        </w:rPr>
        <w:t xml:space="preserve">nd </w:t>
      </w:r>
      <w:r w:rsidR="00460EDA" w:rsidRPr="005853B8">
        <w:rPr>
          <w:lang w:val="de-DE"/>
        </w:rPr>
        <w:t xml:space="preserve">dem </w:t>
      </w:r>
      <w:r w:rsidR="00460EDA" w:rsidRPr="005853B8">
        <w:rPr>
          <w:b/>
          <w:lang w:val="de-DE"/>
        </w:rPr>
        <w:t xml:space="preserve">Rat der </w:t>
      </w:r>
      <w:r w:rsidRPr="005853B8">
        <w:rPr>
          <w:b/>
          <w:lang w:val="de-DE"/>
        </w:rPr>
        <w:t>E</w:t>
      </w:r>
      <w:r w:rsidR="00460EDA" w:rsidRPr="005853B8">
        <w:rPr>
          <w:b/>
          <w:lang w:val="de-DE"/>
        </w:rPr>
        <w:t xml:space="preserve">uropäischen </w:t>
      </w:r>
      <w:r w:rsidRPr="005853B8">
        <w:rPr>
          <w:b/>
          <w:lang w:val="de-DE"/>
        </w:rPr>
        <w:t>U</w:t>
      </w:r>
      <w:r w:rsidR="00460EDA" w:rsidRPr="005853B8">
        <w:rPr>
          <w:b/>
          <w:lang w:val="de-DE"/>
        </w:rPr>
        <w:t>nion</w:t>
      </w:r>
      <w:r w:rsidRPr="005853B8">
        <w:rPr>
          <w:lang w:val="de-DE"/>
        </w:rPr>
        <w:t xml:space="preserve"> </w:t>
      </w:r>
      <w:r w:rsidR="00460EDA" w:rsidRPr="005853B8">
        <w:rPr>
          <w:lang w:val="de-DE"/>
        </w:rPr>
        <w:t xml:space="preserve">wurden Risikobewertungsberichte über die vier Substanzen vorgelegt, auf deren Grundlage möglicherweise Entscheidungen über </w:t>
      </w:r>
      <w:r w:rsidRPr="005853B8">
        <w:rPr>
          <w:lang w:val="de-DE"/>
        </w:rPr>
        <w:t>EU-</w:t>
      </w:r>
      <w:r w:rsidR="00460EDA" w:rsidRPr="005853B8">
        <w:rPr>
          <w:lang w:val="de-DE"/>
        </w:rPr>
        <w:t>weite K</w:t>
      </w:r>
      <w:r w:rsidRPr="005853B8">
        <w:rPr>
          <w:lang w:val="de-DE"/>
        </w:rPr>
        <w:t>ontrol</w:t>
      </w:r>
      <w:r w:rsidR="00460EDA" w:rsidRPr="005853B8">
        <w:rPr>
          <w:lang w:val="de-DE"/>
        </w:rPr>
        <w:t>lmaßnahmen getroffen werden</w:t>
      </w:r>
      <w:r w:rsidRPr="005853B8">
        <w:rPr>
          <w:lang w:val="de-DE"/>
        </w:rPr>
        <w:t xml:space="preserve">. </w:t>
      </w:r>
    </w:p>
    <w:p w:rsidR="00AC31CE" w:rsidRPr="005853B8" w:rsidRDefault="00E651BE" w:rsidP="003C2E9B">
      <w:pPr>
        <w:pStyle w:val="newsNotes"/>
        <w:rPr>
          <w:lang w:val="de-DE"/>
        </w:rPr>
      </w:pPr>
      <w:r w:rsidRPr="005853B8">
        <w:rPr>
          <w:lang w:val="de-DE"/>
        </w:rPr>
        <w:t xml:space="preserve">Das Aufkommen hoch wirksamer synthetischer Substanzen </w:t>
      </w:r>
      <w:r w:rsidR="009E38E2" w:rsidRPr="005853B8">
        <w:rPr>
          <w:lang w:val="de-DE"/>
        </w:rPr>
        <w:t xml:space="preserve">drückt sich </w:t>
      </w:r>
      <w:r w:rsidRPr="005853B8">
        <w:rPr>
          <w:lang w:val="de-DE"/>
        </w:rPr>
        <w:t>i</w:t>
      </w:r>
      <w:r w:rsidR="009E38E2" w:rsidRPr="005853B8">
        <w:rPr>
          <w:lang w:val="de-DE"/>
        </w:rPr>
        <w:t>n</w:t>
      </w:r>
      <w:r w:rsidRPr="005853B8">
        <w:rPr>
          <w:lang w:val="de-DE"/>
        </w:rPr>
        <w:t xml:space="preserve"> </w:t>
      </w:r>
      <w:r w:rsidR="001B7748" w:rsidRPr="005853B8">
        <w:rPr>
          <w:lang w:val="de-DE"/>
        </w:rPr>
        <w:t xml:space="preserve">den </w:t>
      </w:r>
      <w:r w:rsidRPr="005853B8">
        <w:rPr>
          <w:lang w:val="de-DE"/>
        </w:rPr>
        <w:t xml:space="preserve">Meldungen </w:t>
      </w:r>
      <w:r w:rsidR="009E38E2" w:rsidRPr="005853B8">
        <w:rPr>
          <w:lang w:val="de-DE"/>
        </w:rPr>
        <w:t xml:space="preserve">aus, die </w:t>
      </w:r>
      <w:r w:rsidRPr="005853B8">
        <w:rPr>
          <w:lang w:val="de-DE"/>
        </w:rPr>
        <w:t xml:space="preserve">im </w:t>
      </w:r>
      <w:r w:rsidR="00034352">
        <w:rPr>
          <w:lang w:val="de-DE"/>
        </w:rPr>
        <w:t xml:space="preserve">       </w:t>
      </w:r>
      <w:r w:rsidR="00214415" w:rsidRPr="005853B8">
        <w:rPr>
          <w:b/>
          <w:lang w:val="de-DE"/>
        </w:rPr>
        <w:t>EU</w:t>
      </w:r>
      <w:r w:rsidRPr="005853B8">
        <w:rPr>
          <w:b/>
          <w:lang w:val="de-DE"/>
        </w:rPr>
        <w:t>-</w:t>
      </w:r>
      <w:r w:rsidR="00214415" w:rsidRPr="005853B8">
        <w:rPr>
          <w:b/>
          <w:lang w:val="de-DE"/>
        </w:rPr>
        <w:t>EWS</w:t>
      </w:r>
      <w:r w:rsidR="00214415" w:rsidRPr="005853B8">
        <w:rPr>
          <w:lang w:val="de-DE"/>
        </w:rPr>
        <w:t xml:space="preserve"> </w:t>
      </w:r>
      <w:r w:rsidR="009E38E2" w:rsidRPr="005853B8">
        <w:rPr>
          <w:lang w:val="de-DE"/>
        </w:rPr>
        <w:t>eingehen</w:t>
      </w:r>
      <w:r w:rsidRPr="005853B8">
        <w:rPr>
          <w:lang w:val="de-DE"/>
        </w:rPr>
        <w:t xml:space="preserve">. Dies </w:t>
      </w:r>
      <w:r w:rsidR="009E38E2" w:rsidRPr="005853B8">
        <w:rPr>
          <w:lang w:val="de-DE"/>
        </w:rPr>
        <w:t>hat Aus</w:t>
      </w:r>
      <w:r w:rsidRPr="005853B8">
        <w:rPr>
          <w:lang w:val="de-DE"/>
        </w:rPr>
        <w:t>wirk</w:t>
      </w:r>
      <w:r w:rsidR="009E38E2" w:rsidRPr="005853B8">
        <w:rPr>
          <w:lang w:val="de-DE"/>
        </w:rPr>
        <w:t>ungen</w:t>
      </w:r>
      <w:r w:rsidRPr="005853B8">
        <w:rPr>
          <w:lang w:val="de-DE"/>
        </w:rPr>
        <w:t xml:space="preserve"> sowohl auf die Konsum</w:t>
      </w:r>
      <w:r w:rsidR="00226030">
        <w:rPr>
          <w:lang w:val="de-DE"/>
        </w:rPr>
        <w:t>ierenden</w:t>
      </w:r>
      <w:r w:rsidRPr="005853B8">
        <w:rPr>
          <w:lang w:val="de-DE"/>
        </w:rPr>
        <w:t xml:space="preserve"> als auch auf die Tätigkeit</w:t>
      </w:r>
      <w:r w:rsidR="00226030">
        <w:rPr>
          <w:lang w:val="de-DE"/>
        </w:rPr>
        <w:t>en</w:t>
      </w:r>
      <w:r w:rsidRPr="005853B8">
        <w:rPr>
          <w:lang w:val="de-DE"/>
        </w:rPr>
        <w:t xml:space="preserve"> der Strafverfolgungsbehörden, da selbst geringe Mengen dieser Drogen toxisch sein können und sich selbst aus kleinen Mengen eine Vielzahl von Einzeldosen herstellen l</w:t>
      </w:r>
      <w:r w:rsidR="00BA1C5B" w:rsidRPr="005853B8">
        <w:rPr>
          <w:lang w:val="de-DE"/>
        </w:rPr>
        <w:t>ässt</w:t>
      </w:r>
      <w:r w:rsidR="00214415" w:rsidRPr="005853B8">
        <w:rPr>
          <w:lang w:val="de-DE"/>
        </w:rPr>
        <w:t>.</w:t>
      </w:r>
    </w:p>
    <w:p w:rsidR="00AC31CE" w:rsidRPr="005853B8" w:rsidRDefault="003C2E9B" w:rsidP="00494F98">
      <w:pPr>
        <w:pStyle w:val="newsNotes"/>
        <w:keepNext/>
        <w:ind w:right="-142"/>
        <w:rPr>
          <w:lang w:val="de-DE"/>
        </w:rPr>
      </w:pPr>
      <w:r w:rsidRPr="005853B8">
        <w:rPr>
          <w:b/>
          <w:lang w:val="de-DE"/>
        </w:rPr>
        <w:t xml:space="preserve">Cannabis: </w:t>
      </w:r>
      <w:r w:rsidR="00E651BE" w:rsidRPr="005853B8">
        <w:rPr>
          <w:b/>
          <w:lang w:val="de-DE"/>
        </w:rPr>
        <w:t>K</w:t>
      </w:r>
      <w:r w:rsidR="00214415" w:rsidRPr="005853B8">
        <w:rPr>
          <w:b/>
          <w:lang w:val="de-DE"/>
        </w:rPr>
        <w:t>ontrovers</w:t>
      </w:r>
      <w:r w:rsidR="00E651BE" w:rsidRPr="005853B8">
        <w:rPr>
          <w:b/>
          <w:lang w:val="de-DE"/>
        </w:rPr>
        <w:t>en</w:t>
      </w:r>
      <w:r w:rsidR="00214415" w:rsidRPr="005853B8">
        <w:rPr>
          <w:b/>
          <w:lang w:val="de-DE"/>
        </w:rPr>
        <w:t xml:space="preserve">, </w:t>
      </w:r>
      <w:r w:rsidR="00E651BE" w:rsidRPr="005853B8">
        <w:rPr>
          <w:b/>
          <w:lang w:val="de-DE"/>
        </w:rPr>
        <w:t>Gegensätze</w:t>
      </w:r>
      <w:r w:rsidR="00214415" w:rsidRPr="005853B8">
        <w:rPr>
          <w:b/>
          <w:lang w:val="de-DE"/>
        </w:rPr>
        <w:t xml:space="preserve">, </w:t>
      </w:r>
      <w:r w:rsidR="00E651BE" w:rsidRPr="005853B8">
        <w:rPr>
          <w:b/>
          <w:lang w:val="de-DE"/>
        </w:rPr>
        <w:t>Widersprüche</w:t>
      </w:r>
    </w:p>
    <w:p w:rsidR="00214415" w:rsidRPr="005853B8" w:rsidRDefault="009E38E2" w:rsidP="003C2E9B">
      <w:pPr>
        <w:pStyle w:val="newsNotes"/>
        <w:rPr>
          <w:lang w:val="de-DE"/>
        </w:rPr>
      </w:pPr>
      <w:r w:rsidRPr="005853B8">
        <w:rPr>
          <w:lang w:val="de-DE"/>
        </w:rPr>
        <w:t xml:space="preserve">Erhebungen </w:t>
      </w:r>
      <w:r w:rsidR="00390751" w:rsidRPr="005853B8">
        <w:rPr>
          <w:lang w:val="de-DE"/>
        </w:rPr>
        <w:t xml:space="preserve">zu den </w:t>
      </w:r>
      <w:r w:rsidRPr="005853B8">
        <w:rPr>
          <w:lang w:val="de-DE"/>
        </w:rPr>
        <w:t>Einstellung</w:t>
      </w:r>
      <w:r w:rsidR="00390751" w:rsidRPr="005853B8">
        <w:rPr>
          <w:lang w:val="de-DE"/>
        </w:rPr>
        <w:t xml:space="preserve">en der Öffentlichkeit in der </w:t>
      </w:r>
      <w:r w:rsidR="00390751" w:rsidRPr="005853B8">
        <w:rPr>
          <w:b/>
          <w:lang w:val="de-DE"/>
        </w:rPr>
        <w:t>Europäischen Union</w:t>
      </w:r>
      <w:r w:rsidR="00390751" w:rsidRPr="005853B8">
        <w:rPr>
          <w:lang w:val="de-DE"/>
        </w:rPr>
        <w:t xml:space="preserve"> </w:t>
      </w:r>
      <w:r w:rsidR="00214415" w:rsidRPr="005853B8">
        <w:rPr>
          <w:lang w:val="de-DE"/>
        </w:rPr>
        <w:t>(</w:t>
      </w:r>
      <w:r w:rsidR="004C6069" w:rsidRPr="005853B8">
        <w:rPr>
          <w:vertAlign w:val="superscript"/>
          <w:lang w:val="de-DE"/>
        </w:rPr>
        <w:t>7</w:t>
      </w:r>
      <w:r w:rsidR="00214415" w:rsidRPr="005853B8">
        <w:rPr>
          <w:lang w:val="de-DE"/>
        </w:rPr>
        <w:t xml:space="preserve">) </w:t>
      </w:r>
      <w:r w:rsidR="00390751" w:rsidRPr="005853B8">
        <w:rPr>
          <w:lang w:val="de-DE"/>
        </w:rPr>
        <w:t xml:space="preserve">deuten darauf hin, dass Cannabis noch immer diejenige Droge ist, die die öffentliche Meinung am stärksten polarisiert. Dementsprechend laufen die gesellschaftlichen Debatten mit besonderer Heftigkeit ab, vor allem vor dem </w:t>
      </w:r>
      <w:r w:rsidR="00390751" w:rsidRPr="005853B8">
        <w:rPr>
          <w:lang w:val="de-DE"/>
        </w:rPr>
        <w:lastRenderedPageBreak/>
        <w:t xml:space="preserve">Hintergrund </w:t>
      </w:r>
      <w:r w:rsidR="007C7E47">
        <w:rPr>
          <w:lang w:val="de-DE"/>
        </w:rPr>
        <w:t xml:space="preserve">der </w:t>
      </w:r>
      <w:r w:rsidR="00390751" w:rsidRPr="005853B8">
        <w:rPr>
          <w:lang w:val="de-DE"/>
        </w:rPr>
        <w:t>jüngste</w:t>
      </w:r>
      <w:r w:rsidR="007C7E47">
        <w:rPr>
          <w:lang w:val="de-DE"/>
        </w:rPr>
        <w:t>n</w:t>
      </w:r>
      <w:r w:rsidR="00390751" w:rsidRPr="005853B8">
        <w:rPr>
          <w:lang w:val="de-DE"/>
        </w:rPr>
        <w:t xml:space="preserve"> internationale</w:t>
      </w:r>
      <w:r w:rsidR="007C7E47">
        <w:rPr>
          <w:lang w:val="de-DE"/>
        </w:rPr>
        <w:t>n</w:t>
      </w:r>
      <w:r w:rsidR="00390751" w:rsidRPr="005853B8">
        <w:rPr>
          <w:lang w:val="de-DE"/>
        </w:rPr>
        <w:t xml:space="preserve"> Entwicklungen </w:t>
      </w:r>
      <w:r w:rsidR="007C7E47">
        <w:rPr>
          <w:lang w:val="de-DE"/>
        </w:rPr>
        <w:t>betreffend</w:t>
      </w:r>
      <w:r w:rsidR="00F57E96">
        <w:rPr>
          <w:lang w:val="de-DE"/>
        </w:rPr>
        <w:t xml:space="preserve"> </w:t>
      </w:r>
      <w:r w:rsidR="007C7E47">
        <w:rPr>
          <w:lang w:val="de-DE"/>
        </w:rPr>
        <w:t>die</w:t>
      </w:r>
      <w:r w:rsidR="00390751" w:rsidRPr="005853B8">
        <w:rPr>
          <w:lang w:val="de-DE"/>
        </w:rPr>
        <w:t xml:space="preserve"> Kontrolle </w:t>
      </w:r>
      <w:r w:rsidR="007C7E47">
        <w:rPr>
          <w:lang w:val="de-DE"/>
        </w:rPr>
        <w:t>von</w:t>
      </w:r>
      <w:r w:rsidR="00F57E96">
        <w:rPr>
          <w:lang w:val="de-DE"/>
        </w:rPr>
        <w:t xml:space="preserve"> </w:t>
      </w:r>
      <w:r w:rsidR="00390751" w:rsidRPr="005853B8">
        <w:rPr>
          <w:lang w:val="de-DE"/>
        </w:rPr>
        <w:t xml:space="preserve">Verfügbarkeit und Konsum von Cannabis, insbesondere im Zuge gesetzlicher Änderungen in einigen </w:t>
      </w:r>
      <w:r w:rsidR="00390751" w:rsidRPr="005853B8">
        <w:rPr>
          <w:b/>
          <w:lang w:val="de-DE"/>
        </w:rPr>
        <w:t>US</w:t>
      </w:r>
      <w:r w:rsidR="00390751" w:rsidRPr="005853B8">
        <w:rPr>
          <w:lang w:val="de-DE"/>
        </w:rPr>
        <w:t xml:space="preserve">-Bundesstaaten und in Teilen </w:t>
      </w:r>
      <w:r w:rsidR="00390751" w:rsidRPr="005853B8">
        <w:rPr>
          <w:b/>
          <w:lang w:val="de-DE"/>
        </w:rPr>
        <w:t>Lateinamerika</w:t>
      </w:r>
      <w:r w:rsidR="00E651BE" w:rsidRPr="005853B8">
        <w:rPr>
          <w:b/>
          <w:lang w:val="de-DE"/>
        </w:rPr>
        <w:t>s</w:t>
      </w:r>
      <w:r w:rsidR="00214415" w:rsidRPr="005853B8">
        <w:rPr>
          <w:lang w:val="de-DE"/>
        </w:rPr>
        <w:t xml:space="preserve">. </w:t>
      </w:r>
      <w:r w:rsidR="00390751" w:rsidRPr="005853B8">
        <w:rPr>
          <w:lang w:val="de-DE"/>
        </w:rPr>
        <w:t>Die in Europa geführten Diskussionen über die Eindämmung des Cannabiskonsums konzentrieren sich vor allem auf Maßnahmen gegen den Drogennachschub und -</w:t>
      </w:r>
      <w:r w:rsidR="009367CA">
        <w:rPr>
          <w:lang w:val="de-DE"/>
        </w:rPr>
        <w:t>handel</w:t>
      </w:r>
      <w:r w:rsidR="00390751" w:rsidRPr="005853B8">
        <w:rPr>
          <w:lang w:val="de-DE"/>
        </w:rPr>
        <w:t xml:space="preserve"> und </w:t>
      </w:r>
      <w:r w:rsidR="009367CA">
        <w:rPr>
          <w:lang w:val="de-DE"/>
        </w:rPr>
        <w:t xml:space="preserve">weniger </w:t>
      </w:r>
      <w:r w:rsidR="00390751" w:rsidRPr="005853B8">
        <w:rPr>
          <w:lang w:val="de-DE"/>
        </w:rPr>
        <w:t xml:space="preserve">auf den Drogenkonsum. Demgegenüber ist allerdings die Gesamtzahl der Delikte im Zusammenhang mit Besitz und Konsum von Cannabis seit ungefähr einem Jahrzehnt beständig weiter gestiegen </w:t>
      </w:r>
      <w:r w:rsidR="00214415" w:rsidRPr="005853B8">
        <w:rPr>
          <w:lang w:val="de-DE"/>
        </w:rPr>
        <w:t>(</w:t>
      </w:r>
      <w:r w:rsidR="00390751" w:rsidRPr="005853B8">
        <w:rPr>
          <w:lang w:val="de-DE"/>
        </w:rPr>
        <w:t>Abbildung </w:t>
      </w:r>
      <w:r w:rsidR="00214415" w:rsidRPr="005853B8">
        <w:rPr>
          <w:lang w:val="de-DE"/>
        </w:rPr>
        <w:t>4.1).</w:t>
      </w:r>
    </w:p>
    <w:p w:rsidR="00214415" w:rsidRPr="005853B8" w:rsidRDefault="00390751" w:rsidP="003C2E9B">
      <w:pPr>
        <w:pStyle w:val="newsNotes"/>
        <w:rPr>
          <w:lang w:val="de-DE"/>
        </w:rPr>
      </w:pPr>
      <w:r w:rsidRPr="005853B8">
        <w:rPr>
          <w:lang w:val="de-DE"/>
        </w:rPr>
        <w:t xml:space="preserve">Etwa </w:t>
      </w:r>
      <w:r w:rsidR="00214415" w:rsidRPr="005853B8">
        <w:rPr>
          <w:lang w:val="de-DE"/>
        </w:rPr>
        <w:t>73</w:t>
      </w:r>
      <w:r w:rsidRPr="005853B8">
        <w:rPr>
          <w:lang w:val="de-DE"/>
        </w:rPr>
        <w:t>,</w:t>
      </w:r>
      <w:r w:rsidR="00214415" w:rsidRPr="005853B8">
        <w:rPr>
          <w:lang w:val="de-DE"/>
        </w:rPr>
        <w:t>6</w:t>
      </w:r>
      <w:r w:rsidRPr="005853B8">
        <w:rPr>
          <w:lang w:val="de-DE"/>
        </w:rPr>
        <w:t> M</w:t>
      </w:r>
      <w:r w:rsidR="00214415" w:rsidRPr="005853B8">
        <w:rPr>
          <w:lang w:val="de-DE"/>
        </w:rPr>
        <w:t>illion</w:t>
      </w:r>
      <w:r w:rsidRPr="005853B8">
        <w:rPr>
          <w:lang w:val="de-DE"/>
        </w:rPr>
        <w:t>en</w:t>
      </w:r>
      <w:r w:rsidR="00214415" w:rsidRPr="005853B8">
        <w:rPr>
          <w:lang w:val="de-DE"/>
        </w:rPr>
        <w:t xml:space="preserve"> Europ</w:t>
      </w:r>
      <w:r w:rsidRPr="005853B8">
        <w:rPr>
          <w:lang w:val="de-DE"/>
        </w:rPr>
        <w:t>äer</w:t>
      </w:r>
      <w:r w:rsidR="009367CA">
        <w:rPr>
          <w:lang w:val="de-DE"/>
        </w:rPr>
        <w:t>/innen</w:t>
      </w:r>
      <w:r w:rsidRPr="005853B8">
        <w:rPr>
          <w:lang w:val="de-DE"/>
        </w:rPr>
        <w:t xml:space="preserve"> haben C</w:t>
      </w:r>
      <w:r w:rsidR="00214415" w:rsidRPr="005853B8">
        <w:rPr>
          <w:lang w:val="de-DE"/>
        </w:rPr>
        <w:t>annabis i</w:t>
      </w:r>
      <w:r w:rsidRPr="005853B8">
        <w:rPr>
          <w:lang w:val="de-DE"/>
        </w:rPr>
        <w:t>rgendwann einmal im Leben ausprobiert</w:t>
      </w:r>
      <w:r w:rsidR="00214415" w:rsidRPr="005853B8">
        <w:rPr>
          <w:lang w:val="de-DE"/>
        </w:rPr>
        <w:t>, 18</w:t>
      </w:r>
      <w:r w:rsidRPr="005853B8">
        <w:rPr>
          <w:lang w:val="de-DE"/>
        </w:rPr>
        <w:t>,</w:t>
      </w:r>
      <w:r w:rsidR="00214415" w:rsidRPr="005853B8">
        <w:rPr>
          <w:lang w:val="de-DE"/>
        </w:rPr>
        <w:t>1</w:t>
      </w:r>
      <w:r w:rsidRPr="005853B8">
        <w:rPr>
          <w:lang w:val="de-DE"/>
        </w:rPr>
        <w:t> M</w:t>
      </w:r>
      <w:r w:rsidR="00214415" w:rsidRPr="005853B8">
        <w:rPr>
          <w:lang w:val="de-DE"/>
        </w:rPr>
        <w:t>illion</w:t>
      </w:r>
      <w:r w:rsidRPr="005853B8">
        <w:rPr>
          <w:lang w:val="de-DE"/>
        </w:rPr>
        <w:t>en im vergangenen Jahr</w:t>
      </w:r>
      <w:r w:rsidR="00214415" w:rsidRPr="005853B8">
        <w:rPr>
          <w:lang w:val="de-DE"/>
        </w:rPr>
        <w:t xml:space="preserve">. </w:t>
      </w:r>
      <w:r w:rsidRPr="005853B8">
        <w:rPr>
          <w:lang w:val="de-DE"/>
        </w:rPr>
        <w:t xml:space="preserve">Schätzungsweise </w:t>
      </w:r>
      <w:r w:rsidR="00214415" w:rsidRPr="005853B8">
        <w:rPr>
          <w:lang w:val="de-DE"/>
        </w:rPr>
        <w:t>14</w:t>
      </w:r>
      <w:r w:rsidRPr="005853B8">
        <w:rPr>
          <w:lang w:val="de-DE"/>
        </w:rPr>
        <w:t>,</w:t>
      </w:r>
      <w:r w:rsidR="00214415" w:rsidRPr="005853B8">
        <w:rPr>
          <w:lang w:val="de-DE"/>
        </w:rPr>
        <w:t>6</w:t>
      </w:r>
      <w:r w:rsidRPr="005853B8">
        <w:rPr>
          <w:lang w:val="de-DE"/>
        </w:rPr>
        <w:t> M</w:t>
      </w:r>
      <w:r w:rsidR="00214415" w:rsidRPr="005853B8">
        <w:rPr>
          <w:lang w:val="de-DE"/>
        </w:rPr>
        <w:t>illion</w:t>
      </w:r>
      <w:r w:rsidRPr="005853B8">
        <w:rPr>
          <w:lang w:val="de-DE"/>
        </w:rPr>
        <w:t xml:space="preserve">en junge Erwachsene in </w:t>
      </w:r>
      <w:r w:rsidR="00214415" w:rsidRPr="005853B8">
        <w:rPr>
          <w:lang w:val="de-DE"/>
        </w:rPr>
        <w:t xml:space="preserve">Europa </w:t>
      </w:r>
      <w:r w:rsidR="009367CA">
        <w:rPr>
          <w:lang w:val="de-DE"/>
        </w:rPr>
        <w:t>(</w:t>
      </w:r>
      <w:r w:rsidR="00214415" w:rsidRPr="005853B8">
        <w:rPr>
          <w:lang w:val="de-DE"/>
        </w:rPr>
        <w:t>15</w:t>
      </w:r>
      <w:r w:rsidR="00494F98" w:rsidRPr="005853B8">
        <w:rPr>
          <w:lang w:val="de-DE"/>
        </w:rPr>
        <w:t xml:space="preserve"> </w:t>
      </w:r>
      <w:r w:rsidRPr="005853B8">
        <w:rPr>
          <w:lang w:val="de-DE"/>
        </w:rPr>
        <w:t xml:space="preserve">bis </w:t>
      </w:r>
      <w:r w:rsidR="00214415" w:rsidRPr="005853B8">
        <w:rPr>
          <w:lang w:val="de-DE"/>
        </w:rPr>
        <w:t>34</w:t>
      </w:r>
      <w:r w:rsidR="00494F98" w:rsidRPr="005853B8">
        <w:rPr>
          <w:lang w:val="de-DE"/>
        </w:rPr>
        <w:t> </w:t>
      </w:r>
      <w:r w:rsidRPr="005853B8">
        <w:rPr>
          <w:lang w:val="de-DE"/>
        </w:rPr>
        <w:t>Jahre</w:t>
      </w:r>
      <w:r w:rsidR="009367CA">
        <w:rPr>
          <w:lang w:val="de-DE"/>
        </w:rPr>
        <w:t>)</w:t>
      </w:r>
      <w:r w:rsidRPr="005853B8">
        <w:rPr>
          <w:lang w:val="de-DE"/>
        </w:rPr>
        <w:t xml:space="preserve"> geben an, im letzten Jahr Cannabis konsumiert zu haben</w:t>
      </w:r>
      <w:r w:rsidR="00214415" w:rsidRPr="005853B8">
        <w:rPr>
          <w:lang w:val="de-DE"/>
        </w:rPr>
        <w:t xml:space="preserve">. </w:t>
      </w:r>
      <w:r w:rsidRPr="005853B8">
        <w:rPr>
          <w:lang w:val="de-DE"/>
        </w:rPr>
        <w:t>In Europa zeigt der Konsum von Cannabis insgesamt eine stabile bzw. sogar rückläufige Tendenz, vor allem bei jüngeren Altersgruppen. Allerdings s</w:t>
      </w:r>
      <w:r w:rsidR="00EA6157" w:rsidRPr="005853B8">
        <w:rPr>
          <w:lang w:val="de-DE"/>
        </w:rPr>
        <w:t>cheinen</w:t>
      </w:r>
      <w:r w:rsidRPr="005853B8">
        <w:rPr>
          <w:lang w:val="de-DE"/>
        </w:rPr>
        <w:t xml:space="preserve"> die Trends in </w:t>
      </w:r>
      <w:r w:rsidR="009367CA">
        <w:rPr>
          <w:lang w:val="de-DE"/>
        </w:rPr>
        <w:t xml:space="preserve">den </w:t>
      </w:r>
      <w:r w:rsidRPr="005853B8">
        <w:rPr>
          <w:lang w:val="de-DE"/>
        </w:rPr>
        <w:t>einzelnen Ländern</w:t>
      </w:r>
      <w:r w:rsidR="00EA6157" w:rsidRPr="005853B8">
        <w:rPr>
          <w:lang w:val="de-DE"/>
        </w:rPr>
        <w:t xml:space="preserve"> stark voneinander abzuweichen</w:t>
      </w:r>
      <w:r w:rsidRPr="005853B8">
        <w:rPr>
          <w:lang w:val="de-DE"/>
        </w:rPr>
        <w:t xml:space="preserve">. </w:t>
      </w:r>
      <w:r w:rsidR="00EA6157" w:rsidRPr="005853B8">
        <w:rPr>
          <w:lang w:val="de-DE"/>
        </w:rPr>
        <w:t xml:space="preserve">Dies zeigt sich in dem Umstand, dass von den </w:t>
      </w:r>
      <w:r w:rsidRPr="005853B8">
        <w:rPr>
          <w:lang w:val="de-DE"/>
        </w:rPr>
        <w:t xml:space="preserve">Ländern, </w:t>
      </w:r>
      <w:r w:rsidR="00EA6157" w:rsidRPr="005853B8">
        <w:rPr>
          <w:lang w:val="de-DE"/>
        </w:rPr>
        <w:t>die seit 2011 neue Erhebungen vorgelegt haben, die Vorjahresprävalenz in der Altersgruppe der 15- bis 34-Jährigen in acht Ländern gesunken un</w:t>
      </w:r>
      <w:r w:rsidR="00214415" w:rsidRPr="005853B8">
        <w:rPr>
          <w:lang w:val="de-DE"/>
        </w:rPr>
        <w:t xml:space="preserve">d </w:t>
      </w:r>
      <w:r w:rsidR="00EA6157" w:rsidRPr="005853B8">
        <w:rPr>
          <w:lang w:val="de-DE"/>
        </w:rPr>
        <w:t>in fünf Ländern gestiegen war</w:t>
      </w:r>
      <w:r w:rsidR="00214415" w:rsidRPr="005853B8">
        <w:rPr>
          <w:lang w:val="de-DE"/>
        </w:rPr>
        <w:t xml:space="preserve"> (</w:t>
      </w:r>
      <w:r w:rsidR="00EA6157" w:rsidRPr="005853B8">
        <w:rPr>
          <w:lang w:val="de-DE"/>
        </w:rPr>
        <w:t>Abbildung </w:t>
      </w:r>
      <w:r w:rsidR="00214415" w:rsidRPr="005853B8">
        <w:rPr>
          <w:lang w:val="de-DE"/>
        </w:rPr>
        <w:t xml:space="preserve">2.1). </w:t>
      </w:r>
    </w:p>
    <w:p w:rsidR="00AC31CE" w:rsidRPr="005853B8" w:rsidRDefault="00EA6157" w:rsidP="003C2E9B">
      <w:pPr>
        <w:pStyle w:val="newsNotes"/>
        <w:rPr>
          <w:lang w:val="de-DE"/>
        </w:rPr>
      </w:pPr>
      <w:r w:rsidRPr="005853B8">
        <w:rPr>
          <w:lang w:val="de-DE"/>
        </w:rPr>
        <w:t xml:space="preserve">Die Besorgnis im Bereich der öffentlichen Gesundheit ist am größten in Bezug auf </w:t>
      </w:r>
      <w:r w:rsidR="00214415" w:rsidRPr="005853B8">
        <w:rPr>
          <w:lang w:val="de-DE"/>
        </w:rPr>
        <w:t>Europ</w:t>
      </w:r>
      <w:r w:rsidRPr="005853B8">
        <w:rPr>
          <w:lang w:val="de-DE"/>
        </w:rPr>
        <w:t xml:space="preserve">äer, die die Droge täglich oder nahezu täglich konsumieren </w:t>
      </w:r>
      <w:r w:rsidR="00214415" w:rsidRPr="005853B8">
        <w:rPr>
          <w:lang w:val="de-DE"/>
        </w:rPr>
        <w:t>(</w:t>
      </w:r>
      <w:r w:rsidRPr="005853B8">
        <w:rPr>
          <w:lang w:val="de-DE"/>
        </w:rPr>
        <w:t>ca.</w:t>
      </w:r>
      <w:r w:rsidR="00214415" w:rsidRPr="005853B8">
        <w:rPr>
          <w:lang w:val="de-DE"/>
        </w:rPr>
        <w:t xml:space="preserve"> 1</w:t>
      </w:r>
      <w:r w:rsidRPr="005853B8">
        <w:rPr>
          <w:lang w:val="de-DE"/>
        </w:rPr>
        <w:t> </w:t>
      </w:r>
      <w:r w:rsidR="00214415" w:rsidRPr="005853B8">
        <w:rPr>
          <w:lang w:val="de-DE"/>
        </w:rPr>
        <w:t xml:space="preserve">% </w:t>
      </w:r>
      <w:r w:rsidRPr="005853B8">
        <w:rPr>
          <w:lang w:val="de-DE"/>
        </w:rPr>
        <w:t>der e</w:t>
      </w:r>
      <w:r w:rsidR="00214415" w:rsidRPr="005853B8">
        <w:rPr>
          <w:lang w:val="de-DE"/>
        </w:rPr>
        <w:t>urop</w:t>
      </w:r>
      <w:r w:rsidRPr="005853B8">
        <w:rPr>
          <w:lang w:val="de-DE"/>
        </w:rPr>
        <w:t xml:space="preserve">äischen Erwachsenen im Alter von </w:t>
      </w:r>
      <w:r w:rsidR="00214415" w:rsidRPr="005853B8">
        <w:rPr>
          <w:lang w:val="de-DE"/>
        </w:rPr>
        <w:t>15</w:t>
      </w:r>
      <w:r w:rsidRPr="005853B8">
        <w:rPr>
          <w:lang w:val="de-DE"/>
        </w:rPr>
        <w:t xml:space="preserve"> bis </w:t>
      </w:r>
      <w:r w:rsidR="00214415" w:rsidRPr="005853B8">
        <w:rPr>
          <w:lang w:val="de-DE"/>
        </w:rPr>
        <w:t>64</w:t>
      </w:r>
      <w:r w:rsidRPr="005853B8">
        <w:rPr>
          <w:lang w:val="de-DE"/>
        </w:rPr>
        <w:t> Jahren). Cannabis war 2012 diejenige Droge, die Drogenkonsum</w:t>
      </w:r>
      <w:r w:rsidR="0032511D">
        <w:rPr>
          <w:lang w:val="de-DE"/>
        </w:rPr>
        <w:t>ierende</w:t>
      </w:r>
      <w:r w:rsidRPr="005853B8">
        <w:rPr>
          <w:lang w:val="de-DE"/>
        </w:rPr>
        <w:t>, die sich erstmalig einer Behandlung unterzogen, am häufigsten als Grund für die Behandlungsaufnahme angaben.</w:t>
      </w:r>
      <w:r w:rsidR="00214415" w:rsidRPr="005853B8">
        <w:rPr>
          <w:lang w:val="de-DE"/>
        </w:rPr>
        <w:t xml:space="preserve"> </w:t>
      </w:r>
      <w:r w:rsidRPr="005853B8">
        <w:rPr>
          <w:lang w:val="de-DE"/>
        </w:rPr>
        <w:t>„</w:t>
      </w:r>
      <w:r w:rsidR="00D77E9E" w:rsidRPr="005853B8">
        <w:rPr>
          <w:lang w:val="de-DE"/>
        </w:rPr>
        <w:t>Das Fehlen eine</w:t>
      </w:r>
      <w:r w:rsidR="00422315">
        <w:rPr>
          <w:lang w:val="de-DE"/>
        </w:rPr>
        <w:t>s</w:t>
      </w:r>
      <w:r w:rsidR="00D77E9E" w:rsidRPr="005853B8">
        <w:rPr>
          <w:lang w:val="de-DE"/>
        </w:rPr>
        <w:t xml:space="preserve"> </w:t>
      </w:r>
      <w:r w:rsidR="00214415" w:rsidRPr="005853B8">
        <w:rPr>
          <w:lang w:val="de-DE"/>
        </w:rPr>
        <w:t>systemati</w:t>
      </w:r>
      <w:r w:rsidR="00D77E9E" w:rsidRPr="005853B8">
        <w:rPr>
          <w:lang w:val="de-DE"/>
        </w:rPr>
        <w:t xml:space="preserve">schen </w:t>
      </w:r>
      <w:r w:rsidR="00422315">
        <w:rPr>
          <w:lang w:val="de-DE"/>
        </w:rPr>
        <w:t>Monitorings</w:t>
      </w:r>
      <w:r w:rsidR="00D77E9E" w:rsidRPr="005853B8">
        <w:rPr>
          <w:lang w:val="de-DE"/>
        </w:rPr>
        <w:t xml:space="preserve"> </w:t>
      </w:r>
      <w:r w:rsidR="009E38E2" w:rsidRPr="005853B8">
        <w:rPr>
          <w:lang w:val="de-DE"/>
        </w:rPr>
        <w:t xml:space="preserve">in Bezug auf </w:t>
      </w:r>
      <w:r w:rsidR="00D77E9E" w:rsidRPr="005853B8">
        <w:rPr>
          <w:lang w:val="de-DE"/>
        </w:rPr>
        <w:t>D</w:t>
      </w:r>
      <w:r w:rsidR="00214415" w:rsidRPr="005853B8">
        <w:rPr>
          <w:lang w:val="de-DE"/>
        </w:rPr>
        <w:t>r</w:t>
      </w:r>
      <w:r w:rsidR="00D77E9E" w:rsidRPr="005853B8">
        <w:rPr>
          <w:lang w:val="de-DE"/>
        </w:rPr>
        <w:t xml:space="preserve">ogennotfälle stellt einen blinden Fleck bei der europaweiten </w:t>
      </w:r>
      <w:r w:rsidR="00422315">
        <w:rPr>
          <w:lang w:val="de-DE"/>
        </w:rPr>
        <w:t>Beobachtung</w:t>
      </w:r>
      <w:r w:rsidR="00422315" w:rsidRPr="005853B8">
        <w:rPr>
          <w:lang w:val="de-DE"/>
        </w:rPr>
        <w:t xml:space="preserve"> </w:t>
      </w:r>
      <w:r w:rsidR="00D77E9E" w:rsidRPr="005853B8">
        <w:rPr>
          <w:lang w:val="de-DE"/>
        </w:rPr>
        <w:t>neu aufkommender Gesundheitsgefährdungen dar“</w:t>
      </w:r>
      <w:r w:rsidR="00214415" w:rsidRPr="005853B8">
        <w:rPr>
          <w:lang w:val="de-DE"/>
        </w:rPr>
        <w:t xml:space="preserve">, </w:t>
      </w:r>
      <w:r w:rsidR="00D77E9E" w:rsidRPr="005853B8">
        <w:rPr>
          <w:lang w:val="de-DE"/>
        </w:rPr>
        <w:t>erläutert</w:t>
      </w:r>
      <w:r w:rsidR="00214415" w:rsidRPr="005853B8">
        <w:rPr>
          <w:lang w:val="de-DE"/>
        </w:rPr>
        <w:t xml:space="preserve"> </w:t>
      </w:r>
      <w:r w:rsidR="00D77E9E" w:rsidRPr="005853B8">
        <w:rPr>
          <w:lang w:val="de-DE"/>
        </w:rPr>
        <w:t>die</w:t>
      </w:r>
      <w:r w:rsidR="00214415" w:rsidRPr="005853B8">
        <w:rPr>
          <w:lang w:val="de-DE"/>
        </w:rPr>
        <w:t xml:space="preserve"> </w:t>
      </w:r>
      <w:r w:rsidR="00214415" w:rsidRPr="005853B8">
        <w:rPr>
          <w:b/>
          <w:lang w:val="de-DE"/>
        </w:rPr>
        <w:t>EMCDDA</w:t>
      </w:r>
      <w:r w:rsidR="00214415" w:rsidRPr="005853B8">
        <w:rPr>
          <w:lang w:val="de-DE"/>
        </w:rPr>
        <w:t xml:space="preserve">. </w:t>
      </w:r>
      <w:r w:rsidR="00D77E9E" w:rsidRPr="005853B8">
        <w:rPr>
          <w:lang w:val="de-DE"/>
        </w:rPr>
        <w:t>Ausgehend von den wenigen verfügbaren Daten scheinen medizinische Notfälle im Zusammenhang mit C</w:t>
      </w:r>
      <w:r w:rsidR="00214415" w:rsidRPr="005853B8">
        <w:rPr>
          <w:lang w:val="de-DE"/>
        </w:rPr>
        <w:t>annabis</w:t>
      </w:r>
      <w:r w:rsidR="00D77E9E" w:rsidRPr="005853B8">
        <w:rPr>
          <w:lang w:val="de-DE"/>
        </w:rPr>
        <w:t>konsum</w:t>
      </w:r>
      <w:r w:rsidR="00214415" w:rsidRPr="005853B8">
        <w:rPr>
          <w:lang w:val="de-DE"/>
        </w:rPr>
        <w:t xml:space="preserve"> </w:t>
      </w:r>
      <w:r w:rsidR="00D77E9E" w:rsidRPr="005853B8">
        <w:rPr>
          <w:lang w:val="de-DE"/>
        </w:rPr>
        <w:t>in manchen Ländern mit hoher Prävalenz ein wachsendes P</w:t>
      </w:r>
      <w:r w:rsidR="00214415" w:rsidRPr="005853B8">
        <w:rPr>
          <w:lang w:val="de-DE"/>
        </w:rPr>
        <w:t xml:space="preserve">roblem </w:t>
      </w:r>
      <w:r w:rsidR="00D77E9E" w:rsidRPr="005853B8">
        <w:rPr>
          <w:lang w:val="de-DE"/>
        </w:rPr>
        <w:t>zu sein</w:t>
      </w:r>
      <w:r w:rsidR="00214415" w:rsidRPr="005853B8">
        <w:rPr>
          <w:lang w:val="de-DE"/>
        </w:rPr>
        <w:t>.</w:t>
      </w:r>
    </w:p>
    <w:p w:rsidR="008216AB" w:rsidRPr="005853B8" w:rsidRDefault="00D77E9E" w:rsidP="003C2E9B">
      <w:pPr>
        <w:pStyle w:val="newsNotes"/>
        <w:rPr>
          <w:lang w:val="de-DE"/>
        </w:rPr>
      </w:pPr>
      <w:r w:rsidRPr="005853B8">
        <w:rPr>
          <w:b/>
          <w:lang w:val="de-DE"/>
        </w:rPr>
        <w:t xml:space="preserve">Der </w:t>
      </w:r>
      <w:r w:rsidR="00494F98" w:rsidRPr="005853B8">
        <w:rPr>
          <w:b/>
          <w:lang w:val="de-DE"/>
        </w:rPr>
        <w:t>Direktor</w:t>
      </w:r>
      <w:r w:rsidRPr="005853B8">
        <w:rPr>
          <w:b/>
          <w:lang w:val="de-DE"/>
        </w:rPr>
        <w:t xml:space="preserve"> der </w:t>
      </w:r>
      <w:r w:rsidR="003C2E9B" w:rsidRPr="005853B8">
        <w:rPr>
          <w:b/>
          <w:lang w:val="de-DE"/>
        </w:rPr>
        <w:t>EMCDDA</w:t>
      </w:r>
      <w:r w:rsidRPr="005853B8">
        <w:rPr>
          <w:b/>
          <w:lang w:val="de-DE"/>
        </w:rPr>
        <w:t>,</w:t>
      </w:r>
      <w:r w:rsidR="003C2E9B" w:rsidRPr="005853B8">
        <w:rPr>
          <w:b/>
          <w:lang w:val="de-DE"/>
        </w:rPr>
        <w:t xml:space="preserve"> Wolfgang Götz</w:t>
      </w:r>
      <w:r w:rsidR="00494F98" w:rsidRPr="005853B8">
        <w:rPr>
          <w:lang w:val="de-DE"/>
        </w:rPr>
        <w:t>, f</w:t>
      </w:r>
      <w:r w:rsidRPr="005853B8">
        <w:rPr>
          <w:lang w:val="de-DE"/>
        </w:rPr>
        <w:t>asst zusammen</w:t>
      </w:r>
      <w:r w:rsidR="003C2E9B" w:rsidRPr="005853B8">
        <w:rPr>
          <w:lang w:val="de-DE"/>
        </w:rPr>
        <w:t xml:space="preserve">: </w:t>
      </w:r>
      <w:r w:rsidRPr="005853B8">
        <w:rPr>
          <w:lang w:val="de-DE"/>
        </w:rPr>
        <w:t>„</w:t>
      </w:r>
      <w:r w:rsidR="003C2E9B" w:rsidRPr="005853B8">
        <w:rPr>
          <w:lang w:val="de-DE"/>
        </w:rPr>
        <w:t>I</w:t>
      </w:r>
      <w:r w:rsidRPr="005853B8">
        <w:rPr>
          <w:lang w:val="de-DE"/>
        </w:rPr>
        <w:t xml:space="preserve">ch bin stolz auf die Einblicke, die der vorliegende Bericht sowohl </w:t>
      </w:r>
      <w:r w:rsidR="003C2E9B" w:rsidRPr="005853B8">
        <w:rPr>
          <w:lang w:val="de-DE"/>
        </w:rPr>
        <w:t>in</w:t>
      </w:r>
      <w:r w:rsidRPr="005853B8">
        <w:rPr>
          <w:lang w:val="de-DE"/>
        </w:rPr>
        <w:t xml:space="preserve"> Bezug auf bereits bekannte P</w:t>
      </w:r>
      <w:r w:rsidR="003C2E9B" w:rsidRPr="005853B8">
        <w:rPr>
          <w:lang w:val="de-DE"/>
        </w:rPr>
        <w:t>roblem</w:t>
      </w:r>
      <w:r w:rsidR="00B104DF" w:rsidRPr="005853B8">
        <w:rPr>
          <w:lang w:val="de-DE"/>
        </w:rPr>
        <w:t>lagen</w:t>
      </w:r>
      <w:r w:rsidRPr="005853B8">
        <w:rPr>
          <w:lang w:val="de-DE"/>
        </w:rPr>
        <w:t xml:space="preserve"> als auch auf neue Gefährdungen bietet</w:t>
      </w:r>
      <w:r w:rsidR="003C2E9B" w:rsidRPr="005853B8">
        <w:rPr>
          <w:lang w:val="de-DE"/>
        </w:rPr>
        <w:t xml:space="preserve">. </w:t>
      </w:r>
      <w:r w:rsidR="00B104DF" w:rsidRPr="005853B8">
        <w:rPr>
          <w:lang w:val="de-DE"/>
        </w:rPr>
        <w:t>Fundierte Daten bilden den Kern der e</w:t>
      </w:r>
      <w:r w:rsidR="003C2E9B" w:rsidRPr="005853B8">
        <w:rPr>
          <w:lang w:val="de-DE"/>
        </w:rPr>
        <w:t>urop</w:t>
      </w:r>
      <w:r w:rsidR="00B104DF" w:rsidRPr="005853B8">
        <w:rPr>
          <w:lang w:val="de-DE"/>
        </w:rPr>
        <w:t>äischen Strategie zur Bekämpfung der Drogen</w:t>
      </w:r>
      <w:r w:rsidR="003C2E9B" w:rsidRPr="005853B8">
        <w:rPr>
          <w:lang w:val="de-DE"/>
        </w:rPr>
        <w:t>problem</w:t>
      </w:r>
      <w:r w:rsidR="00B104DF" w:rsidRPr="005853B8">
        <w:rPr>
          <w:lang w:val="de-DE"/>
        </w:rPr>
        <w:t>atik, u</w:t>
      </w:r>
      <w:r w:rsidR="003C2E9B" w:rsidRPr="005853B8">
        <w:rPr>
          <w:lang w:val="de-DE"/>
        </w:rPr>
        <w:t xml:space="preserve">nd </w:t>
      </w:r>
      <w:r w:rsidR="00B104DF" w:rsidRPr="005853B8">
        <w:rPr>
          <w:lang w:val="de-DE"/>
        </w:rPr>
        <w:t>unsere Maßnahmen sind dadurch sehr viel effektiver</w:t>
      </w:r>
      <w:r w:rsidR="003C2E9B" w:rsidRPr="005853B8">
        <w:rPr>
          <w:lang w:val="de-DE"/>
        </w:rPr>
        <w:t xml:space="preserve">. </w:t>
      </w:r>
      <w:r w:rsidR="00B104DF" w:rsidRPr="005853B8">
        <w:rPr>
          <w:lang w:val="de-DE"/>
        </w:rPr>
        <w:t>Vor mehr als</w:t>
      </w:r>
      <w:r w:rsidR="003C2E9B" w:rsidRPr="005853B8">
        <w:rPr>
          <w:lang w:val="de-DE"/>
        </w:rPr>
        <w:t xml:space="preserve"> 15</w:t>
      </w:r>
      <w:r w:rsidR="00B104DF" w:rsidRPr="005853B8">
        <w:rPr>
          <w:lang w:val="de-DE"/>
        </w:rPr>
        <w:t xml:space="preserve"> Jahren </w:t>
      </w:r>
      <w:r w:rsidR="009E38E2" w:rsidRPr="005853B8">
        <w:rPr>
          <w:lang w:val="de-DE"/>
        </w:rPr>
        <w:t>haben</w:t>
      </w:r>
      <w:r w:rsidR="00B104DF" w:rsidRPr="005853B8">
        <w:rPr>
          <w:lang w:val="de-DE"/>
        </w:rPr>
        <w:t xml:space="preserve"> die </w:t>
      </w:r>
      <w:r w:rsidR="003C2E9B" w:rsidRPr="005853B8">
        <w:rPr>
          <w:lang w:val="de-DE"/>
        </w:rPr>
        <w:t>EU</w:t>
      </w:r>
      <w:r w:rsidR="00B104DF" w:rsidRPr="005853B8">
        <w:rPr>
          <w:lang w:val="de-DE"/>
        </w:rPr>
        <w:t>-Einrichtungen u</w:t>
      </w:r>
      <w:r w:rsidR="00B56ABF" w:rsidRPr="005853B8">
        <w:rPr>
          <w:lang w:val="de-DE"/>
        </w:rPr>
        <w:t xml:space="preserve">nd </w:t>
      </w:r>
      <w:r w:rsidR="00B104DF" w:rsidRPr="005853B8">
        <w:rPr>
          <w:lang w:val="de-DE"/>
        </w:rPr>
        <w:t xml:space="preserve">die </w:t>
      </w:r>
      <w:r w:rsidR="00B56ABF" w:rsidRPr="005853B8">
        <w:rPr>
          <w:lang w:val="de-DE"/>
        </w:rPr>
        <w:t>M</w:t>
      </w:r>
      <w:r w:rsidR="00B104DF" w:rsidRPr="005853B8">
        <w:rPr>
          <w:lang w:val="de-DE"/>
        </w:rPr>
        <w:t>itgliedstaaten große Voraussicht bei der I</w:t>
      </w:r>
      <w:r w:rsidR="003C2E9B" w:rsidRPr="005853B8">
        <w:rPr>
          <w:lang w:val="de-DE"/>
        </w:rPr>
        <w:t>nvesti</w:t>
      </w:r>
      <w:r w:rsidR="00B104DF" w:rsidRPr="005853B8">
        <w:rPr>
          <w:lang w:val="de-DE"/>
        </w:rPr>
        <w:t>tion in ein</w:t>
      </w:r>
      <w:r w:rsidR="003C2E9B" w:rsidRPr="005853B8">
        <w:rPr>
          <w:lang w:val="de-DE"/>
        </w:rPr>
        <w:t xml:space="preserve"> EU</w:t>
      </w:r>
      <w:r w:rsidR="00B104DF" w:rsidRPr="005853B8">
        <w:rPr>
          <w:lang w:val="de-DE"/>
        </w:rPr>
        <w:t>-Frühw</w:t>
      </w:r>
      <w:r w:rsidR="003C2E9B" w:rsidRPr="005853B8">
        <w:rPr>
          <w:lang w:val="de-DE"/>
        </w:rPr>
        <w:t>arn</w:t>
      </w:r>
      <w:r w:rsidR="00B104DF" w:rsidRPr="005853B8">
        <w:rPr>
          <w:lang w:val="de-DE"/>
        </w:rPr>
        <w:t>s</w:t>
      </w:r>
      <w:r w:rsidR="003C2E9B" w:rsidRPr="005853B8">
        <w:rPr>
          <w:lang w:val="de-DE"/>
        </w:rPr>
        <w:t xml:space="preserve">ystem </w:t>
      </w:r>
      <w:r w:rsidR="00B104DF" w:rsidRPr="005853B8">
        <w:rPr>
          <w:lang w:val="de-DE"/>
        </w:rPr>
        <w:t>zu neuen</w:t>
      </w:r>
      <w:r w:rsidR="003C2E9B" w:rsidRPr="005853B8">
        <w:rPr>
          <w:lang w:val="de-DE"/>
        </w:rPr>
        <w:t xml:space="preserve"> psychoa</w:t>
      </w:r>
      <w:r w:rsidR="00B104DF" w:rsidRPr="005853B8">
        <w:rPr>
          <w:lang w:val="de-DE"/>
        </w:rPr>
        <w:t>ktiven S</w:t>
      </w:r>
      <w:r w:rsidR="003C2E9B" w:rsidRPr="005853B8">
        <w:rPr>
          <w:lang w:val="de-DE"/>
        </w:rPr>
        <w:t>ubstan</w:t>
      </w:r>
      <w:r w:rsidR="00B104DF" w:rsidRPr="005853B8">
        <w:rPr>
          <w:lang w:val="de-DE"/>
        </w:rPr>
        <w:t>zen</w:t>
      </w:r>
      <w:r w:rsidR="009E38E2" w:rsidRPr="005853B8">
        <w:rPr>
          <w:lang w:val="de-DE"/>
        </w:rPr>
        <w:t xml:space="preserve"> bewiesen</w:t>
      </w:r>
      <w:r w:rsidR="00B104DF" w:rsidRPr="005853B8">
        <w:rPr>
          <w:lang w:val="de-DE"/>
        </w:rPr>
        <w:t>, das heute weltweit anerkannt ist</w:t>
      </w:r>
      <w:r w:rsidR="003C2E9B" w:rsidRPr="005853B8">
        <w:rPr>
          <w:lang w:val="de-DE"/>
        </w:rPr>
        <w:t xml:space="preserve">. </w:t>
      </w:r>
      <w:r w:rsidR="00B56ABF" w:rsidRPr="005853B8">
        <w:rPr>
          <w:lang w:val="de-DE"/>
        </w:rPr>
        <w:t>I</w:t>
      </w:r>
      <w:r w:rsidR="00B104DF" w:rsidRPr="005853B8">
        <w:rPr>
          <w:lang w:val="de-DE"/>
        </w:rPr>
        <w:t>ch bin davon überzeugt, dass das S</w:t>
      </w:r>
      <w:r w:rsidR="00B56ABF" w:rsidRPr="005853B8">
        <w:rPr>
          <w:lang w:val="de-DE"/>
        </w:rPr>
        <w:t>ystem</w:t>
      </w:r>
      <w:r w:rsidR="00B104DF" w:rsidRPr="005853B8">
        <w:rPr>
          <w:lang w:val="de-DE"/>
        </w:rPr>
        <w:t>, das seinen Wert für den I</w:t>
      </w:r>
      <w:r w:rsidR="00B56ABF" w:rsidRPr="005853B8">
        <w:rPr>
          <w:lang w:val="de-DE"/>
        </w:rPr>
        <w:t>nformation</w:t>
      </w:r>
      <w:r w:rsidR="009E38E2" w:rsidRPr="005853B8">
        <w:rPr>
          <w:lang w:val="de-DE"/>
        </w:rPr>
        <w:t>saustausch</w:t>
      </w:r>
      <w:r w:rsidR="00B104DF" w:rsidRPr="005853B8">
        <w:rPr>
          <w:lang w:val="de-DE"/>
        </w:rPr>
        <w:t xml:space="preserve"> u</w:t>
      </w:r>
      <w:r w:rsidR="00B56ABF" w:rsidRPr="005853B8">
        <w:rPr>
          <w:lang w:val="de-DE"/>
        </w:rPr>
        <w:t xml:space="preserve">nd </w:t>
      </w:r>
      <w:r w:rsidR="009E38E2" w:rsidRPr="005853B8">
        <w:rPr>
          <w:lang w:val="de-DE"/>
        </w:rPr>
        <w:t>in Bezug auf rasche</w:t>
      </w:r>
      <w:r w:rsidR="00B104DF" w:rsidRPr="005853B8">
        <w:rPr>
          <w:lang w:val="de-DE"/>
        </w:rPr>
        <w:t xml:space="preserve"> Maßnahmen gegen Gefährdungen </w:t>
      </w:r>
      <w:r w:rsidR="009E38E2" w:rsidRPr="005853B8">
        <w:rPr>
          <w:lang w:val="de-DE"/>
        </w:rPr>
        <w:t xml:space="preserve">wiederholt </w:t>
      </w:r>
      <w:r w:rsidR="007045E6" w:rsidRPr="005853B8">
        <w:rPr>
          <w:lang w:val="de-DE"/>
        </w:rPr>
        <w:t>unter Beweis gestellt hat, weiter gestärkt werden kann</w:t>
      </w:r>
      <w:r w:rsidR="00B56ABF" w:rsidRPr="005853B8">
        <w:rPr>
          <w:lang w:val="de-DE"/>
        </w:rPr>
        <w:t xml:space="preserve">. </w:t>
      </w:r>
      <w:r w:rsidR="003C2E9B" w:rsidRPr="005853B8">
        <w:rPr>
          <w:lang w:val="de-DE"/>
        </w:rPr>
        <w:t>I</w:t>
      </w:r>
      <w:r w:rsidR="007045E6" w:rsidRPr="005853B8">
        <w:rPr>
          <w:lang w:val="de-DE"/>
        </w:rPr>
        <w:t>ch bin allerdings tief besorgt, dass dieser M</w:t>
      </w:r>
      <w:r w:rsidR="008322B5" w:rsidRPr="005853B8">
        <w:rPr>
          <w:lang w:val="de-DE"/>
        </w:rPr>
        <w:t>echanism</w:t>
      </w:r>
      <w:r w:rsidR="007045E6" w:rsidRPr="005853B8">
        <w:rPr>
          <w:lang w:val="de-DE"/>
        </w:rPr>
        <w:t xml:space="preserve">us </w:t>
      </w:r>
      <w:r w:rsidR="009E38E2" w:rsidRPr="005853B8">
        <w:rPr>
          <w:lang w:val="de-DE"/>
        </w:rPr>
        <w:t>zunehmend</w:t>
      </w:r>
      <w:r w:rsidR="007045E6" w:rsidRPr="005853B8">
        <w:rPr>
          <w:lang w:val="de-DE"/>
        </w:rPr>
        <w:t xml:space="preserve"> </w:t>
      </w:r>
      <w:r w:rsidR="003C2E9B" w:rsidRPr="005853B8">
        <w:rPr>
          <w:lang w:val="de-DE"/>
        </w:rPr>
        <w:t>un</w:t>
      </w:r>
      <w:r w:rsidR="007045E6" w:rsidRPr="005853B8">
        <w:rPr>
          <w:lang w:val="de-DE"/>
        </w:rPr>
        <w:t>t</w:t>
      </w:r>
      <w:r w:rsidR="003C2E9B" w:rsidRPr="005853B8">
        <w:rPr>
          <w:lang w:val="de-DE"/>
        </w:rPr>
        <w:t xml:space="preserve">er </w:t>
      </w:r>
      <w:r w:rsidR="007045E6" w:rsidRPr="005853B8">
        <w:rPr>
          <w:lang w:val="de-DE"/>
        </w:rPr>
        <w:t>Druck gerät u</w:t>
      </w:r>
      <w:r w:rsidR="003C2E9B" w:rsidRPr="005853B8">
        <w:rPr>
          <w:lang w:val="de-DE"/>
        </w:rPr>
        <w:t xml:space="preserve">nd </w:t>
      </w:r>
      <w:r w:rsidR="003E7018">
        <w:rPr>
          <w:lang w:val="de-DE"/>
        </w:rPr>
        <w:t>aufgrund</w:t>
      </w:r>
      <w:r w:rsidR="00BD4B98" w:rsidRPr="005853B8">
        <w:rPr>
          <w:lang w:val="de-DE"/>
        </w:rPr>
        <w:t xml:space="preserve"> </w:t>
      </w:r>
      <w:r w:rsidR="00422315" w:rsidRPr="005853B8">
        <w:rPr>
          <w:lang w:val="de-DE"/>
        </w:rPr>
        <w:t>unzureichende</w:t>
      </w:r>
      <w:r w:rsidR="003E7018">
        <w:rPr>
          <w:lang w:val="de-DE"/>
        </w:rPr>
        <w:t>r</w:t>
      </w:r>
      <w:r w:rsidR="00422315" w:rsidRPr="005853B8">
        <w:rPr>
          <w:lang w:val="de-DE"/>
        </w:rPr>
        <w:t xml:space="preserve"> </w:t>
      </w:r>
      <w:r w:rsidR="00BD4B98">
        <w:rPr>
          <w:lang w:val="de-DE"/>
        </w:rPr>
        <w:t>Ressourcen</w:t>
      </w:r>
      <w:r w:rsidR="00F57E96">
        <w:rPr>
          <w:lang w:val="de-DE"/>
        </w:rPr>
        <w:t xml:space="preserve"> </w:t>
      </w:r>
      <w:r w:rsidR="009E38E2" w:rsidRPr="005853B8">
        <w:rPr>
          <w:lang w:val="de-DE"/>
        </w:rPr>
        <w:t xml:space="preserve">möglicherweise </w:t>
      </w:r>
      <w:r w:rsidR="007045E6" w:rsidRPr="005853B8">
        <w:rPr>
          <w:lang w:val="de-DE"/>
        </w:rPr>
        <w:t>gefährdet sein könnte.“</w:t>
      </w:r>
      <w:r w:rsidR="008216AB" w:rsidRPr="005853B8">
        <w:rPr>
          <w:lang w:val="de-DE"/>
        </w:rPr>
        <w:t xml:space="preserve"> </w:t>
      </w:r>
    </w:p>
    <w:p w:rsidR="003A195C" w:rsidRPr="005853B8" w:rsidRDefault="007045E6" w:rsidP="003C2E9B">
      <w:pPr>
        <w:spacing w:after="0"/>
        <w:rPr>
          <w:rFonts w:ascii="Arial" w:hAnsi="Arial" w:cs="Arial"/>
          <w:b/>
          <w:sz w:val="16"/>
          <w:szCs w:val="16"/>
          <w:lang w:val="de-DE"/>
        </w:rPr>
      </w:pPr>
      <w:r w:rsidRPr="005853B8">
        <w:rPr>
          <w:rFonts w:ascii="Arial" w:hAnsi="Arial" w:cs="Arial"/>
          <w:b/>
          <w:sz w:val="16"/>
          <w:szCs w:val="16"/>
          <w:lang w:val="de-DE"/>
        </w:rPr>
        <w:t>Anmerkungen</w:t>
      </w:r>
    </w:p>
    <w:p w:rsidR="003C2E9B" w:rsidRPr="005853B8" w:rsidRDefault="003C2E9B" w:rsidP="003C2E9B">
      <w:pPr>
        <w:spacing w:after="0"/>
        <w:rPr>
          <w:rFonts w:ascii="Arial" w:hAnsi="Arial" w:cs="Arial"/>
          <w:sz w:val="16"/>
          <w:szCs w:val="16"/>
          <w:lang w:val="de-DE"/>
        </w:rPr>
      </w:pPr>
      <w:r w:rsidRPr="002406E7">
        <w:rPr>
          <w:rFonts w:ascii="Arial" w:hAnsi="Arial" w:cs="Arial"/>
          <w:sz w:val="16"/>
          <w:szCs w:val="16"/>
          <w:lang w:val="de-DE"/>
        </w:rPr>
        <w:t>(</w:t>
      </w:r>
      <w:r w:rsidRPr="002406E7">
        <w:rPr>
          <w:rFonts w:ascii="Arial" w:hAnsi="Arial" w:cs="Arial"/>
          <w:sz w:val="16"/>
          <w:szCs w:val="16"/>
          <w:vertAlign w:val="superscript"/>
          <w:lang w:val="de-DE"/>
        </w:rPr>
        <w:t>1</w:t>
      </w:r>
      <w:r w:rsidRPr="002406E7">
        <w:rPr>
          <w:rFonts w:ascii="Arial" w:hAnsi="Arial" w:cs="Arial"/>
          <w:sz w:val="16"/>
          <w:szCs w:val="16"/>
          <w:lang w:val="de-DE"/>
        </w:rPr>
        <w:t xml:space="preserve">) </w:t>
      </w:r>
      <w:r w:rsidR="00C11D86" w:rsidRPr="002406E7">
        <w:rPr>
          <w:rFonts w:ascii="Arial" w:hAnsi="Arial" w:cs="Arial"/>
          <w:sz w:val="16"/>
          <w:szCs w:val="16"/>
          <w:lang w:val="de-DE"/>
        </w:rPr>
        <w:t>Der</w:t>
      </w:r>
      <w:r w:rsidRPr="002406E7">
        <w:rPr>
          <w:rFonts w:ascii="Arial" w:hAnsi="Arial" w:cs="Arial"/>
          <w:sz w:val="16"/>
          <w:szCs w:val="16"/>
          <w:lang w:val="de-DE"/>
        </w:rPr>
        <w:t xml:space="preserve"> </w:t>
      </w:r>
      <w:r w:rsidRPr="002406E7">
        <w:rPr>
          <w:rFonts w:ascii="Arial" w:hAnsi="Arial" w:cs="Arial"/>
          <w:b/>
          <w:i/>
          <w:sz w:val="16"/>
          <w:szCs w:val="16"/>
          <w:lang w:val="de-DE"/>
        </w:rPr>
        <w:t>Europ</w:t>
      </w:r>
      <w:r w:rsidR="00C11D86" w:rsidRPr="002406E7">
        <w:rPr>
          <w:rFonts w:ascii="Arial" w:hAnsi="Arial" w:cs="Arial"/>
          <w:b/>
          <w:i/>
          <w:sz w:val="16"/>
          <w:szCs w:val="16"/>
          <w:lang w:val="de-DE"/>
        </w:rPr>
        <w:t>äische</w:t>
      </w:r>
      <w:r w:rsidRPr="002406E7">
        <w:rPr>
          <w:rFonts w:ascii="Arial" w:hAnsi="Arial" w:cs="Arial"/>
          <w:b/>
          <w:i/>
          <w:sz w:val="16"/>
          <w:szCs w:val="16"/>
          <w:lang w:val="de-DE"/>
        </w:rPr>
        <w:t xml:space="preserve"> Dr</w:t>
      </w:r>
      <w:r w:rsidR="00C11D86" w:rsidRPr="002406E7">
        <w:rPr>
          <w:rFonts w:ascii="Arial" w:hAnsi="Arial" w:cs="Arial"/>
          <w:b/>
          <w:i/>
          <w:sz w:val="16"/>
          <w:szCs w:val="16"/>
          <w:lang w:val="de-DE"/>
        </w:rPr>
        <w:t>o</w:t>
      </w:r>
      <w:r w:rsidRPr="002406E7">
        <w:rPr>
          <w:rFonts w:ascii="Arial" w:hAnsi="Arial" w:cs="Arial"/>
          <w:b/>
          <w:i/>
          <w:sz w:val="16"/>
          <w:szCs w:val="16"/>
          <w:lang w:val="de-DE"/>
        </w:rPr>
        <w:t>g</w:t>
      </w:r>
      <w:r w:rsidR="00C11D86" w:rsidRPr="002406E7">
        <w:rPr>
          <w:rFonts w:ascii="Arial" w:hAnsi="Arial" w:cs="Arial"/>
          <w:b/>
          <w:i/>
          <w:sz w:val="16"/>
          <w:szCs w:val="16"/>
          <w:lang w:val="de-DE"/>
        </w:rPr>
        <w:t>enbericht</w:t>
      </w:r>
      <w:r w:rsidR="00494F98" w:rsidRPr="002406E7">
        <w:rPr>
          <w:rFonts w:ascii="Arial" w:hAnsi="Arial" w:cs="Arial"/>
          <w:b/>
          <w:i/>
          <w:sz w:val="16"/>
          <w:szCs w:val="16"/>
          <w:lang w:val="de-DE"/>
        </w:rPr>
        <w:t> </w:t>
      </w:r>
      <w:r w:rsidRPr="002406E7">
        <w:rPr>
          <w:rFonts w:ascii="Arial" w:hAnsi="Arial" w:cs="Arial"/>
          <w:b/>
          <w:i/>
          <w:sz w:val="16"/>
          <w:szCs w:val="16"/>
          <w:lang w:val="de-DE"/>
        </w:rPr>
        <w:t>2014</w:t>
      </w:r>
      <w:r w:rsidRPr="002406E7">
        <w:rPr>
          <w:rFonts w:ascii="Arial" w:hAnsi="Arial" w:cs="Arial"/>
          <w:sz w:val="16"/>
          <w:szCs w:val="16"/>
          <w:lang w:val="de-DE"/>
        </w:rPr>
        <w:t xml:space="preserve">: </w:t>
      </w:r>
      <w:r w:rsidRPr="002406E7">
        <w:rPr>
          <w:rFonts w:ascii="Arial" w:hAnsi="Arial" w:cs="Arial"/>
          <w:b/>
          <w:i/>
          <w:sz w:val="16"/>
          <w:szCs w:val="16"/>
          <w:lang w:val="de-DE"/>
        </w:rPr>
        <w:t xml:space="preserve">Trends </w:t>
      </w:r>
      <w:r w:rsidR="00C11D86" w:rsidRPr="002406E7">
        <w:rPr>
          <w:rFonts w:ascii="Arial" w:hAnsi="Arial" w:cs="Arial"/>
          <w:b/>
          <w:i/>
          <w:sz w:val="16"/>
          <w:szCs w:val="16"/>
          <w:lang w:val="de-DE"/>
        </w:rPr>
        <w:t>u</w:t>
      </w:r>
      <w:r w:rsidRPr="002406E7">
        <w:rPr>
          <w:rFonts w:ascii="Arial" w:hAnsi="Arial" w:cs="Arial"/>
          <w:b/>
          <w:i/>
          <w:sz w:val="16"/>
          <w:szCs w:val="16"/>
          <w:lang w:val="de-DE"/>
        </w:rPr>
        <w:t xml:space="preserve">nd </w:t>
      </w:r>
      <w:r w:rsidR="00C11D86" w:rsidRPr="002406E7">
        <w:rPr>
          <w:rFonts w:ascii="Arial" w:hAnsi="Arial" w:cs="Arial"/>
          <w:b/>
          <w:i/>
          <w:sz w:val="16"/>
          <w:szCs w:val="16"/>
          <w:lang w:val="de-DE"/>
        </w:rPr>
        <w:t>Entwicklungen</w:t>
      </w:r>
      <w:r w:rsidRPr="002406E7">
        <w:rPr>
          <w:rFonts w:ascii="Arial" w:hAnsi="Arial" w:cs="Arial"/>
          <w:b/>
          <w:sz w:val="16"/>
          <w:szCs w:val="16"/>
          <w:lang w:val="de-DE"/>
        </w:rPr>
        <w:t xml:space="preserve"> </w:t>
      </w:r>
      <w:r w:rsidRPr="002406E7">
        <w:rPr>
          <w:rFonts w:ascii="Arial" w:hAnsi="Arial" w:cs="Arial"/>
          <w:sz w:val="16"/>
          <w:szCs w:val="16"/>
          <w:lang w:val="de-DE"/>
        </w:rPr>
        <w:t>(</w:t>
      </w:r>
      <w:r w:rsidR="00C11D86" w:rsidRPr="002406E7">
        <w:rPr>
          <w:rFonts w:ascii="Arial" w:hAnsi="Arial" w:cs="Arial"/>
          <w:sz w:val="16"/>
          <w:szCs w:val="16"/>
          <w:lang w:val="de-DE"/>
        </w:rPr>
        <w:t>verfügbar in</w:t>
      </w:r>
      <w:r w:rsidR="00494F98" w:rsidRPr="002406E7">
        <w:rPr>
          <w:rFonts w:ascii="Arial" w:hAnsi="Arial" w:cs="Arial"/>
          <w:sz w:val="16"/>
          <w:szCs w:val="16"/>
          <w:lang w:val="de-DE"/>
        </w:rPr>
        <w:t xml:space="preserve"> 23 </w:t>
      </w:r>
      <w:r w:rsidR="00C11D86" w:rsidRPr="002406E7">
        <w:rPr>
          <w:rFonts w:ascii="Arial" w:hAnsi="Arial" w:cs="Arial"/>
          <w:sz w:val="16"/>
          <w:szCs w:val="16"/>
          <w:lang w:val="de-DE"/>
        </w:rPr>
        <w:t>Sprachen</w:t>
      </w:r>
      <w:r w:rsidRPr="002406E7">
        <w:rPr>
          <w:rFonts w:ascii="Arial" w:hAnsi="Arial" w:cs="Arial"/>
          <w:sz w:val="16"/>
          <w:szCs w:val="16"/>
          <w:lang w:val="de-DE"/>
        </w:rPr>
        <w:t xml:space="preserve">) </w:t>
      </w:r>
      <w:r w:rsidR="00C11D86" w:rsidRPr="002406E7">
        <w:rPr>
          <w:rFonts w:ascii="Arial" w:hAnsi="Arial" w:cs="Arial"/>
          <w:sz w:val="16"/>
          <w:szCs w:val="16"/>
          <w:lang w:val="de-DE"/>
        </w:rPr>
        <w:t>sowie die Publikation</w:t>
      </w:r>
      <w:r w:rsidRPr="002406E7">
        <w:rPr>
          <w:rFonts w:ascii="Arial" w:hAnsi="Arial" w:cs="Arial"/>
          <w:sz w:val="16"/>
          <w:szCs w:val="16"/>
          <w:lang w:val="de-DE"/>
        </w:rPr>
        <w:t xml:space="preserve"> </w:t>
      </w:r>
      <w:r w:rsidR="00034352" w:rsidRPr="002406E7">
        <w:rPr>
          <w:rFonts w:ascii="Arial" w:hAnsi="Arial" w:cs="Arial"/>
          <w:b/>
          <w:sz w:val="16"/>
          <w:szCs w:val="16"/>
          <w:lang w:val="de-DE"/>
        </w:rPr>
        <w:t>Drogenperspektiven</w:t>
      </w:r>
      <w:r w:rsidR="00034352" w:rsidRPr="002406E7">
        <w:rPr>
          <w:rFonts w:ascii="Arial" w:hAnsi="Arial" w:cs="Arial"/>
          <w:sz w:val="16"/>
          <w:szCs w:val="16"/>
          <w:lang w:val="de-DE"/>
        </w:rPr>
        <w:t xml:space="preserve"> (</w:t>
      </w:r>
      <w:r w:rsidRPr="002406E7">
        <w:rPr>
          <w:rFonts w:ascii="Arial" w:hAnsi="Arial" w:cs="Arial"/>
          <w:i/>
          <w:sz w:val="16"/>
          <w:szCs w:val="16"/>
          <w:lang w:val="de-DE"/>
        </w:rPr>
        <w:t>Perspectives on drugs</w:t>
      </w:r>
      <w:r w:rsidR="00034352" w:rsidRPr="002406E7">
        <w:rPr>
          <w:rFonts w:ascii="Arial" w:hAnsi="Arial" w:cs="Arial"/>
          <w:b/>
          <w:sz w:val="16"/>
          <w:szCs w:val="16"/>
          <w:lang w:val="de-DE"/>
        </w:rPr>
        <w:t>/</w:t>
      </w:r>
      <w:r w:rsidRPr="002406E7">
        <w:rPr>
          <w:rFonts w:ascii="Arial" w:hAnsi="Arial" w:cs="Arial"/>
          <w:sz w:val="16"/>
          <w:szCs w:val="16"/>
          <w:lang w:val="de-DE"/>
        </w:rPr>
        <w:t>PODs</w:t>
      </w:r>
      <w:r w:rsidR="007045E6" w:rsidRPr="002406E7">
        <w:rPr>
          <w:rFonts w:ascii="Arial" w:hAnsi="Arial" w:cs="Arial"/>
          <w:sz w:val="16"/>
          <w:szCs w:val="16"/>
          <w:lang w:val="de-DE"/>
        </w:rPr>
        <w:t>, in e</w:t>
      </w:r>
      <w:r w:rsidRPr="002406E7">
        <w:rPr>
          <w:rFonts w:ascii="Arial" w:hAnsi="Arial" w:cs="Arial"/>
          <w:sz w:val="16"/>
          <w:szCs w:val="16"/>
          <w:lang w:val="de-DE"/>
        </w:rPr>
        <w:t>nglis</w:t>
      </w:r>
      <w:r w:rsidR="00C11D86" w:rsidRPr="002406E7">
        <w:rPr>
          <w:rFonts w:ascii="Arial" w:hAnsi="Arial" w:cs="Arial"/>
          <w:sz w:val="16"/>
          <w:szCs w:val="16"/>
          <w:lang w:val="de-DE"/>
        </w:rPr>
        <w:t>c</w:t>
      </w:r>
      <w:r w:rsidRPr="002406E7">
        <w:rPr>
          <w:rFonts w:ascii="Arial" w:hAnsi="Arial" w:cs="Arial"/>
          <w:sz w:val="16"/>
          <w:szCs w:val="16"/>
          <w:lang w:val="de-DE"/>
        </w:rPr>
        <w:t>h</w:t>
      </w:r>
      <w:r w:rsidR="007045E6" w:rsidRPr="002406E7">
        <w:rPr>
          <w:rFonts w:ascii="Arial" w:hAnsi="Arial" w:cs="Arial"/>
          <w:sz w:val="16"/>
          <w:szCs w:val="16"/>
          <w:lang w:val="de-DE"/>
        </w:rPr>
        <w:t>er Sprache</w:t>
      </w:r>
      <w:r w:rsidRPr="002406E7">
        <w:rPr>
          <w:rFonts w:ascii="Arial" w:hAnsi="Arial" w:cs="Arial"/>
          <w:sz w:val="16"/>
          <w:szCs w:val="16"/>
          <w:lang w:val="de-DE"/>
        </w:rPr>
        <w:t xml:space="preserve">) </w:t>
      </w:r>
      <w:r w:rsidR="00C11D86" w:rsidRPr="002406E7">
        <w:rPr>
          <w:rFonts w:ascii="Arial" w:hAnsi="Arial" w:cs="Arial"/>
          <w:sz w:val="16"/>
          <w:szCs w:val="16"/>
          <w:lang w:val="de-DE"/>
        </w:rPr>
        <w:t>sind im Internet abrufbar unter</w:t>
      </w:r>
      <w:r w:rsidRPr="002406E7">
        <w:rPr>
          <w:rFonts w:ascii="Arial" w:hAnsi="Arial" w:cs="Arial"/>
          <w:sz w:val="16"/>
          <w:szCs w:val="16"/>
          <w:lang w:val="de-DE"/>
        </w:rPr>
        <w:t xml:space="preserve"> </w:t>
      </w:r>
      <w:hyperlink r:id="rId10" w:history="1">
        <w:r w:rsidRPr="002406E7">
          <w:rPr>
            <w:rStyle w:val="Hyperlink"/>
            <w:rFonts w:cs="Arial"/>
            <w:sz w:val="16"/>
            <w:szCs w:val="16"/>
            <w:lang w:val="de-DE"/>
          </w:rPr>
          <w:t>www.emcdda.europa.eu/edr2014</w:t>
        </w:r>
      </w:hyperlink>
      <w:r w:rsidRPr="002406E7">
        <w:rPr>
          <w:rFonts w:ascii="Arial" w:hAnsi="Arial" w:cs="Arial"/>
          <w:sz w:val="16"/>
          <w:szCs w:val="16"/>
          <w:lang w:val="de-DE"/>
        </w:rPr>
        <w:t>. D</w:t>
      </w:r>
      <w:r w:rsidR="00C11D86" w:rsidRPr="002406E7">
        <w:rPr>
          <w:rFonts w:ascii="Arial" w:hAnsi="Arial" w:cs="Arial"/>
          <w:sz w:val="16"/>
          <w:szCs w:val="16"/>
          <w:lang w:val="de-DE"/>
        </w:rPr>
        <w:t xml:space="preserve">ie in dem Bericht veröffentlichten Daten beziehen sich auf das </w:t>
      </w:r>
      <w:r w:rsidR="0034186C" w:rsidRPr="002406E7">
        <w:rPr>
          <w:rFonts w:ascii="Arial" w:hAnsi="Arial" w:cs="Arial"/>
          <w:sz w:val="16"/>
          <w:szCs w:val="16"/>
          <w:lang w:val="de-DE"/>
        </w:rPr>
        <w:t>Jahr </w:t>
      </w:r>
      <w:r w:rsidRPr="002406E7">
        <w:rPr>
          <w:rFonts w:ascii="Arial" w:hAnsi="Arial" w:cs="Arial"/>
          <w:sz w:val="16"/>
          <w:szCs w:val="16"/>
          <w:lang w:val="de-DE"/>
        </w:rPr>
        <w:t xml:space="preserve">2012 </w:t>
      </w:r>
      <w:r w:rsidR="00C11D86" w:rsidRPr="002406E7">
        <w:rPr>
          <w:rFonts w:ascii="Arial" w:hAnsi="Arial" w:cs="Arial"/>
          <w:sz w:val="16"/>
          <w:szCs w:val="16"/>
          <w:lang w:val="de-DE"/>
        </w:rPr>
        <w:t>bzw. auf das letzte verfügbare Jahr</w:t>
      </w:r>
      <w:r w:rsidRPr="002406E7">
        <w:rPr>
          <w:rFonts w:ascii="Arial" w:hAnsi="Arial" w:cs="Arial"/>
          <w:sz w:val="16"/>
          <w:szCs w:val="16"/>
          <w:lang w:val="de-DE"/>
        </w:rPr>
        <w:t xml:space="preserve">. </w:t>
      </w:r>
      <w:r w:rsidR="00C11D86" w:rsidRPr="002406E7">
        <w:rPr>
          <w:rFonts w:ascii="Arial" w:hAnsi="Arial" w:cs="Arial"/>
          <w:sz w:val="16"/>
          <w:szCs w:val="16"/>
          <w:lang w:val="de-DE"/>
        </w:rPr>
        <w:t>Die in dieser Pressemitteilung zitierten Abbildungen sind dem Bericht entnommen</w:t>
      </w:r>
      <w:r w:rsidRPr="002406E7">
        <w:rPr>
          <w:rFonts w:ascii="Arial" w:hAnsi="Arial" w:cs="Arial"/>
          <w:sz w:val="16"/>
          <w:szCs w:val="16"/>
          <w:lang w:val="de-DE"/>
        </w:rPr>
        <w:t xml:space="preserve">. </w:t>
      </w:r>
      <w:r w:rsidR="00C11D86" w:rsidRPr="002406E7">
        <w:rPr>
          <w:rFonts w:ascii="Arial" w:hAnsi="Arial" w:cs="Arial"/>
          <w:sz w:val="16"/>
          <w:szCs w:val="16"/>
          <w:lang w:val="de-DE"/>
        </w:rPr>
        <w:t>Zusätzliche Abbildungen u</w:t>
      </w:r>
      <w:r w:rsidRPr="002406E7">
        <w:rPr>
          <w:rFonts w:ascii="Arial" w:hAnsi="Arial" w:cs="Arial"/>
          <w:sz w:val="16"/>
          <w:szCs w:val="16"/>
          <w:lang w:val="de-DE"/>
        </w:rPr>
        <w:t xml:space="preserve">nd </w:t>
      </w:r>
      <w:r w:rsidR="00C11D86" w:rsidRPr="002406E7">
        <w:rPr>
          <w:rFonts w:ascii="Arial" w:hAnsi="Arial" w:cs="Arial"/>
          <w:sz w:val="16"/>
          <w:szCs w:val="16"/>
          <w:lang w:val="de-DE"/>
        </w:rPr>
        <w:t>Tabellen</w:t>
      </w:r>
      <w:r w:rsidR="00F57E96" w:rsidRPr="002406E7">
        <w:rPr>
          <w:rFonts w:ascii="Arial" w:hAnsi="Arial" w:cs="Arial"/>
          <w:sz w:val="16"/>
          <w:szCs w:val="16"/>
          <w:lang w:val="de-DE"/>
        </w:rPr>
        <w:t xml:space="preserve"> </w:t>
      </w:r>
      <w:r w:rsidR="00C11D86" w:rsidRPr="002406E7">
        <w:rPr>
          <w:rFonts w:ascii="Arial" w:hAnsi="Arial" w:cs="Arial"/>
          <w:sz w:val="16"/>
          <w:szCs w:val="16"/>
          <w:lang w:val="de-DE"/>
        </w:rPr>
        <w:t xml:space="preserve">finden sich im </w:t>
      </w:r>
      <w:r w:rsidRPr="002406E7">
        <w:rPr>
          <w:rFonts w:ascii="Arial" w:hAnsi="Arial" w:cs="Arial"/>
          <w:b/>
          <w:sz w:val="16"/>
          <w:szCs w:val="16"/>
          <w:lang w:val="de-DE"/>
        </w:rPr>
        <w:t>Europ</w:t>
      </w:r>
      <w:r w:rsidR="00C11D86" w:rsidRPr="002406E7">
        <w:rPr>
          <w:rFonts w:ascii="Arial" w:hAnsi="Arial" w:cs="Arial"/>
          <w:b/>
          <w:sz w:val="16"/>
          <w:szCs w:val="16"/>
          <w:lang w:val="de-DE"/>
        </w:rPr>
        <w:t>äischen</w:t>
      </w:r>
      <w:r w:rsidRPr="002406E7">
        <w:rPr>
          <w:rFonts w:ascii="Arial" w:hAnsi="Arial" w:cs="Arial"/>
          <w:b/>
          <w:sz w:val="16"/>
          <w:szCs w:val="16"/>
          <w:lang w:val="de-DE"/>
        </w:rPr>
        <w:t xml:space="preserve"> Dr</w:t>
      </w:r>
      <w:r w:rsidR="00C11D86" w:rsidRPr="002406E7">
        <w:rPr>
          <w:rFonts w:ascii="Arial" w:hAnsi="Arial" w:cs="Arial"/>
          <w:b/>
          <w:sz w:val="16"/>
          <w:szCs w:val="16"/>
          <w:lang w:val="de-DE"/>
        </w:rPr>
        <w:t>ogenbericht</w:t>
      </w:r>
      <w:r w:rsidRPr="002406E7">
        <w:rPr>
          <w:rFonts w:ascii="Arial" w:hAnsi="Arial" w:cs="Arial"/>
          <w:b/>
          <w:sz w:val="16"/>
          <w:szCs w:val="16"/>
          <w:lang w:val="de-DE"/>
        </w:rPr>
        <w:t>: Dat</w:t>
      </w:r>
      <w:r w:rsidR="00C11D86" w:rsidRPr="002406E7">
        <w:rPr>
          <w:rFonts w:ascii="Arial" w:hAnsi="Arial" w:cs="Arial"/>
          <w:b/>
          <w:sz w:val="16"/>
          <w:szCs w:val="16"/>
          <w:lang w:val="de-DE"/>
        </w:rPr>
        <w:t>en u</w:t>
      </w:r>
      <w:r w:rsidRPr="002406E7">
        <w:rPr>
          <w:rFonts w:ascii="Arial" w:hAnsi="Arial" w:cs="Arial"/>
          <w:b/>
          <w:sz w:val="16"/>
          <w:szCs w:val="16"/>
          <w:lang w:val="de-DE"/>
        </w:rPr>
        <w:t xml:space="preserve">nd </w:t>
      </w:r>
      <w:r w:rsidR="00C11D86" w:rsidRPr="002406E7">
        <w:rPr>
          <w:rFonts w:ascii="Arial" w:hAnsi="Arial" w:cs="Arial"/>
          <w:b/>
          <w:sz w:val="16"/>
          <w:szCs w:val="16"/>
          <w:lang w:val="de-DE"/>
        </w:rPr>
        <w:t>S</w:t>
      </w:r>
      <w:r w:rsidRPr="002406E7">
        <w:rPr>
          <w:rFonts w:ascii="Arial" w:hAnsi="Arial" w:cs="Arial"/>
          <w:b/>
          <w:sz w:val="16"/>
          <w:szCs w:val="16"/>
          <w:lang w:val="de-DE"/>
        </w:rPr>
        <w:t>tatisti</w:t>
      </w:r>
      <w:r w:rsidR="00C11D86" w:rsidRPr="002406E7">
        <w:rPr>
          <w:rFonts w:ascii="Arial" w:hAnsi="Arial" w:cs="Arial"/>
          <w:b/>
          <w:sz w:val="16"/>
          <w:szCs w:val="16"/>
          <w:lang w:val="de-DE"/>
        </w:rPr>
        <w:t>ken</w:t>
      </w:r>
      <w:r w:rsidR="00034352" w:rsidRPr="002406E7">
        <w:rPr>
          <w:rFonts w:ascii="Arial" w:hAnsi="Arial" w:cs="Arial"/>
          <w:b/>
          <w:sz w:val="16"/>
          <w:szCs w:val="16"/>
          <w:lang w:val="de-DE"/>
        </w:rPr>
        <w:t xml:space="preserve"> </w:t>
      </w:r>
      <w:r w:rsidR="00034352" w:rsidRPr="002406E7">
        <w:rPr>
          <w:rFonts w:ascii="Arial" w:hAnsi="Arial" w:cs="Arial"/>
          <w:i/>
          <w:sz w:val="16"/>
          <w:szCs w:val="16"/>
          <w:lang w:val="de-DE"/>
        </w:rPr>
        <w:t>(European Drug Report: Data and statistics)</w:t>
      </w:r>
      <w:r w:rsidRPr="002406E7">
        <w:rPr>
          <w:rFonts w:ascii="Arial" w:hAnsi="Arial" w:cs="Arial"/>
          <w:sz w:val="16"/>
          <w:szCs w:val="16"/>
          <w:lang w:val="de-DE"/>
        </w:rPr>
        <w:t xml:space="preserve"> </w:t>
      </w:r>
      <w:hyperlink r:id="rId11" w:history="1">
        <w:r w:rsidRPr="002406E7">
          <w:rPr>
            <w:rStyle w:val="Hyperlink"/>
            <w:rFonts w:cs="Arial"/>
            <w:sz w:val="16"/>
            <w:szCs w:val="16"/>
            <w:lang w:val="de-DE"/>
          </w:rPr>
          <w:t>www.emcdda.europa.eu/data</w:t>
        </w:r>
      </w:hyperlink>
    </w:p>
    <w:p w:rsidR="00E52320" w:rsidRPr="005853B8" w:rsidRDefault="00E52320" w:rsidP="003C2E9B">
      <w:pPr>
        <w:spacing w:after="0"/>
        <w:rPr>
          <w:rFonts w:ascii="Arial" w:hAnsi="Arial" w:cs="Arial"/>
          <w:sz w:val="16"/>
          <w:szCs w:val="16"/>
          <w:lang w:val="de-DE"/>
        </w:rPr>
      </w:pPr>
      <w:r w:rsidRPr="005853B8">
        <w:rPr>
          <w:rFonts w:ascii="Arial" w:hAnsi="Arial" w:cs="Arial"/>
          <w:sz w:val="16"/>
          <w:szCs w:val="16"/>
          <w:lang w:val="de-DE"/>
        </w:rPr>
        <w:t>(</w:t>
      </w:r>
      <w:r w:rsidRPr="005853B8">
        <w:rPr>
          <w:rFonts w:ascii="Arial" w:hAnsi="Arial" w:cs="Arial"/>
          <w:sz w:val="16"/>
          <w:szCs w:val="16"/>
          <w:vertAlign w:val="superscript"/>
          <w:lang w:val="de-DE"/>
        </w:rPr>
        <w:t>2</w:t>
      </w:r>
      <w:r w:rsidRPr="005853B8">
        <w:rPr>
          <w:rFonts w:ascii="Arial" w:hAnsi="Arial" w:cs="Arial"/>
          <w:sz w:val="16"/>
          <w:szCs w:val="16"/>
          <w:lang w:val="de-DE"/>
        </w:rPr>
        <w:t xml:space="preserve">) </w:t>
      </w:r>
      <w:r w:rsidR="00C11D86" w:rsidRPr="005853B8">
        <w:rPr>
          <w:rFonts w:ascii="Arial" w:hAnsi="Arial" w:cs="Arial"/>
          <w:sz w:val="16"/>
          <w:szCs w:val="16"/>
          <w:lang w:val="de-DE"/>
        </w:rPr>
        <w:t>Aufgrund unterschiedlicher Meldeverfahren und -</w:t>
      </w:r>
      <w:r w:rsidRPr="005853B8">
        <w:rPr>
          <w:rFonts w:ascii="Arial" w:hAnsi="Arial" w:cs="Arial"/>
          <w:sz w:val="16"/>
          <w:szCs w:val="16"/>
          <w:lang w:val="de-DE"/>
        </w:rPr>
        <w:t>method</w:t>
      </w:r>
      <w:r w:rsidR="0099062B" w:rsidRPr="005853B8">
        <w:rPr>
          <w:rFonts w:ascii="Arial" w:hAnsi="Arial" w:cs="Arial"/>
          <w:sz w:val="16"/>
          <w:szCs w:val="16"/>
          <w:lang w:val="de-DE"/>
        </w:rPr>
        <w:t>ik</w:t>
      </w:r>
      <w:r w:rsidR="00C11D86" w:rsidRPr="005853B8">
        <w:rPr>
          <w:rFonts w:ascii="Arial" w:hAnsi="Arial" w:cs="Arial"/>
          <w:sz w:val="16"/>
          <w:szCs w:val="16"/>
          <w:lang w:val="de-DE"/>
        </w:rPr>
        <w:t>en</w:t>
      </w:r>
      <w:r w:rsidRPr="005853B8">
        <w:rPr>
          <w:rFonts w:ascii="Arial" w:hAnsi="Arial" w:cs="Arial"/>
          <w:sz w:val="16"/>
          <w:szCs w:val="16"/>
          <w:lang w:val="de-DE"/>
        </w:rPr>
        <w:t xml:space="preserve"> </w:t>
      </w:r>
      <w:r w:rsidR="00C11D86" w:rsidRPr="005853B8">
        <w:rPr>
          <w:rFonts w:ascii="Arial" w:hAnsi="Arial" w:cs="Arial"/>
          <w:sz w:val="16"/>
          <w:szCs w:val="16"/>
          <w:lang w:val="de-DE"/>
        </w:rPr>
        <w:t xml:space="preserve">ist beim </w:t>
      </w:r>
      <w:r w:rsidR="0099062B" w:rsidRPr="005853B8">
        <w:rPr>
          <w:rFonts w:ascii="Arial" w:hAnsi="Arial" w:cs="Arial"/>
          <w:sz w:val="16"/>
          <w:szCs w:val="16"/>
          <w:lang w:val="de-DE"/>
        </w:rPr>
        <w:t>V</w:t>
      </w:r>
      <w:r w:rsidR="00C11D86" w:rsidRPr="005853B8">
        <w:rPr>
          <w:rFonts w:ascii="Arial" w:hAnsi="Arial" w:cs="Arial"/>
          <w:sz w:val="16"/>
          <w:szCs w:val="16"/>
          <w:lang w:val="de-DE"/>
        </w:rPr>
        <w:t xml:space="preserve">ergleich </w:t>
      </w:r>
      <w:r w:rsidR="0099062B" w:rsidRPr="005853B8">
        <w:rPr>
          <w:rFonts w:ascii="Arial" w:hAnsi="Arial" w:cs="Arial"/>
          <w:sz w:val="16"/>
          <w:szCs w:val="16"/>
          <w:lang w:val="de-DE"/>
        </w:rPr>
        <w:t xml:space="preserve">zwischen einzelnen Ländern </w:t>
      </w:r>
      <w:r w:rsidR="00C11D86" w:rsidRPr="005853B8">
        <w:rPr>
          <w:rFonts w:ascii="Arial" w:hAnsi="Arial" w:cs="Arial"/>
          <w:sz w:val="16"/>
          <w:szCs w:val="16"/>
          <w:lang w:val="de-DE"/>
        </w:rPr>
        <w:t>Vorsicht geboten</w:t>
      </w:r>
      <w:r w:rsidRPr="005853B8">
        <w:rPr>
          <w:rFonts w:ascii="Arial" w:hAnsi="Arial" w:cs="Arial"/>
          <w:sz w:val="16"/>
          <w:szCs w:val="16"/>
          <w:lang w:val="de-DE"/>
        </w:rPr>
        <w:t>.</w:t>
      </w:r>
    </w:p>
    <w:p w:rsidR="003C2E9B" w:rsidRPr="005853B8" w:rsidRDefault="003C2E9B" w:rsidP="003C2E9B">
      <w:pPr>
        <w:spacing w:after="0"/>
        <w:rPr>
          <w:rFonts w:ascii="Arial" w:hAnsi="Arial" w:cs="Arial"/>
          <w:sz w:val="16"/>
          <w:szCs w:val="16"/>
          <w:lang w:val="de-DE"/>
        </w:rPr>
      </w:pPr>
      <w:r w:rsidRPr="005853B8">
        <w:rPr>
          <w:rFonts w:ascii="Arial" w:hAnsi="Arial" w:cs="Arial"/>
          <w:sz w:val="16"/>
          <w:szCs w:val="16"/>
          <w:lang w:val="de-DE"/>
        </w:rPr>
        <w:t>(</w:t>
      </w:r>
      <w:r w:rsidR="00E52320" w:rsidRPr="005853B8">
        <w:rPr>
          <w:rFonts w:ascii="Arial" w:hAnsi="Arial" w:cs="Arial"/>
          <w:sz w:val="16"/>
          <w:szCs w:val="16"/>
          <w:vertAlign w:val="superscript"/>
          <w:lang w:val="de-DE"/>
        </w:rPr>
        <w:t>3</w:t>
      </w:r>
      <w:r w:rsidRPr="005853B8">
        <w:rPr>
          <w:rFonts w:ascii="Arial" w:hAnsi="Arial" w:cs="Arial"/>
          <w:sz w:val="16"/>
          <w:szCs w:val="16"/>
          <w:lang w:val="de-DE"/>
        </w:rPr>
        <w:t xml:space="preserve">) </w:t>
      </w:r>
      <w:hyperlink r:id="rId12" w:history="1">
        <w:r w:rsidRPr="005853B8">
          <w:rPr>
            <w:rStyle w:val="Hyperlink"/>
            <w:rFonts w:cs="Arial"/>
            <w:sz w:val="16"/>
            <w:szCs w:val="16"/>
            <w:lang w:val="de-DE"/>
          </w:rPr>
          <w:t>www.eurosurveillance.org/ViewArticle.aspx?ArticleId=20648</w:t>
        </w:r>
      </w:hyperlink>
    </w:p>
    <w:p w:rsidR="003C2E9B" w:rsidRPr="005853B8" w:rsidRDefault="003C2E9B" w:rsidP="003C2E9B">
      <w:pPr>
        <w:spacing w:after="0"/>
        <w:rPr>
          <w:rFonts w:ascii="Arial" w:hAnsi="Arial" w:cs="Arial"/>
          <w:sz w:val="16"/>
          <w:szCs w:val="16"/>
          <w:lang w:val="de-DE"/>
        </w:rPr>
      </w:pPr>
      <w:r w:rsidRPr="005853B8">
        <w:rPr>
          <w:rFonts w:ascii="Arial" w:hAnsi="Arial" w:cs="Arial"/>
          <w:sz w:val="16"/>
          <w:szCs w:val="16"/>
          <w:lang w:val="de-DE"/>
        </w:rPr>
        <w:t>(</w:t>
      </w:r>
      <w:r w:rsidR="00E52320" w:rsidRPr="005853B8">
        <w:rPr>
          <w:rFonts w:ascii="Arial" w:hAnsi="Arial" w:cs="Arial"/>
          <w:sz w:val="16"/>
          <w:szCs w:val="16"/>
          <w:vertAlign w:val="superscript"/>
          <w:lang w:val="de-DE"/>
        </w:rPr>
        <w:t>4</w:t>
      </w:r>
      <w:r w:rsidRPr="005853B8">
        <w:rPr>
          <w:rFonts w:ascii="Arial" w:hAnsi="Arial" w:cs="Arial"/>
          <w:sz w:val="16"/>
          <w:szCs w:val="16"/>
          <w:lang w:val="de-DE"/>
        </w:rPr>
        <w:t xml:space="preserve">) </w:t>
      </w:r>
      <w:hyperlink r:id="rId13" w:history="1">
        <w:r w:rsidRPr="005853B8">
          <w:rPr>
            <w:rStyle w:val="Hyperlink"/>
            <w:rFonts w:cs="Arial"/>
            <w:sz w:val="16"/>
            <w:szCs w:val="16"/>
            <w:lang w:val="de-DE"/>
          </w:rPr>
          <w:t>www.emcdda.europa.eu/publications/emcdda-papers/exploring-methamphetamine-trends-in-Europe</w:t>
        </w:r>
      </w:hyperlink>
    </w:p>
    <w:p w:rsidR="003C2E9B" w:rsidRPr="005853B8" w:rsidRDefault="003C2E9B" w:rsidP="003C2E9B">
      <w:pPr>
        <w:spacing w:after="0"/>
        <w:rPr>
          <w:rFonts w:ascii="Arial" w:hAnsi="Arial" w:cs="Arial"/>
          <w:sz w:val="16"/>
          <w:szCs w:val="16"/>
          <w:lang w:val="de-DE"/>
        </w:rPr>
      </w:pPr>
      <w:r w:rsidRPr="005853B8">
        <w:rPr>
          <w:rFonts w:ascii="Arial" w:hAnsi="Arial" w:cs="Arial"/>
          <w:sz w:val="16"/>
          <w:szCs w:val="16"/>
          <w:lang w:val="de-DE"/>
        </w:rPr>
        <w:t>(</w:t>
      </w:r>
      <w:r w:rsidR="00E52320" w:rsidRPr="005853B8">
        <w:rPr>
          <w:rFonts w:ascii="Arial" w:hAnsi="Arial" w:cs="Arial"/>
          <w:sz w:val="16"/>
          <w:szCs w:val="16"/>
          <w:vertAlign w:val="superscript"/>
          <w:lang w:val="de-DE"/>
        </w:rPr>
        <w:t>5</w:t>
      </w:r>
      <w:r w:rsidRPr="005853B8">
        <w:rPr>
          <w:rFonts w:ascii="Arial" w:hAnsi="Arial" w:cs="Arial"/>
          <w:sz w:val="16"/>
          <w:szCs w:val="16"/>
          <w:lang w:val="de-DE"/>
        </w:rPr>
        <w:t xml:space="preserve">) </w:t>
      </w:r>
      <w:hyperlink r:id="rId14" w:history="1">
        <w:r w:rsidRPr="005853B8">
          <w:rPr>
            <w:rStyle w:val="Hyperlink"/>
            <w:rFonts w:cs="Arial"/>
            <w:sz w:val="16"/>
            <w:szCs w:val="16"/>
            <w:lang w:val="de-DE"/>
          </w:rPr>
          <w:t>www.emcdda.europa.eu/news/2014/europol-emcdda1</w:t>
        </w:r>
      </w:hyperlink>
    </w:p>
    <w:p w:rsidR="003C2E9B" w:rsidRPr="005853B8" w:rsidRDefault="003C2E9B" w:rsidP="003C2E9B">
      <w:pPr>
        <w:spacing w:after="0"/>
        <w:rPr>
          <w:rFonts w:ascii="Arial" w:hAnsi="Arial" w:cs="Arial"/>
          <w:sz w:val="16"/>
          <w:szCs w:val="16"/>
          <w:lang w:val="de-DE"/>
        </w:rPr>
      </w:pPr>
      <w:r w:rsidRPr="005853B8">
        <w:rPr>
          <w:rFonts w:ascii="Arial" w:hAnsi="Arial" w:cs="Arial"/>
          <w:sz w:val="16"/>
          <w:szCs w:val="16"/>
          <w:lang w:val="de-DE"/>
        </w:rPr>
        <w:t>(</w:t>
      </w:r>
      <w:r w:rsidR="00E52320" w:rsidRPr="005853B8">
        <w:rPr>
          <w:rFonts w:ascii="Arial" w:hAnsi="Arial" w:cs="Arial"/>
          <w:sz w:val="16"/>
          <w:szCs w:val="16"/>
          <w:vertAlign w:val="superscript"/>
          <w:lang w:val="de-DE"/>
        </w:rPr>
        <w:t>6</w:t>
      </w:r>
      <w:r w:rsidRPr="005853B8">
        <w:rPr>
          <w:rFonts w:ascii="Arial" w:hAnsi="Arial" w:cs="Arial"/>
          <w:sz w:val="16"/>
          <w:szCs w:val="16"/>
          <w:lang w:val="de-DE"/>
        </w:rPr>
        <w:t xml:space="preserve">) </w:t>
      </w:r>
      <w:hyperlink r:id="rId15" w:history="1">
        <w:r w:rsidRPr="005853B8">
          <w:rPr>
            <w:rStyle w:val="Hyperlink"/>
            <w:rFonts w:cs="Arial"/>
            <w:sz w:val="16"/>
            <w:szCs w:val="16"/>
            <w:lang w:val="de-DE"/>
          </w:rPr>
          <w:t>www.emcdda.europa.eu/publications/implementation-reports/2013</w:t>
        </w:r>
      </w:hyperlink>
    </w:p>
    <w:p w:rsidR="003C2E9B" w:rsidRPr="005853B8" w:rsidRDefault="003C2E9B" w:rsidP="00224F85">
      <w:pPr>
        <w:spacing w:after="0"/>
        <w:rPr>
          <w:lang w:val="de-DE"/>
        </w:rPr>
      </w:pPr>
      <w:r w:rsidRPr="005853B8">
        <w:rPr>
          <w:rFonts w:ascii="Arial" w:hAnsi="Arial" w:cs="Arial"/>
          <w:sz w:val="16"/>
          <w:szCs w:val="16"/>
          <w:lang w:val="de-DE"/>
        </w:rPr>
        <w:t>(</w:t>
      </w:r>
      <w:r w:rsidR="00E52320" w:rsidRPr="005853B8">
        <w:rPr>
          <w:rFonts w:ascii="Arial" w:hAnsi="Arial" w:cs="Arial"/>
          <w:sz w:val="16"/>
          <w:szCs w:val="16"/>
          <w:vertAlign w:val="superscript"/>
          <w:lang w:val="de-DE"/>
        </w:rPr>
        <w:t>7</w:t>
      </w:r>
      <w:r w:rsidRPr="005853B8">
        <w:rPr>
          <w:rFonts w:ascii="Arial" w:hAnsi="Arial" w:cs="Arial"/>
          <w:sz w:val="16"/>
          <w:szCs w:val="16"/>
          <w:lang w:val="de-DE"/>
        </w:rPr>
        <w:t xml:space="preserve">) </w:t>
      </w:r>
      <w:hyperlink r:id="rId16" w:history="1">
        <w:r w:rsidRPr="005853B8">
          <w:rPr>
            <w:rStyle w:val="Hyperlink"/>
            <w:rFonts w:cs="Arial"/>
            <w:sz w:val="16"/>
            <w:szCs w:val="16"/>
            <w:lang w:val="de-DE"/>
          </w:rPr>
          <w:t>http://ec.europa.eu/public_opinion/flash/fl_330_en.pdf</w:t>
        </w:r>
      </w:hyperlink>
      <w:bookmarkStart w:id="0" w:name="_GoBack"/>
      <w:bookmarkEnd w:id="0"/>
    </w:p>
    <w:sectPr w:rsidR="003C2E9B" w:rsidRPr="005853B8" w:rsidSect="008B76B8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1134" w:right="1276" w:bottom="993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EB" w:rsidRDefault="00E73BEB" w:rsidP="009A28FB">
      <w:pPr>
        <w:spacing w:after="0" w:line="240" w:lineRule="auto"/>
      </w:pPr>
      <w:r>
        <w:separator/>
      </w:r>
    </w:p>
  </w:endnote>
  <w:endnote w:type="continuationSeparator" w:id="0">
    <w:p w:rsidR="00E73BEB" w:rsidRDefault="00E73BEB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61"/>
      <w:gridCol w:w="2477"/>
    </w:tblGrid>
    <w:tr w:rsidR="00AB5EE0" w:rsidTr="00D37865">
      <w:tc>
        <w:tcPr>
          <w:tcW w:w="1444" w:type="dxa"/>
        </w:tcPr>
        <w:p w:rsidR="00AB5EE0" w:rsidRDefault="002406E7" w:rsidP="00D37865">
          <w:pPr>
            <w:pStyle w:val="newsCoordinates"/>
          </w:pPr>
          <w:r>
            <w:rPr>
              <w:noProof/>
              <w:lang w:val="fr-LU" w:eastAsia="fr-LU"/>
            </w:rPr>
            <w:pict>
              <v:line id="Straight Connector 14" o:spid="_x0000_s4098" style="position:absolute;left:0;text-align:left;flip:x;z-index:-251653120;visibility:visible;mso-position-horizontal-relative:page;mso-position-vertical-relative:page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<w10:wrap anchorx="page" anchory="page"/>
              </v:line>
            </w:pict>
          </w:r>
          <w:r w:rsidR="00AB5EE0" w:rsidRPr="006C0688">
            <w:rPr>
              <w:noProof/>
              <w:lang w:eastAsia="en-GB"/>
            </w:rPr>
            <w:t>www.emcdda.europa.eu/edr2014</w:t>
          </w:r>
        </w:p>
      </w:tc>
      <w:tc>
        <w:tcPr>
          <w:tcW w:w="3294" w:type="dxa"/>
          <w:vAlign w:val="bottom"/>
        </w:tcPr>
        <w:p w:rsidR="00AB5EE0" w:rsidRDefault="00AB5EE0" w:rsidP="00BF1E3B">
          <w:pPr>
            <w:pStyle w:val="newsReference"/>
            <w:jc w:val="right"/>
          </w:pPr>
        </w:p>
      </w:tc>
    </w:tr>
  </w:tbl>
  <w:p w:rsidR="00AB5EE0" w:rsidRDefault="00AB5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604"/>
      <w:gridCol w:w="10604"/>
    </w:tblGrid>
    <w:tr w:rsidR="00C4695B" w:rsidTr="00C1737B">
      <w:tc>
        <w:tcPr>
          <w:tcW w:w="7196" w:type="dxa"/>
        </w:tcPr>
        <w:tbl>
          <w:tblPr>
            <w:tblStyle w:val="TableGrid"/>
            <w:tblW w:w="104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196"/>
            <w:gridCol w:w="3294"/>
          </w:tblGrid>
          <w:tr w:rsidR="00C4695B" w:rsidRPr="00117572" w:rsidTr="00AF1923">
            <w:tc>
              <w:tcPr>
                <w:tcW w:w="7196" w:type="dxa"/>
              </w:tcPr>
              <w:p w:rsidR="00C4695B" w:rsidRPr="000A1A43" w:rsidRDefault="00C4695B" w:rsidP="00AF1923">
                <w:pPr>
                  <w:pStyle w:val="newsCoordinates"/>
                  <w:rPr>
                    <w:lang w:val="de-DE"/>
                  </w:rPr>
                </w:pPr>
                <w:r w:rsidRPr="000A1A43">
                  <w:rPr>
                    <w:lang w:val="de-DE"/>
                  </w:rPr>
                  <w:t>Kontakt: Kathy Robertson, Presse- und Öffentlichkeitsarbeit</w:t>
                </w:r>
                <w:r w:rsidR="002406E7">
                  <w:rPr>
                    <w:noProof/>
                    <w:lang w:val="fr-LU" w:eastAsia="fr-LU"/>
                  </w:rPr>
                  <w:pict>
                    <v:line id="Straight Connector 4" o:spid="_x0000_s4097" style="position:absolute;left:0;text-align:left;z-index:-251649024;visibility:visible;mso-position-horizontal-relative:page;mso-position-vertical-relative:page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  <w10:wrap anchorx="page" anchory="page"/>
                    </v:line>
                  </w:pict>
                </w:r>
                <w:r w:rsidRPr="000A1A43">
                  <w:rPr>
                    <w:lang w:val="de-DE"/>
                  </w:rPr>
                  <w:t xml:space="preserve"> </w:t>
                </w:r>
              </w:p>
              <w:p w:rsidR="00C4695B" w:rsidRPr="00AD6931" w:rsidRDefault="00C4695B" w:rsidP="00AF1923">
                <w:pPr>
                  <w:pStyle w:val="newsCoordinates"/>
                  <w:rPr>
                    <w:lang w:val="pt-PT"/>
                  </w:rPr>
                </w:pPr>
                <w:r w:rsidRPr="00AD6931">
                  <w:rPr>
                    <w:lang w:val="pt-PT"/>
                  </w:rPr>
                  <w:t>Praça Europa 1, Cais do Sodré, 1249-289 Lissabon, Portugal</w:t>
                </w:r>
              </w:p>
              <w:p w:rsidR="00C4695B" w:rsidRPr="00117572" w:rsidRDefault="00C4695B" w:rsidP="00AF1923">
                <w:pPr>
                  <w:pStyle w:val="newsCoordinates"/>
                </w:pPr>
                <w:r w:rsidRPr="00117572">
                  <w:t xml:space="preserve">Tel. (351) 211 21 02 00 </w:t>
                </w:r>
                <w:r w:rsidRPr="00117572">
                  <w:rPr>
                    <w:sz w:val="18"/>
                  </w:rPr>
                  <w:t xml:space="preserve">I </w:t>
                </w:r>
                <w:r w:rsidRPr="00117572">
                  <w:t xml:space="preserve">press@emcdda.europa.eu </w:t>
                </w:r>
                <w:r w:rsidRPr="00117572">
                  <w:rPr>
                    <w:sz w:val="18"/>
                  </w:rPr>
                  <w:t>I</w:t>
                </w:r>
                <w:r w:rsidRPr="00117572">
                  <w:t xml:space="preserve"> emcdda.europa.eu</w:t>
                </w:r>
              </w:p>
            </w:tc>
            <w:tc>
              <w:tcPr>
                <w:tcW w:w="3294" w:type="dxa"/>
                <w:vAlign w:val="bottom"/>
              </w:tcPr>
              <w:p w:rsidR="00C4695B" w:rsidRPr="00117572" w:rsidRDefault="00C4695B" w:rsidP="00C4695B">
                <w:pPr>
                  <w:pStyle w:val="newsReference"/>
                  <w:jc w:val="right"/>
                </w:pPr>
                <w:r w:rsidRPr="00117572">
                  <w:t xml:space="preserve">DE — Nr. </w:t>
                </w:r>
                <w:r>
                  <w:t>3</w:t>
                </w:r>
                <w:r w:rsidRPr="00117572">
                  <w:t>/</w:t>
                </w:r>
                <w:r>
                  <w:t>2014</w:t>
                </w:r>
              </w:p>
            </w:tc>
          </w:tr>
        </w:tbl>
        <w:p w:rsidR="00C4695B" w:rsidRDefault="00C4695B"/>
      </w:tc>
      <w:tc>
        <w:tcPr>
          <w:tcW w:w="3294" w:type="dxa"/>
        </w:tcPr>
        <w:tbl>
          <w:tblPr>
            <w:tblStyle w:val="TableGrid"/>
            <w:tblW w:w="104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196"/>
            <w:gridCol w:w="3294"/>
          </w:tblGrid>
          <w:tr w:rsidR="00C4695B" w:rsidRPr="00117572" w:rsidTr="00AF1923">
            <w:tc>
              <w:tcPr>
                <w:tcW w:w="7196" w:type="dxa"/>
              </w:tcPr>
              <w:p w:rsidR="00C4695B" w:rsidRPr="00117572" w:rsidRDefault="00C4695B" w:rsidP="00AF1923">
                <w:pPr>
                  <w:pStyle w:val="newsCoordinates"/>
                </w:pPr>
              </w:p>
            </w:tc>
            <w:tc>
              <w:tcPr>
                <w:tcW w:w="3294" w:type="dxa"/>
                <w:vAlign w:val="bottom"/>
              </w:tcPr>
              <w:p w:rsidR="00C4695B" w:rsidRPr="00117572" w:rsidRDefault="00C4695B" w:rsidP="00AF1923">
                <w:pPr>
                  <w:pStyle w:val="newsReference"/>
                  <w:jc w:val="right"/>
                </w:pPr>
                <w:r w:rsidRPr="00117572">
                  <w:t>DE — Nr. N/YYYY</w:t>
                </w:r>
              </w:p>
            </w:tc>
          </w:tr>
        </w:tbl>
        <w:p w:rsidR="00C4695B" w:rsidRDefault="00C4695B"/>
      </w:tc>
    </w:tr>
  </w:tbl>
  <w:p w:rsidR="00AB5EE0" w:rsidRDefault="00AB5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EB" w:rsidRDefault="00E73BEB" w:rsidP="009A28FB">
      <w:pPr>
        <w:spacing w:after="0" w:line="240" w:lineRule="auto"/>
      </w:pPr>
      <w:r>
        <w:separator/>
      </w:r>
    </w:p>
  </w:footnote>
  <w:footnote w:type="continuationSeparator" w:id="0">
    <w:p w:rsidR="00E73BEB" w:rsidRDefault="00E73BEB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AB5EE0" w:rsidTr="00BF1E3B">
      <w:tc>
        <w:tcPr>
          <w:tcW w:w="7196" w:type="dxa"/>
        </w:tcPr>
        <w:p w:rsidR="00AB5EE0" w:rsidRPr="00224F85" w:rsidRDefault="002406E7" w:rsidP="009D1750">
          <w:pPr>
            <w:pStyle w:val="newsEmbargo"/>
            <w:rPr>
              <w:lang w:val="de-DE"/>
            </w:rPr>
          </w:pPr>
          <w:r>
            <w:rPr>
              <w:noProof/>
              <w:lang w:val="fr-LU" w:eastAsia="fr-LU"/>
            </w:rPr>
            <w:pict>
              <v:line id="Straight Connector 11" o:spid="_x0000_s4099" style="position:absolute;left:0;text-align:left;z-index:-251655168;visibility:visible;mso-position-horizontal-relative:page;mso-position-vertical-relative:page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<w10:wrap anchorx="page" anchory="page"/>
              </v:line>
            </w:pict>
          </w:r>
          <w:r w:rsidR="00224F85" w:rsidRPr="005853B8">
            <w:rPr>
              <w:b/>
              <w:i/>
              <w:lang w:val="de-DE"/>
            </w:rPr>
            <w:t xml:space="preserve"> </w:t>
          </w:r>
          <w:r w:rsidR="00224F85" w:rsidRPr="00224F85">
            <w:rPr>
              <w:lang w:val="de-DE"/>
            </w:rPr>
            <w:t>Europäische</w:t>
          </w:r>
          <w:r w:rsidR="009D1750">
            <w:rPr>
              <w:lang w:val="de-DE"/>
            </w:rPr>
            <w:t>r</w:t>
          </w:r>
          <w:r w:rsidR="00224F85" w:rsidRPr="00224F85">
            <w:rPr>
              <w:lang w:val="de-DE"/>
            </w:rPr>
            <w:t xml:space="preserve"> Drogenbericht 2014</w:t>
          </w:r>
          <w:r w:rsidR="00AB5EE0" w:rsidRPr="00224F85">
            <w:rPr>
              <w:noProof/>
              <w:lang w:val="de-DE" w:eastAsia="en-GB"/>
            </w:rPr>
            <w:t xml:space="preserve"> </w:t>
          </w:r>
          <w:r w:rsidR="00AB5EE0" w:rsidRPr="00224F85">
            <w:rPr>
              <w:noProof/>
              <w:sz w:val="18"/>
              <w:lang w:val="de-DE" w:eastAsia="en-GB"/>
            </w:rPr>
            <w:t>I</w:t>
          </w:r>
          <w:r w:rsidR="00AB5EE0" w:rsidRPr="00224F85">
            <w:rPr>
              <w:noProof/>
              <w:lang w:val="de-DE" w:eastAsia="en-GB"/>
            </w:rPr>
            <w:t xml:space="preserve"> </w:t>
          </w:r>
          <w:r w:rsidR="00224F85">
            <w:rPr>
              <w:b/>
              <w:color w:val="FF0000"/>
              <w:szCs w:val="24"/>
              <w:lang w:val="de-DE"/>
            </w:rPr>
            <w:t>GESPERRT bis 10 Uhr WEZ/Ortszeit Lissabon</w:t>
          </w:r>
        </w:p>
      </w:tc>
      <w:tc>
        <w:tcPr>
          <w:tcW w:w="3294" w:type="dxa"/>
          <w:vAlign w:val="bottom"/>
        </w:tcPr>
        <w:p w:rsidR="00AB5EE0" w:rsidRDefault="00AB5EE0" w:rsidP="006C0688">
          <w:pPr>
            <w:pStyle w:val="newsReference"/>
            <w:jc w:val="right"/>
          </w:pPr>
          <w:r w:rsidRPr="00CC4FDA">
            <w:t>2</w:t>
          </w:r>
          <w:r>
            <w:t>7.5</w:t>
          </w:r>
          <w:r w:rsidRPr="00CC4FDA">
            <w:t>.201</w:t>
          </w:r>
          <w:r>
            <w:t>4</w:t>
          </w:r>
        </w:p>
      </w:tc>
    </w:tr>
  </w:tbl>
  <w:p w:rsidR="00AB5EE0" w:rsidRDefault="00AB5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A5"/>
    <w:rsid w:val="00014E8E"/>
    <w:rsid w:val="000157FF"/>
    <w:rsid w:val="00034352"/>
    <w:rsid w:val="00036DAA"/>
    <w:rsid w:val="00045CA5"/>
    <w:rsid w:val="000523F6"/>
    <w:rsid w:val="000535B7"/>
    <w:rsid w:val="00067DD3"/>
    <w:rsid w:val="000A1A43"/>
    <w:rsid w:val="000B30FA"/>
    <w:rsid w:val="000C6200"/>
    <w:rsid w:val="000E4A95"/>
    <w:rsid w:val="000E4E81"/>
    <w:rsid w:val="00100BDB"/>
    <w:rsid w:val="00104FCB"/>
    <w:rsid w:val="00105BFC"/>
    <w:rsid w:val="00107C96"/>
    <w:rsid w:val="00114386"/>
    <w:rsid w:val="001161DA"/>
    <w:rsid w:val="00117581"/>
    <w:rsid w:val="001626F9"/>
    <w:rsid w:val="001644C5"/>
    <w:rsid w:val="00174CF4"/>
    <w:rsid w:val="0017713E"/>
    <w:rsid w:val="001800D0"/>
    <w:rsid w:val="00180402"/>
    <w:rsid w:val="0018453A"/>
    <w:rsid w:val="001A3338"/>
    <w:rsid w:val="001A46CB"/>
    <w:rsid w:val="001B0E03"/>
    <w:rsid w:val="001B7748"/>
    <w:rsid w:val="001C795A"/>
    <w:rsid w:val="001D5647"/>
    <w:rsid w:val="001D5C26"/>
    <w:rsid w:val="001D7D99"/>
    <w:rsid w:val="001E2AE8"/>
    <w:rsid w:val="001F2D9F"/>
    <w:rsid w:val="001F6362"/>
    <w:rsid w:val="001F70B4"/>
    <w:rsid w:val="001F70E3"/>
    <w:rsid w:val="00214415"/>
    <w:rsid w:val="00223753"/>
    <w:rsid w:val="00223BCB"/>
    <w:rsid w:val="00224B71"/>
    <w:rsid w:val="00224F85"/>
    <w:rsid w:val="00226030"/>
    <w:rsid w:val="0023109A"/>
    <w:rsid w:val="00231F47"/>
    <w:rsid w:val="002376C3"/>
    <w:rsid w:val="002406E7"/>
    <w:rsid w:val="00251310"/>
    <w:rsid w:val="002557B0"/>
    <w:rsid w:val="002646E4"/>
    <w:rsid w:val="00264D0E"/>
    <w:rsid w:val="002720CC"/>
    <w:rsid w:val="0027252D"/>
    <w:rsid w:val="0028141E"/>
    <w:rsid w:val="002829A4"/>
    <w:rsid w:val="002948E2"/>
    <w:rsid w:val="002A61F7"/>
    <w:rsid w:val="002A70AB"/>
    <w:rsid w:val="002B05CE"/>
    <w:rsid w:val="002B45AC"/>
    <w:rsid w:val="002B4F46"/>
    <w:rsid w:val="0030715A"/>
    <w:rsid w:val="00307E11"/>
    <w:rsid w:val="0032511D"/>
    <w:rsid w:val="0033158E"/>
    <w:rsid w:val="0033412B"/>
    <w:rsid w:val="0034186C"/>
    <w:rsid w:val="00360292"/>
    <w:rsid w:val="0036121D"/>
    <w:rsid w:val="003646B9"/>
    <w:rsid w:val="003664D3"/>
    <w:rsid w:val="00387D02"/>
    <w:rsid w:val="00390751"/>
    <w:rsid w:val="00396C3B"/>
    <w:rsid w:val="003A195C"/>
    <w:rsid w:val="003B41B1"/>
    <w:rsid w:val="003C0395"/>
    <w:rsid w:val="003C2E9B"/>
    <w:rsid w:val="003E7018"/>
    <w:rsid w:val="0040695C"/>
    <w:rsid w:val="004079AB"/>
    <w:rsid w:val="0041185E"/>
    <w:rsid w:val="004126AD"/>
    <w:rsid w:val="004137B0"/>
    <w:rsid w:val="004221D3"/>
    <w:rsid w:val="00422315"/>
    <w:rsid w:val="00424B53"/>
    <w:rsid w:val="004368B3"/>
    <w:rsid w:val="0044111C"/>
    <w:rsid w:val="0044259A"/>
    <w:rsid w:val="00445080"/>
    <w:rsid w:val="004521D9"/>
    <w:rsid w:val="0045468D"/>
    <w:rsid w:val="00460EDA"/>
    <w:rsid w:val="00461B56"/>
    <w:rsid w:val="00466A46"/>
    <w:rsid w:val="00483B86"/>
    <w:rsid w:val="004847FB"/>
    <w:rsid w:val="00494F98"/>
    <w:rsid w:val="00496AFE"/>
    <w:rsid w:val="0049728B"/>
    <w:rsid w:val="004C3028"/>
    <w:rsid w:val="004C6069"/>
    <w:rsid w:val="004D6E0C"/>
    <w:rsid w:val="004F0C61"/>
    <w:rsid w:val="00510C3C"/>
    <w:rsid w:val="00512268"/>
    <w:rsid w:val="00520EF1"/>
    <w:rsid w:val="00533D5A"/>
    <w:rsid w:val="00542CEE"/>
    <w:rsid w:val="005853B8"/>
    <w:rsid w:val="005878D6"/>
    <w:rsid w:val="005A0DC8"/>
    <w:rsid w:val="005A34FA"/>
    <w:rsid w:val="005B05A0"/>
    <w:rsid w:val="005B0882"/>
    <w:rsid w:val="005B1B63"/>
    <w:rsid w:val="005C0E4B"/>
    <w:rsid w:val="005C117D"/>
    <w:rsid w:val="005C4033"/>
    <w:rsid w:val="005C5467"/>
    <w:rsid w:val="005D3EB5"/>
    <w:rsid w:val="005E0BEB"/>
    <w:rsid w:val="006112E5"/>
    <w:rsid w:val="006116D9"/>
    <w:rsid w:val="0061309E"/>
    <w:rsid w:val="00621DCE"/>
    <w:rsid w:val="00623A55"/>
    <w:rsid w:val="0063677C"/>
    <w:rsid w:val="00666A63"/>
    <w:rsid w:val="006C0688"/>
    <w:rsid w:val="006C2BDF"/>
    <w:rsid w:val="006C6531"/>
    <w:rsid w:val="007045E6"/>
    <w:rsid w:val="007204F5"/>
    <w:rsid w:val="007216DE"/>
    <w:rsid w:val="007251E1"/>
    <w:rsid w:val="00730132"/>
    <w:rsid w:val="007634E7"/>
    <w:rsid w:val="00771036"/>
    <w:rsid w:val="00773814"/>
    <w:rsid w:val="00791F09"/>
    <w:rsid w:val="007A7548"/>
    <w:rsid w:val="007B0E03"/>
    <w:rsid w:val="007B1CCD"/>
    <w:rsid w:val="007C645C"/>
    <w:rsid w:val="007C7E47"/>
    <w:rsid w:val="007E45A9"/>
    <w:rsid w:val="00813FB5"/>
    <w:rsid w:val="00820545"/>
    <w:rsid w:val="008216AB"/>
    <w:rsid w:val="008322B5"/>
    <w:rsid w:val="0083560C"/>
    <w:rsid w:val="00841E86"/>
    <w:rsid w:val="00853F17"/>
    <w:rsid w:val="00855B1B"/>
    <w:rsid w:val="008607AE"/>
    <w:rsid w:val="008802FC"/>
    <w:rsid w:val="00881730"/>
    <w:rsid w:val="00892975"/>
    <w:rsid w:val="00893A1B"/>
    <w:rsid w:val="008A6F08"/>
    <w:rsid w:val="008B76B8"/>
    <w:rsid w:val="008C0AF6"/>
    <w:rsid w:val="008C1172"/>
    <w:rsid w:val="008D0D68"/>
    <w:rsid w:val="008D54B3"/>
    <w:rsid w:val="008E4B3A"/>
    <w:rsid w:val="008E781F"/>
    <w:rsid w:val="008F177B"/>
    <w:rsid w:val="008F379B"/>
    <w:rsid w:val="008F399E"/>
    <w:rsid w:val="008F5A33"/>
    <w:rsid w:val="00900A86"/>
    <w:rsid w:val="00902300"/>
    <w:rsid w:val="00916143"/>
    <w:rsid w:val="00930E37"/>
    <w:rsid w:val="009367CA"/>
    <w:rsid w:val="00941060"/>
    <w:rsid w:val="00955F0C"/>
    <w:rsid w:val="00974A27"/>
    <w:rsid w:val="0099062B"/>
    <w:rsid w:val="009A28FB"/>
    <w:rsid w:val="009D1750"/>
    <w:rsid w:val="009D6255"/>
    <w:rsid w:val="009E38E2"/>
    <w:rsid w:val="009F4FB0"/>
    <w:rsid w:val="00A0788A"/>
    <w:rsid w:val="00A16B77"/>
    <w:rsid w:val="00A25959"/>
    <w:rsid w:val="00A311EF"/>
    <w:rsid w:val="00A3254D"/>
    <w:rsid w:val="00A455F4"/>
    <w:rsid w:val="00A661E2"/>
    <w:rsid w:val="00A67C58"/>
    <w:rsid w:val="00A716B8"/>
    <w:rsid w:val="00A80952"/>
    <w:rsid w:val="00A856B7"/>
    <w:rsid w:val="00A8610D"/>
    <w:rsid w:val="00A861FC"/>
    <w:rsid w:val="00AA5D33"/>
    <w:rsid w:val="00AB27FC"/>
    <w:rsid w:val="00AB2D35"/>
    <w:rsid w:val="00AB5EE0"/>
    <w:rsid w:val="00AC31CE"/>
    <w:rsid w:val="00AC5424"/>
    <w:rsid w:val="00AC5A27"/>
    <w:rsid w:val="00AD6931"/>
    <w:rsid w:val="00AD7BFC"/>
    <w:rsid w:val="00AE093C"/>
    <w:rsid w:val="00AE1738"/>
    <w:rsid w:val="00AF10A5"/>
    <w:rsid w:val="00AF13B3"/>
    <w:rsid w:val="00AF259D"/>
    <w:rsid w:val="00B02163"/>
    <w:rsid w:val="00B02CFE"/>
    <w:rsid w:val="00B104DF"/>
    <w:rsid w:val="00B11B73"/>
    <w:rsid w:val="00B12E41"/>
    <w:rsid w:val="00B16D54"/>
    <w:rsid w:val="00B272F1"/>
    <w:rsid w:val="00B34A3F"/>
    <w:rsid w:val="00B51E08"/>
    <w:rsid w:val="00B56ABF"/>
    <w:rsid w:val="00B57464"/>
    <w:rsid w:val="00B61036"/>
    <w:rsid w:val="00B72DD3"/>
    <w:rsid w:val="00B7335C"/>
    <w:rsid w:val="00B835C6"/>
    <w:rsid w:val="00B97BC5"/>
    <w:rsid w:val="00BA1C5B"/>
    <w:rsid w:val="00BB60CF"/>
    <w:rsid w:val="00BC1442"/>
    <w:rsid w:val="00BD4B98"/>
    <w:rsid w:val="00BF1E3B"/>
    <w:rsid w:val="00C07EE4"/>
    <w:rsid w:val="00C11D86"/>
    <w:rsid w:val="00C123B2"/>
    <w:rsid w:val="00C22CEF"/>
    <w:rsid w:val="00C36BC1"/>
    <w:rsid w:val="00C4338E"/>
    <w:rsid w:val="00C4664A"/>
    <w:rsid w:val="00C4695B"/>
    <w:rsid w:val="00C628C4"/>
    <w:rsid w:val="00C63254"/>
    <w:rsid w:val="00C741A0"/>
    <w:rsid w:val="00C874C0"/>
    <w:rsid w:val="00CA2FF5"/>
    <w:rsid w:val="00CB49DA"/>
    <w:rsid w:val="00CC1F19"/>
    <w:rsid w:val="00CC4FDA"/>
    <w:rsid w:val="00CC6A8B"/>
    <w:rsid w:val="00D01335"/>
    <w:rsid w:val="00D03EC6"/>
    <w:rsid w:val="00D1198A"/>
    <w:rsid w:val="00D11C6F"/>
    <w:rsid w:val="00D3312B"/>
    <w:rsid w:val="00D37865"/>
    <w:rsid w:val="00D443D7"/>
    <w:rsid w:val="00D55985"/>
    <w:rsid w:val="00D57367"/>
    <w:rsid w:val="00D62014"/>
    <w:rsid w:val="00D67C19"/>
    <w:rsid w:val="00D77E9E"/>
    <w:rsid w:val="00D8289E"/>
    <w:rsid w:val="00D83F0D"/>
    <w:rsid w:val="00D84AE3"/>
    <w:rsid w:val="00D92A34"/>
    <w:rsid w:val="00DD0B91"/>
    <w:rsid w:val="00DD31BE"/>
    <w:rsid w:val="00E30FB1"/>
    <w:rsid w:val="00E52320"/>
    <w:rsid w:val="00E57C9D"/>
    <w:rsid w:val="00E60755"/>
    <w:rsid w:val="00E643DD"/>
    <w:rsid w:val="00E651BE"/>
    <w:rsid w:val="00E66CCD"/>
    <w:rsid w:val="00E73BEB"/>
    <w:rsid w:val="00E81F3D"/>
    <w:rsid w:val="00E83FC3"/>
    <w:rsid w:val="00EA01A0"/>
    <w:rsid w:val="00EA3B7C"/>
    <w:rsid w:val="00EA6157"/>
    <w:rsid w:val="00EE23CC"/>
    <w:rsid w:val="00EE499B"/>
    <w:rsid w:val="00EF4354"/>
    <w:rsid w:val="00F06CDE"/>
    <w:rsid w:val="00F21CA9"/>
    <w:rsid w:val="00F24096"/>
    <w:rsid w:val="00F414EF"/>
    <w:rsid w:val="00F43615"/>
    <w:rsid w:val="00F47542"/>
    <w:rsid w:val="00F57E96"/>
    <w:rsid w:val="00F605A6"/>
    <w:rsid w:val="00F8481D"/>
    <w:rsid w:val="00FB0613"/>
    <w:rsid w:val="00FB351B"/>
    <w:rsid w:val="00FC0187"/>
    <w:rsid w:val="00FE3590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F57E96"/>
    <w:pPr>
      <w:tabs>
        <w:tab w:val="left" w:pos="5205"/>
      </w:tabs>
      <w:spacing w:before="480" w:after="112" w:line="200" w:lineRule="exact"/>
    </w:pPr>
    <w:rPr>
      <w:rFonts w:ascii="Arial" w:hAnsi="Arial"/>
      <w:caps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307E11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3C2E9B"/>
    <w:pPr>
      <w:spacing w:after="260" w:line="260" w:lineRule="exact"/>
      <w:ind w:right="-285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214415"/>
    <w:pPr>
      <w:ind w:right="-144"/>
    </w:pPr>
    <w:rPr>
      <w:color w:val="auto"/>
      <w:szCs w:val="20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3C2E9B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214415"/>
    <w:rPr>
      <w:rFonts w:ascii="Arial" w:hAnsi="Arial"/>
      <w:color w:val="000000" w:themeColor="text1"/>
      <w:sz w:val="20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szCs w:val="20"/>
      <w:vertAlign w:val="superscript"/>
    </w:rPr>
  </w:style>
  <w:style w:type="paragraph" w:customStyle="1" w:styleId="CarcterCarcter">
    <w:name w:val="Carácter Carácter"/>
    <w:basedOn w:val="Normal"/>
    <w:rsid w:val="0021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E7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0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0157FF"/>
    <w:pPr>
      <w:tabs>
        <w:tab w:val="left" w:pos="5205"/>
      </w:tabs>
      <w:spacing w:before="480" w:after="112" w:line="24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307E11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3C2E9B"/>
    <w:pPr>
      <w:spacing w:after="260" w:line="260" w:lineRule="exact"/>
      <w:ind w:right="-285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214415"/>
    <w:pPr>
      <w:ind w:right="-144"/>
    </w:pPr>
    <w:rPr>
      <w:color w:val="auto"/>
      <w:szCs w:val="20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3C2E9B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214415"/>
    <w:rPr>
      <w:rFonts w:ascii="Arial" w:hAnsi="Arial"/>
      <w:color w:val="000000" w:themeColor="text1"/>
      <w:sz w:val="20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szCs w:val="20"/>
      <w:vertAlign w:val="superscript"/>
    </w:rPr>
  </w:style>
  <w:style w:type="paragraph" w:customStyle="1" w:styleId="CarcterCarcter">
    <w:name w:val="Carácter Carácter"/>
    <w:basedOn w:val="Normal"/>
    <w:rsid w:val="0021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mcdda.europa.eu/publications/emcdda-papers/exploring-methamphetamine-trends-in-Europ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urosurveillance.org/ViewArticle.aspx?ArticleId=2064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c.europa.eu/public_opinion/flash/fl_330_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cdda.europa.eu/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cdda.europa.eu/publications/implementation-reports/2013" TargetMode="External"/><Relationship Id="rId10" Type="http://schemas.openxmlformats.org/officeDocument/2006/relationships/hyperlink" Target="http://www.emcdda.europa.eu/edr201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mcdda.europa.eu/news/2014/europol-emcdd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A0A5-5C8B-4DF0-A275-A026CB32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3170</Words>
  <Characters>18070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News release EN</vt:lpstr>
      <vt:lpstr>News release EN</vt:lpstr>
    </vt:vector>
  </TitlesOfParts>
  <Company>Translation Centre</Company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Translation Centre</dc:creator>
  <cp:lastModifiedBy>Kathryn Robertson</cp:lastModifiedBy>
  <cp:revision>21</cp:revision>
  <cp:lastPrinted>2014-05-19T13:09:00Z</cp:lastPrinted>
  <dcterms:created xsi:type="dcterms:W3CDTF">2014-05-05T08:29:00Z</dcterms:created>
  <dcterms:modified xsi:type="dcterms:W3CDTF">2014-05-19T16:03:00Z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