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6A6A73" w:rsidTr="007920E3">
        <w:trPr>
          <w:trHeight w:val="1695"/>
        </w:trPr>
        <w:tc>
          <w:tcPr>
            <w:tcW w:w="2331" w:type="pct"/>
          </w:tcPr>
          <w:p w:rsidR="00EE23CC" w:rsidRPr="006A6A73" w:rsidRDefault="00EE23CC" w:rsidP="007920E3">
            <w:r w:rsidRPr="00053469">
              <w:rPr>
                <w:noProof/>
                <w:lang w:val="en-GB" w:eastAsia="en-GB"/>
              </w:rPr>
              <w:drawing>
                <wp:inline distT="0" distB="0" distL="0" distR="0">
                  <wp:extent cx="2976635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63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6A6A73" w:rsidRDefault="00EE23CC" w:rsidP="007920E3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6A6A73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6A6A73" w:rsidRDefault="001F70B4" w:rsidP="001F70B4">
            <w:r w:rsidRPr="00053469">
              <w:rPr>
                <w:noProof/>
                <w:lang w:val="en-GB" w:eastAsia="en-GB"/>
              </w:rPr>
              <w:drawing>
                <wp:inline distT="0" distB="0" distL="0" distR="0">
                  <wp:extent cx="7562850" cy="920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CAF" w:rsidRPr="00FE0B76" w:rsidRDefault="00880250" w:rsidP="00FE0B76">
      <w:pPr>
        <w:pStyle w:val="newsTitle"/>
        <w:rPr>
          <w:b/>
        </w:rPr>
      </w:pPr>
      <w:r w:rsidRPr="00FE0B76">
        <w:t xml:space="preserve">наркотиците НА ПРОМЕНЯЩИЯ СЕ ЕВРОПЕЙСКИ ПАЗАР </w:t>
      </w:r>
      <w:r w:rsidRPr="00FE0B76">
        <w:rPr>
          <w:rFonts w:cs="Arial"/>
        </w:rPr>
        <w:t>–</w:t>
      </w:r>
      <w:r w:rsidRPr="00FE0B76">
        <w:t xml:space="preserve"> анализ на EMCDDA, 2014 г.</w:t>
      </w:r>
    </w:p>
    <w:p w:rsidR="00DC5CAF" w:rsidRPr="006A6A73" w:rsidRDefault="0072670E" w:rsidP="00DC5CAF">
      <w:pPr>
        <w:pStyle w:val="newsSubTitle"/>
      </w:pPr>
      <w:r w:rsidRPr="006A6A73">
        <w:t>П</w:t>
      </w:r>
      <w:r w:rsidR="00880250" w:rsidRPr="006A6A73">
        <w:t xml:space="preserve">роблемът с наркотиците в </w:t>
      </w:r>
      <w:r w:rsidR="00D2630F" w:rsidRPr="006A6A73">
        <w:t>Европа</w:t>
      </w:r>
      <w:r w:rsidR="00880250" w:rsidRPr="006A6A73">
        <w:t xml:space="preserve"> „</w:t>
      </w:r>
      <w:r w:rsidR="00D2630F" w:rsidRPr="006A6A73">
        <w:t>се усложнява все повече</w:t>
      </w:r>
      <w:r w:rsidR="00880250" w:rsidRPr="006A6A73">
        <w:t>“</w:t>
      </w:r>
      <w:r w:rsidRPr="006A6A73">
        <w:t xml:space="preserve"> според представения днес Европейски доклад за наркотиците</w:t>
      </w:r>
    </w:p>
    <w:p w:rsidR="00DC5CAF" w:rsidRPr="006A6A73" w:rsidRDefault="00CB25A4" w:rsidP="006D50B5">
      <w:pPr>
        <w:pStyle w:val="newsContent"/>
        <w:ind w:right="-144"/>
      </w:pPr>
      <w:r w:rsidRPr="006A6A73">
        <w:t>(27.5.2014</w:t>
      </w:r>
      <w:r w:rsidR="00FD072D" w:rsidRPr="006A6A73">
        <w:t> г.</w:t>
      </w:r>
      <w:r w:rsidRPr="006A6A73">
        <w:t xml:space="preserve">, </w:t>
      </w:r>
      <w:r w:rsidR="00FD072D" w:rsidRPr="006A6A73">
        <w:t>ЛИСАБОН,</w:t>
      </w:r>
      <w:r w:rsidRPr="006A6A73">
        <w:t xml:space="preserve"> </w:t>
      </w:r>
      <w:r w:rsidR="00D52EA9" w:rsidRPr="00FE0B76">
        <w:rPr>
          <w:b/>
          <w:color w:val="FF0000"/>
        </w:rPr>
        <w:t>ЕМБАРГО</w:t>
      </w:r>
      <w:r w:rsidRPr="00FE0B76">
        <w:rPr>
          <w:b/>
          <w:color w:val="FF0000"/>
        </w:rPr>
        <w:t xml:space="preserve"> 10:00</w:t>
      </w:r>
      <w:r w:rsidR="005C5A0E" w:rsidRPr="00FE0B76">
        <w:rPr>
          <w:b/>
          <w:color w:val="FF0000"/>
        </w:rPr>
        <w:t> ч.</w:t>
      </w:r>
      <w:r w:rsidRPr="00FE0B76">
        <w:rPr>
          <w:b/>
          <w:color w:val="FF0000"/>
        </w:rPr>
        <w:t xml:space="preserve"> </w:t>
      </w:r>
      <w:r w:rsidR="00FD072D" w:rsidRPr="00FE0B76">
        <w:rPr>
          <w:b/>
          <w:iCs/>
          <w:color w:val="FF0000"/>
        </w:rPr>
        <w:t>западноевропейско</w:t>
      </w:r>
      <w:r w:rsidR="00FD072D" w:rsidRPr="00FE0B76">
        <w:rPr>
          <w:b/>
          <w:color w:val="FF0000"/>
        </w:rPr>
        <w:t xml:space="preserve"> </w:t>
      </w:r>
      <w:r w:rsidR="00FD072D" w:rsidRPr="00FE0B76">
        <w:rPr>
          <w:b/>
          <w:iCs/>
          <w:color w:val="FF0000"/>
        </w:rPr>
        <w:t>време</w:t>
      </w:r>
      <w:r w:rsidR="00FD072D" w:rsidRPr="00FE0B76">
        <w:rPr>
          <w:b/>
          <w:color w:val="FF0000"/>
        </w:rPr>
        <w:t>/Лисабон</w:t>
      </w:r>
      <w:r w:rsidRPr="006A6A73">
        <w:t xml:space="preserve">) </w:t>
      </w:r>
      <w:r w:rsidR="0072670E" w:rsidRPr="006A6A73">
        <w:br/>
      </w:r>
      <w:r w:rsidR="00FD072D" w:rsidRPr="006A6A73">
        <w:t xml:space="preserve">Проблемът с наркотиците в Европа </w:t>
      </w:r>
      <w:r w:rsidR="00D2630F" w:rsidRPr="006A6A73">
        <w:t>се усложнява все по</w:t>
      </w:r>
      <w:r w:rsidR="0072670E" w:rsidRPr="006A6A73">
        <w:t xml:space="preserve">вече предвид </w:t>
      </w:r>
      <w:r w:rsidR="00EF76AA" w:rsidRPr="006A6A73">
        <w:t>възникващи</w:t>
      </w:r>
      <w:r w:rsidR="0072670E" w:rsidRPr="006A6A73">
        <w:t xml:space="preserve">те </w:t>
      </w:r>
      <w:r w:rsidR="00C85A2A" w:rsidRPr="00C85A2A">
        <w:rPr>
          <w:lang w:val="ru-RU"/>
        </w:rPr>
        <w:t xml:space="preserve">                            </w:t>
      </w:r>
      <w:r w:rsidR="0072670E" w:rsidRPr="006A6A73">
        <w:t>нови</w:t>
      </w:r>
      <w:r w:rsidR="00D2630F" w:rsidRPr="006A6A73">
        <w:t xml:space="preserve"> предизвикателства, които пораждат опасения за </w:t>
      </w:r>
      <w:r w:rsidR="00EF76AA" w:rsidRPr="006A6A73">
        <w:t>общественото здраве</w:t>
      </w:r>
      <w:r w:rsidRPr="006A6A73">
        <w:t>.</w:t>
      </w:r>
      <w:r w:rsidR="00EF76AA" w:rsidRPr="006A6A73">
        <w:t xml:space="preserve"> Това гласи </w:t>
      </w:r>
      <w:r w:rsidR="00C85A2A" w:rsidRPr="00C85A2A">
        <w:rPr>
          <w:lang w:val="ru-RU"/>
        </w:rPr>
        <w:t xml:space="preserve">                    </w:t>
      </w:r>
      <w:r w:rsidR="00EF76AA" w:rsidRPr="006A6A73">
        <w:rPr>
          <w:b/>
          <w:i/>
        </w:rPr>
        <w:t>Европейският доклад за наркотиците</w:t>
      </w:r>
      <w:r w:rsidRPr="006A6A73">
        <w:t xml:space="preserve"> </w:t>
      </w:r>
      <w:r w:rsidRPr="006A6A73">
        <w:rPr>
          <w:b/>
          <w:i/>
        </w:rPr>
        <w:t>2014</w:t>
      </w:r>
      <w:r w:rsidR="00024F14" w:rsidRPr="006A6A73">
        <w:rPr>
          <w:b/>
          <w:i/>
        </w:rPr>
        <w:t> г.</w:t>
      </w:r>
      <w:r w:rsidR="00024F14" w:rsidRPr="006A6A73">
        <w:rPr>
          <w:rFonts w:cs="Arial"/>
          <w:b/>
          <w:i/>
        </w:rPr>
        <w:t>:</w:t>
      </w:r>
      <w:r w:rsidR="00EF76AA" w:rsidRPr="006A6A73">
        <w:rPr>
          <w:b/>
          <w:i/>
        </w:rPr>
        <w:t xml:space="preserve"> Тенденции и развития, </w:t>
      </w:r>
      <w:r w:rsidR="004002C4" w:rsidRPr="006A6A73">
        <w:t>представен</w:t>
      </w:r>
      <w:r w:rsidR="00EF76AA" w:rsidRPr="006A6A73">
        <w:t xml:space="preserve"> днес от </w:t>
      </w:r>
      <w:r w:rsidR="00EF76AA" w:rsidRPr="006A6A73">
        <w:rPr>
          <w:b/>
        </w:rPr>
        <w:t>агенция</w:t>
      </w:r>
      <w:r w:rsidR="0072670E" w:rsidRPr="006A6A73">
        <w:rPr>
          <w:b/>
        </w:rPr>
        <w:t>та</w:t>
      </w:r>
      <w:r w:rsidR="00F35FCA" w:rsidRPr="006A6A73">
        <w:rPr>
          <w:b/>
        </w:rPr>
        <w:t xml:space="preserve"> на ЕС по</w:t>
      </w:r>
      <w:r w:rsidR="00EF76AA" w:rsidRPr="006A6A73">
        <w:rPr>
          <w:b/>
        </w:rPr>
        <w:t xml:space="preserve"> наркотиците</w:t>
      </w:r>
      <w:r w:rsidRPr="006A6A73">
        <w:rPr>
          <w:b/>
        </w:rPr>
        <w:t xml:space="preserve"> (EMCDDA) </w:t>
      </w:r>
      <w:r w:rsidR="00857320" w:rsidRPr="006A6A73">
        <w:t xml:space="preserve">в </w:t>
      </w:r>
      <w:r w:rsidR="004002C4" w:rsidRPr="006A6A73">
        <w:t>Лисабон</w:t>
      </w:r>
      <w:r w:rsidR="00FE0B76" w:rsidRPr="00FE0B76">
        <w:rPr>
          <w:lang w:val="ru-RU"/>
        </w:rPr>
        <w:t xml:space="preserve"> (</w:t>
      </w:r>
      <w:r w:rsidRPr="006A6A73">
        <w:rPr>
          <w:vertAlign w:val="superscript"/>
        </w:rPr>
        <w:t>1</w:t>
      </w:r>
      <w:r w:rsidR="00FE0B76" w:rsidRPr="00FE0B76">
        <w:rPr>
          <w:lang w:val="ru-RU"/>
        </w:rPr>
        <w:t>)</w:t>
      </w:r>
      <w:r w:rsidRPr="00FE0B76">
        <w:t>.</w:t>
      </w:r>
      <w:r w:rsidRPr="006A6A73">
        <w:t xml:space="preserve"> </w:t>
      </w:r>
      <w:r w:rsidR="004002C4" w:rsidRPr="006A6A73">
        <w:t xml:space="preserve">В своя годишен </w:t>
      </w:r>
      <w:r w:rsidR="004721C5" w:rsidRPr="006A6A73">
        <w:t>анализ</w:t>
      </w:r>
      <w:r w:rsidR="004002C4" w:rsidRPr="006A6A73">
        <w:t xml:space="preserve"> </w:t>
      </w:r>
      <w:r w:rsidR="004721C5" w:rsidRPr="006A6A73">
        <w:t xml:space="preserve">на </w:t>
      </w:r>
      <w:r w:rsidR="004002C4" w:rsidRPr="006A6A73">
        <w:t>проблема с наркотиците</w:t>
      </w:r>
      <w:r w:rsidRPr="006A6A73">
        <w:t xml:space="preserve"> </w:t>
      </w:r>
      <w:r w:rsidR="004002C4" w:rsidRPr="006A6A73">
        <w:t xml:space="preserve">агенцията за пореден път описва </w:t>
      </w:r>
      <w:r w:rsidR="004721C5" w:rsidRPr="006A6A73">
        <w:t xml:space="preserve">като цяло </w:t>
      </w:r>
      <w:r w:rsidR="004002C4" w:rsidRPr="006A6A73">
        <w:t>стабилна ситуация</w:t>
      </w:r>
      <w:r w:rsidRPr="006A6A73">
        <w:t xml:space="preserve">, </w:t>
      </w:r>
      <w:r w:rsidR="0053712E" w:rsidRPr="006A6A73">
        <w:t>характеризираща се с</w:t>
      </w:r>
      <w:r w:rsidR="004002C4" w:rsidRPr="006A6A73">
        <w:t xml:space="preserve"> някои положителни признаци</w:t>
      </w:r>
      <w:r w:rsidR="000558AF" w:rsidRPr="006A6A73">
        <w:t>,</w:t>
      </w:r>
      <w:r w:rsidR="004002C4" w:rsidRPr="006A6A73">
        <w:t xml:space="preserve"> що се отнася до по-традиционните наркотици. </w:t>
      </w:r>
      <w:r w:rsidR="004721C5" w:rsidRPr="006A6A73">
        <w:t xml:space="preserve">В техен противовес </w:t>
      </w:r>
      <w:r w:rsidR="00D96319" w:rsidRPr="006A6A73">
        <w:t>обаче се оформят нови заплахи, породени от синтетичните наркотици</w:t>
      </w:r>
      <w:r w:rsidRPr="006A6A73">
        <w:t xml:space="preserve">, </w:t>
      </w:r>
      <w:r w:rsidR="004721C5" w:rsidRPr="006A6A73">
        <w:t xml:space="preserve">в това число </w:t>
      </w:r>
      <w:r w:rsidR="0053712E" w:rsidRPr="006A6A73">
        <w:t>стимуланти, нови психоактивни вещества и лекарствени продукти</w:t>
      </w:r>
      <w:r w:rsidRPr="006A6A73">
        <w:t xml:space="preserve">, </w:t>
      </w:r>
      <w:r w:rsidR="004721C5" w:rsidRPr="006A6A73">
        <w:t>които заемат</w:t>
      </w:r>
      <w:r w:rsidR="0053712E" w:rsidRPr="006A6A73">
        <w:t xml:space="preserve"> </w:t>
      </w:r>
      <w:r w:rsidR="004721C5" w:rsidRPr="006A6A73">
        <w:t xml:space="preserve">все </w:t>
      </w:r>
      <w:r w:rsidR="0053712E" w:rsidRPr="006A6A73">
        <w:t>по-отявлено място на променящия се европейски пазар на наркотиците</w:t>
      </w:r>
      <w:r w:rsidR="00DC5CAF" w:rsidRPr="006A6A73">
        <w:t>.</w:t>
      </w:r>
    </w:p>
    <w:p w:rsidR="00DC5CAF" w:rsidRPr="006A6A73" w:rsidRDefault="000852DC" w:rsidP="007F0D31">
      <w:pPr>
        <w:pStyle w:val="newsContent"/>
      </w:pPr>
      <w:r w:rsidRPr="006A6A73">
        <w:rPr>
          <w:b/>
        </w:rPr>
        <w:t xml:space="preserve">Европейският комисар </w:t>
      </w:r>
      <w:r w:rsidR="00F2073D">
        <w:rPr>
          <w:b/>
        </w:rPr>
        <w:t>по</w:t>
      </w:r>
      <w:r w:rsidRPr="006A6A73">
        <w:rPr>
          <w:b/>
        </w:rPr>
        <w:t xml:space="preserve"> вътрешни работи, Сесилия Малмстрьом, </w:t>
      </w:r>
      <w:r w:rsidRPr="006A6A73">
        <w:t>посочва: „</w:t>
      </w:r>
      <w:r w:rsidR="00DC1210">
        <w:t>Имам</w:t>
      </w:r>
      <w:r w:rsidR="00E66DE7" w:rsidRPr="006A6A73">
        <w:t xml:space="preserve"> сериозни опасения, че наркотиците, приемани в Европа понастоящем, може</w:t>
      </w:r>
      <w:r w:rsidR="00CB25A4" w:rsidRPr="006A6A73">
        <w:t xml:space="preserve"> </w:t>
      </w:r>
      <w:r w:rsidR="00E66DE7" w:rsidRPr="006A6A73">
        <w:t>да вредят на здравето на употребяващите ги граждани дори по-силно, отколкото в миналото</w:t>
      </w:r>
      <w:r w:rsidR="00CB25A4" w:rsidRPr="006A6A73">
        <w:t xml:space="preserve">. </w:t>
      </w:r>
      <w:r w:rsidR="00E66DE7" w:rsidRPr="006A6A73">
        <w:t xml:space="preserve">Има признаци, че на улицата се продават екстази и канабис с </w:t>
      </w:r>
      <w:r w:rsidR="0028702A" w:rsidRPr="006A6A73">
        <w:t xml:space="preserve">все </w:t>
      </w:r>
      <w:r w:rsidR="00E66DE7" w:rsidRPr="006A6A73">
        <w:t>по-силно действие</w:t>
      </w:r>
      <w:r w:rsidR="00CB25A4" w:rsidRPr="006A6A73">
        <w:t xml:space="preserve">. </w:t>
      </w:r>
      <w:r w:rsidR="0028702A" w:rsidRPr="006A6A73">
        <w:t>Следва да</w:t>
      </w:r>
      <w:r w:rsidR="0041097C" w:rsidRPr="006A6A73">
        <w:t xml:space="preserve"> се отбележи</w:t>
      </w:r>
      <w:r w:rsidR="0028702A" w:rsidRPr="006A6A73">
        <w:t xml:space="preserve"> също нарастващия</w:t>
      </w:r>
      <w:r w:rsidR="0041097C" w:rsidRPr="006A6A73">
        <w:t>т</w:t>
      </w:r>
      <w:r w:rsidR="0028702A" w:rsidRPr="006A6A73">
        <w:t xml:space="preserve"> натиск върху системата </w:t>
      </w:r>
      <w:r w:rsidR="0041097C" w:rsidRPr="006A6A73">
        <w:t xml:space="preserve">на ЕС </w:t>
      </w:r>
      <w:r w:rsidR="0028702A" w:rsidRPr="006A6A73">
        <w:t>за ранно предупреждение</w:t>
      </w:r>
      <w:r w:rsidR="00CB25A4" w:rsidRPr="006A6A73">
        <w:t xml:space="preserve">, </w:t>
      </w:r>
      <w:r w:rsidR="0028702A" w:rsidRPr="006A6A73">
        <w:t>нашата първа линия на защита срещу нововъзникващи наркотици,</w:t>
      </w:r>
      <w:r w:rsidR="00CB25A4" w:rsidRPr="006A6A73">
        <w:t xml:space="preserve"> </w:t>
      </w:r>
      <w:r w:rsidR="0041097C" w:rsidRPr="006A6A73">
        <w:t>който се дължи</w:t>
      </w:r>
      <w:r w:rsidR="0028702A" w:rsidRPr="006A6A73">
        <w:t xml:space="preserve"> на постоянно и рязко нарастващите </w:t>
      </w:r>
      <w:r w:rsidR="0041097C" w:rsidRPr="006A6A73">
        <w:t xml:space="preserve">по </w:t>
      </w:r>
      <w:r w:rsidR="0028702A" w:rsidRPr="006A6A73">
        <w:t xml:space="preserve">брой и разнообразие </w:t>
      </w:r>
      <w:r w:rsidR="0041097C" w:rsidRPr="006A6A73">
        <w:t>наркотични</w:t>
      </w:r>
      <w:r w:rsidR="0028702A" w:rsidRPr="006A6A73">
        <w:t xml:space="preserve"> вещества</w:t>
      </w:r>
      <w:r w:rsidR="00CB25A4" w:rsidRPr="006A6A73">
        <w:t xml:space="preserve">. </w:t>
      </w:r>
      <w:r w:rsidR="0028702A" w:rsidRPr="006A6A73">
        <w:t>Тази година в системата са анализирани четири нови вещества, свързани с остри интоксикации и см</w:t>
      </w:r>
      <w:r w:rsidR="00AE2BFA" w:rsidRPr="006A6A73">
        <w:t>ъртни случаи в държавите членки</w:t>
      </w:r>
      <w:r w:rsidR="00CB25A4" w:rsidRPr="006A6A73">
        <w:t>.</w:t>
      </w:r>
      <w:r w:rsidR="00D120B5" w:rsidRPr="006A6A73">
        <w:t>“</w:t>
      </w:r>
    </w:p>
    <w:p w:rsidR="00DC5CAF" w:rsidRPr="006A6A73" w:rsidRDefault="00AB3D6B" w:rsidP="007F0D31">
      <w:pPr>
        <w:pStyle w:val="newsContent"/>
      </w:pPr>
      <w:r w:rsidRPr="006A6A73">
        <w:rPr>
          <w:b/>
        </w:rPr>
        <w:t>Комисар</w:t>
      </w:r>
      <w:r w:rsidR="00CB25A4" w:rsidRPr="006A6A73">
        <w:rPr>
          <w:b/>
        </w:rPr>
        <w:t xml:space="preserve"> </w:t>
      </w:r>
      <w:r w:rsidRPr="006A6A73">
        <w:rPr>
          <w:b/>
        </w:rPr>
        <w:t xml:space="preserve">Малмстрьом </w:t>
      </w:r>
      <w:r w:rsidRPr="006A6A73">
        <w:t>добавя: „</w:t>
      </w:r>
      <w:r w:rsidR="007F7ACD" w:rsidRPr="006A6A73">
        <w:t xml:space="preserve">Правоприлагащите органи в Европа се сблъскват все по-често с възможността малки и лесно транспортирани </w:t>
      </w:r>
      <w:r w:rsidR="00042487" w:rsidRPr="006A6A73">
        <w:t>пратки</w:t>
      </w:r>
      <w:r w:rsidR="007F7ACD" w:rsidRPr="006A6A73">
        <w:t xml:space="preserve"> от привидно</w:t>
      </w:r>
      <w:r w:rsidR="00CB25A4" w:rsidRPr="006A6A73">
        <w:t xml:space="preserve"> </w:t>
      </w:r>
      <w:r w:rsidR="007F7ACD" w:rsidRPr="006A6A73">
        <w:t>безвредни прахообразни субстанции да съдържат хиляди отделни дози</w:t>
      </w:r>
      <w:r w:rsidR="00CB25A4" w:rsidRPr="006A6A73">
        <w:t xml:space="preserve">. </w:t>
      </w:r>
      <w:r w:rsidR="007F7ACD" w:rsidRPr="006A6A73">
        <w:t xml:space="preserve">Извършеният от EMCDDA годишен анализ </w:t>
      </w:r>
      <w:r w:rsidR="00D24DB7" w:rsidRPr="006A6A73">
        <w:t>е важен източник на данни относно</w:t>
      </w:r>
      <w:r w:rsidR="007F7ACD" w:rsidRPr="006A6A73">
        <w:t xml:space="preserve"> </w:t>
      </w:r>
      <w:r w:rsidR="00D24DB7" w:rsidRPr="006A6A73">
        <w:t>еволюиращия</w:t>
      </w:r>
      <w:r w:rsidR="007F7ACD" w:rsidRPr="006A6A73">
        <w:t xml:space="preserve"> проблем с наркотиците в Европа</w:t>
      </w:r>
      <w:r w:rsidR="00CB25A4" w:rsidRPr="006A6A73">
        <w:t xml:space="preserve">. </w:t>
      </w:r>
      <w:r w:rsidR="00EA75A9" w:rsidRPr="006A6A73">
        <w:t xml:space="preserve">Тази информация обаче сега трябва да послужи за целите на правоприлагането, превенцията и лечението. Жизненоважно </w:t>
      </w:r>
      <w:r w:rsidR="009F4D89" w:rsidRPr="006A6A73">
        <w:t>е да използваме наличните данни, за да гарантираме, че ответните действия на евр</w:t>
      </w:r>
      <w:r w:rsidR="00D24DB7" w:rsidRPr="006A6A73">
        <w:t xml:space="preserve">опейските органи са в крак със </w:t>
      </w:r>
      <w:r w:rsidR="009F4D89" w:rsidRPr="006A6A73">
        <w:t xml:space="preserve">зараждащите се </w:t>
      </w:r>
      <w:r w:rsidR="00D24DB7" w:rsidRPr="006A6A73">
        <w:t xml:space="preserve">нови </w:t>
      </w:r>
      <w:r w:rsidR="009F4D89" w:rsidRPr="006A6A73">
        <w:t>предизвикателства, пред които сме изправени</w:t>
      </w:r>
      <w:r w:rsidR="00CB25A4" w:rsidRPr="006A6A73">
        <w:t>.</w:t>
      </w:r>
      <w:r w:rsidRPr="006A6A73">
        <w:t>“</w:t>
      </w:r>
    </w:p>
    <w:p w:rsidR="00DC5CAF" w:rsidRPr="006A6A73" w:rsidRDefault="00220638" w:rsidP="007F0D31">
      <w:pPr>
        <w:pStyle w:val="newsContent"/>
      </w:pPr>
      <w:r w:rsidRPr="006A6A73">
        <w:rPr>
          <w:b/>
        </w:rPr>
        <w:t xml:space="preserve">Директорът на EMCDDA Волфганг </w:t>
      </w:r>
      <w:proofErr w:type="spellStart"/>
      <w:r w:rsidRPr="006A6A73">
        <w:rPr>
          <w:b/>
        </w:rPr>
        <w:t>Гьотц</w:t>
      </w:r>
      <w:proofErr w:type="spellEnd"/>
      <w:r w:rsidRPr="006A6A73">
        <w:rPr>
          <w:b/>
        </w:rPr>
        <w:t xml:space="preserve">, </w:t>
      </w:r>
      <w:r w:rsidR="00E77CA6" w:rsidRPr="006A6A73">
        <w:t>изтъква</w:t>
      </w:r>
      <w:r w:rsidR="00024E98" w:rsidRPr="006A6A73">
        <w:t>: „</w:t>
      </w:r>
      <w:r w:rsidR="00873ACC" w:rsidRPr="006A6A73">
        <w:t xml:space="preserve">Ако се вгледаме в цялостната картина ще установим, че в Европа е постигнат напредък по отношение на някои от основните цели на политиката </w:t>
      </w:r>
      <w:r w:rsidR="001B37B7" w:rsidRPr="006A6A73">
        <w:t>в областта на общественото здраве</w:t>
      </w:r>
      <w:r w:rsidR="00873ACC" w:rsidRPr="006A6A73">
        <w:t xml:space="preserve"> от близкото минало</w:t>
      </w:r>
      <w:r w:rsidR="00CB25A4" w:rsidRPr="006A6A73">
        <w:t xml:space="preserve">. </w:t>
      </w:r>
      <w:r w:rsidR="00497BE1" w:rsidRPr="006A6A73">
        <w:t xml:space="preserve">При все това </w:t>
      </w:r>
      <w:r w:rsidR="00D75492" w:rsidRPr="006A6A73">
        <w:t>общо</w:t>
      </w:r>
      <w:r w:rsidR="00497BE1" w:rsidRPr="006A6A73">
        <w:t>е</w:t>
      </w:r>
      <w:r w:rsidR="001F398F" w:rsidRPr="006A6A73">
        <w:t xml:space="preserve">вропейската </w:t>
      </w:r>
      <w:r w:rsidR="00D75492" w:rsidRPr="006A6A73">
        <w:t>картина</w:t>
      </w:r>
      <w:r w:rsidR="001F398F" w:rsidRPr="006A6A73">
        <w:t xml:space="preserve"> може да прикрие някои важни национални различия</w:t>
      </w:r>
      <w:r w:rsidR="00CB25A4" w:rsidRPr="006A6A73">
        <w:t xml:space="preserve">. </w:t>
      </w:r>
      <w:r w:rsidR="00497BE1" w:rsidRPr="006A6A73">
        <w:t>Най-актуалните данни, с</w:t>
      </w:r>
      <w:r w:rsidR="003131A0" w:rsidRPr="006A6A73">
        <w:t xml:space="preserve"> които разполагаме, показват </w:t>
      </w:r>
      <w:r w:rsidR="00497BE1" w:rsidRPr="006A6A73">
        <w:t>сериозен разнобой между</w:t>
      </w:r>
      <w:r w:rsidR="003131A0" w:rsidRPr="006A6A73">
        <w:t xml:space="preserve"> окуражаващите </w:t>
      </w:r>
      <w:r w:rsidR="00497BE1" w:rsidRPr="006A6A73">
        <w:t>общо</w:t>
      </w:r>
      <w:r w:rsidR="003131A0" w:rsidRPr="006A6A73">
        <w:t>европейски тенденции</w:t>
      </w:r>
      <w:r w:rsidR="000558AF" w:rsidRPr="00053469">
        <w:t>,</w:t>
      </w:r>
      <w:r w:rsidR="003131A0" w:rsidRPr="006A6A73">
        <w:t xml:space="preserve"> що се отнася до причинените от свръхдоза смъртни случаи и </w:t>
      </w:r>
      <w:r w:rsidR="00120A2E" w:rsidRPr="006A6A73">
        <w:t>дължащите се на</w:t>
      </w:r>
      <w:r w:rsidR="003131A0" w:rsidRPr="006A6A73">
        <w:t xml:space="preserve"> наркотици ХИВ</w:t>
      </w:r>
      <w:r w:rsidR="00120A2E" w:rsidRPr="006A6A73">
        <w:t xml:space="preserve"> инфекции</w:t>
      </w:r>
      <w:r w:rsidR="003131A0" w:rsidRPr="006A6A73">
        <w:t xml:space="preserve"> например </w:t>
      </w:r>
      <w:r w:rsidR="00497BE1" w:rsidRPr="006A6A73">
        <w:t xml:space="preserve">и </w:t>
      </w:r>
      <w:r w:rsidR="003131A0" w:rsidRPr="006A6A73">
        <w:t>обезпокоителните развития в няколко държави членки</w:t>
      </w:r>
      <w:r w:rsidR="00CB25A4" w:rsidRPr="006A6A73">
        <w:t>.</w:t>
      </w:r>
      <w:r w:rsidR="00024E98" w:rsidRPr="006A6A73">
        <w:t>“</w:t>
      </w:r>
    </w:p>
    <w:p w:rsidR="00DC5CAF" w:rsidRPr="006A6A73" w:rsidRDefault="008D0786" w:rsidP="007F0D31">
      <w:pPr>
        <w:pStyle w:val="newsContent"/>
      </w:pPr>
      <w:r w:rsidRPr="006A6A73">
        <w:lastRenderedPageBreak/>
        <w:t xml:space="preserve">Предвид тази комплицираност в доклада е представен </w:t>
      </w:r>
      <w:r w:rsidR="002711CC" w:rsidRPr="006A6A73">
        <w:t>изготвен на най-високо ниво преглед на дългосрочните тенденции и развития</w:t>
      </w:r>
      <w:r w:rsidR="005F737E" w:rsidRPr="006A6A73">
        <w:t>, свързани с наркотиците на европейско равнище</w:t>
      </w:r>
      <w:r w:rsidR="00CB25A4" w:rsidRPr="006A6A73">
        <w:t xml:space="preserve">, </w:t>
      </w:r>
      <w:r w:rsidR="005F737E" w:rsidRPr="006A6A73">
        <w:t xml:space="preserve">като едновременно с това се обръща внимание на </w:t>
      </w:r>
      <w:r w:rsidR="00E811C5">
        <w:t>възникв</w:t>
      </w:r>
      <w:r w:rsidR="005F737E" w:rsidRPr="006A6A73">
        <w:t>ащите</w:t>
      </w:r>
      <w:r w:rsidR="00E811C5">
        <w:t xml:space="preserve"> </w:t>
      </w:r>
      <w:r w:rsidR="005F737E" w:rsidRPr="006A6A73">
        <w:t>проблеми в някои държави</w:t>
      </w:r>
      <w:r w:rsidR="00CB25A4" w:rsidRPr="006A6A73">
        <w:t>.</w:t>
      </w:r>
    </w:p>
    <w:p w:rsidR="00905B2F" w:rsidRPr="006A6A73" w:rsidRDefault="00905B2F" w:rsidP="007F0D31">
      <w:pPr>
        <w:pStyle w:val="newsContent"/>
        <w:rPr>
          <w:b/>
        </w:rPr>
      </w:pPr>
      <w:r w:rsidRPr="006A6A73">
        <w:rPr>
          <w:b/>
        </w:rPr>
        <w:t>Употребата на хероин намалява, но веществата, които заместват този наркотик на пазара, пораждат загриженост</w:t>
      </w:r>
    </w:p>
    <w:p w:rsidR="00DC5CAF" w:rsidRPr="006A6A73" w:rsidRDefault="00857320" w:rsidP="006D50B5">
      <w:pPr>
        <w:pStyle w:val="newsContent"/>
        <w:ind w:right="-144"/>
      </w:pPr>
      <w:r w:rsidRPr="006A6A73">
        <w:t xml:space="preserve">Въпреки че </w:t>
      </w:r>
      <w:r w:rsidR="00402C63" w:rsidRPr="006A6A73">
        <w:t xml:space="preserve">производството на хероин в световен мащаб </w:t>
      </w:r>
      <w:r w:rsidR="00A85A78" w:rsidRPr="006A6A73">
        <w:t>си остава високо, а</w:t>
      </w:r>
      <w:r w:rsidR="00350C78" w:rsidRPr="006A6A73">
        <w:t xml:space="preserve"> конфискуваните в </w:t>
      </w:r>
      <w:r w:rsidR="00350C78" w:rsidRPr="006A6A73">
        <w:rPr>
          <w:b/>
        </w:rPr>
        <w:t>Турция</w:t>
      </w:r>
      <w:r w:rsidR="00350C78" w:rsidRPr="006A6A73">
        <w:t xml:space="preserve"> количества се увеличават</w:t>
      </w:r>
      <w:r w:rsidR="00CB25A4" w:rsidRPr="006A6A73">
        <w:t xml:space="preserve"> (</w:t>
      </w:r>
      <w:r w:rsidR="001E7615" w:rsidRPr="006A6A73">
        <w:t>ф</w:t>
      </w:r>
      <w:r w:rsidR="00350C78" w:rsidRPr="006A6A73">
        <w:t>и</w:t>
      </w:r>
      <w:r w:rsidR="0072670E" w:rsidRPr="006A6A73">
        <w:t>гури</w:t>
      </w:r>
      <w:r w:rsidR="00CB25A4" w:rsidRPr="006A6A73">
        <w:t xml:space="preserve"> 1.4</w:t>
      </w:r>
      <w:r w:rsidR="00350C78" w:rsidRPr="006A6A73">
        <w:t xml:space="preserve"> и</w:t>
      </w:r>
      <w:r w:rsidR="00CB25A4" w:rsidRPr="006A6A73">
        <w:t xml:space="preserve"> 1.5), </w:t>
      </w:r>
      <w:r w:rsidR="00350C78" w:rsidRPr="006A6A73">
        <w:t xml:space="preserve">най-актуалните данни относно търсенето на лечение и относно конфискациите в Европа сочат за низходяща тенденция в употребата и </w:t>
      </w:r>
      <w:r w:rsidR="00A85A78" w:rsidRPr="006A6A73">
        <w:t>достъпността на този наркотик</w:t>
      </w:r>
      <w:r w:rsidR="00CB25A4" w:rsidRPr="006A6A73">
        <w:t xml:space="preserve">. </w:t>
      </w:r>
      <w:r w:rsidR="00296147" w:rsidRPr="006A6A73">
        <w:t xml:space="preserve">Броят на </w:t>
      </w:r>
      <w:r w:rsidR="00C97946" w:rsidRPr="006A6A73">
        <w:t>пациентите</w:t>
      </w:r>
      <w:r w:rsidR="00296147" w:rsidRPr="006A6A73">
        <w:t xml:space="preserve">, </w:t>
      </w:r>
      <w:r w:rsidR="00C97946" w:rsidRPr="006A6A73">
        <w:t>постъпили</w:t>
      </w:r>
      <w:r w:rsidR="00296147" w:rsidRPr="006A6A73">
        <w:t xml:space="preserve"> за първи път</w:t>
      </w:r>
      <w:r w:rsidR="00C97946" w:rsidRPr="006A6A73">
        <w:t xml:space="preserve"> </w:t>
      </w:r>
      <w:r w:rsidR="00296147" w:rsidRPr="006A6A73">
        <w:t xml:space="preserve">в програми за специализирано лечение на свързани с хероин проблеми, спада от </w:t>
      </w:r>
      <w:r w:rsidR="00C97946" w:rsidRPr="006A6A73">
        <w:t>59 000 през 2007 г. (върхова стойност)</w:t>
      </w:r>
      <w:r w:rsidR="00296147" w:rsidRPr="006A6A73">
        <w:t xml:space="preserve"> до</w:t>
      </w:r>
      <w:r w:rsidR="00CB25A4" w:rsidRPr="006A6A73">
        <w:t xml:space="preserve"> </w:t>
      </w:r>
      <w:r w:rsidR="00296147" w:rsidRPr="006A6A73">
        <w:t>31 </w:t>
      </w:r>
      <w:r w:rsidR="00CB25A4" w:rsidRPr="006A6A73">
        <w:t xml:space="preserve">000 </w:t>
      </w:r>
      <w:r w:rsidR="00296147" w:rsidRPr="006A6A73">
        <w:t>през</w:t>
      </w:r>
      <w:r w:rsidR="00CB25A4" w:rsidRPr="006A6A73">
        <w:t xml:space="preserve"> 2012</w:t>
      </w:r>
      <w:r w:rsidR="00296147" w:rsidRPr="006A6A73">
        <w:t> г</w:t>
      </w:r>
      <w:r w:rsidR="00CB25A4" w:rsidRPr="006A6A73">
        <w:t xml:space="preserve">. </w:t>
      </w:r>
      <w:r w:rsidR="00D368F4" w:rsidRPr="006A6A73">
        <w:t xml:space="preserve">Данните относно предлагането на наркотици </w:t>
      </w:r>
      <w:r w:rsidR="00340C5D" w:rsidRPr="006A6A73">
        <w:t>указват, че конфискуван</w:t>
      </w:r>
      <w:r w:rsidR="00C97946" w:rsidRPr="006A6A73">
        <w:t>ото</w:t>
      </w:r>
      <w:r w:rsidR="00340C5D" w:rsidRPr="006A6A73">
        <w:t xml:space="preserve"> през</w:t>
      </w:r>
      <w:r w:rsidR="00CB25A4" w:rsidRPr="006A6A73">
        <w:t xml:space="preserve"> 2012</w:t>
      </w:r>
      <w:r w:rsidR="00340C5D" w:rsidRPr="006A6A73">
        <w:t> г.</w:t>
      </w:r>
      <w:r w:rsidR="00CB25A4" w:rsidRPr="006A6A73">
        <w:t xml:space="preserve"> </w:t>
      </w:r>
      <w:r w:rsidR="00C97946" w:rsidRPr="006A6A73">
        <w:t xml:space="preserve">количество хероин </w:t>
      </w:r>
      <w:r w:rsidR="00CB25A4" w:rsidRPr="006A6A73">
        <w:t xml:space="preserve">(5 </w:t>
      </w:r>
      <w:r w:rsidR="00340C5D" w:rsidRPr="006A6A73">
        <w:t>тона</w:t>
      </w:r>
      <w:r w:rsidR="00CB25A4" w:rsidRPr="006A6A73">
        <w:t xml:space="preserve">) </w:t>
      </w:r>
      <w:r w:rsidR="007738AF" w:rsidRPr="006A6A73">
        <w:t>е най-ниското отчетено през последното десетилетие</w:t>
      </w:r>
      <w:r w:rsidR="00CF616D" w:rsidRPr="006A6A73">
        <w:t xml:space="preserve"> </w:t>
      </w:r>
      <w:r w:rsidR="00CF616D" w:rsidRPr="006A6A73">
        <w:rPr>
          <w:rFonts w:cs="Arial"/>
        </w:rPr>
        <w:t>–</w:t>
      </w:r>
      <w:r w:rsidR="00CF616D" w:rsidRPr="006A6A73">
        <w:t xml:space="preserve"> половината от </w:t>
      </w:r>
      <w:r w:rsidR="00C97946" w:rsidRPr="006A6A73">
        <w:t>конфискуваните</w:t>
      </w:r>
      <w:r w:rsidR="00CF616D" w:rsidRPr="006A6A73">
        <w:t xml:space="preserve"> през </w:t>
      </w:r>
      <w:r w:rsidR="00CB25A4" w:rsidRPr="006A6A73">
        <w:t>2002</w:t>
      </w:r>
      <w:r w:rsidR="00CF616D" w:rsidRPr="006A6A73">
        <w:t> г.</w:t>
      </w:r>
      <w:r w:rsidR="00CB25A4" w:rsidRPr="006A6A73">
        <w:t xml:space="preserve"> </w:t>
      </w:r>
      <w:r w:rsidR="00C97946" w:rsidRPr="006A6A73">
        <w:t xml:space="preserve">обеми </w:t>
      </w:r>
      <w:r w:rsidR="00CB25A4" w:rsidRPr="006A6A73">
        <w:t xml:space="preserve">(10 </w:t>
      </w:r>
      <w:r w:rsidR="00CF616D" w:rsidRPr="006A6A73">
        <w:t>тона</w:t>
      </w:r>
      <w:r w:rsidR="00CB25A4" w:rsidRPr="006A6A73">
        <w:t xml:space="preserve">). </w:t>
      </w:r>
      <w:r w:rsidR="00FC26E0" w:rsidRPr="006A6A73">
        <w:t>Броят на</w:t>
      </w:r>
      <w:r w:rsidR="00AD460D" w:rsidRPr="006A6A73">
        <w:t xml:space="preserve"> конфискациите на хероин</w:t>
      </w:r>
      <w:r w:rsidR="00FC26E0" w:rsidRPr="006A6A73">
        <w:t xml:space="preserve"> също спада </w:t>
      </w:r>
      <w:r w:rsidR="00FC26E0" w:rsidRPr="006A6A73">
        <w:rPr>
          <w:rFonts w:cs="Arial"/>
        </w:rPr>
        <w:t>–</w:t>
      </w:r>
      <w:r w:rsidR="00FC26E0" w:rsidRPr="006A6A73">
        <w:t xml:space="preserve"> от близо</w:t>
      </w:r>
      <w:r w:rsidR="00CB25A4" w:rsidRPr="006A6A73">
        <w:t xml:space="preserve"> 50 000 </w:t>
      </w:r>
      <w:r w:rsidR="00F74E80" w:rsidRPr="006A6A73">
        <w:t>през</w:t>
      </w:r>
      <w:r w:rsidR="00CB25A4" w:rsidRPr="006A6A73">
        <w:t xml:space="preserve"> 2010</w:t>
      </w:r>
      <w:r w:rsidR="00F74E80" w:rsidRPr="006A6A73">
        <w:t> г.</w:t>
      </w:r>
      <w:r w:rsidR="00CB25A4" w:rsidRPr="006A6A73">
        <w:t xml:space="preserve"> </w:t>
      </w:r>
      <w:r w:rsidR="00F74E80" w:rsidRPr="006A6A73">
        <w:t>до 32 </w:t>
      </w:r>
      <w:r w:rsidR="00CB25A4" w:rsidRPr="006A6A73">
        <w:t xml:space="preserve">000 </w:t>
      </w:r>
      <w:r w:rsidR="00F74E80" w:rsidRPr="006A6A73">
        <w:t>през</w:t>
      </w:r>
      <w:r w:rsidR="00CB25A4" w:rsidRPr="006A6A73">
        <w:t xml:space="preserve"> 2012</w:t>
      </w:r>
      <w:r w:rsidR="00F74E80" w:rsidRPr="006A6A73">
        <w:t> г</w:t>
      </w:r>
      <w:r w:rsidR="00CB25A4" w:rsidRPr="006A6A73">
        <w:t>.</w:t>
      </w:r>
      <w:r w:rsidR="00DC5CAF" w:rsidRPr="006A6A73">
        <w:t xml:space="preserve"> </w:t>
      </w:r>
    </w:p>
    <w:p w:rsidR="00DC5CAF" w:rsidRPr="006A6A73" w:rsidRDefault="00763B2F" w:rsidP="006D50B5">
      <w:pPr>
        <w:pStyle w:val="newsContent"/>
        <w:ind w:right="-144"/>
      </w:pPr>
      <w:r w:rsidRPr="006A6A73">
        <w:t xml:space="preserve">По предварителни оценки броят на употребяващите опиати в Европа възлиза на 1,3 милиона, повечето от които </w:t>
      </w:r>
      <w:r w:rsidR="001E6F66">
        <w:t>употребяват</w:t>
      </w:r>
      <w:r w:rsidR="009816D1" w:rsidRPr="006A6A73">
        <w:t xml:space="preserve"> хероин</w:t>
      </w:r>
      <w:r w:rsidR="00487FD5" w:rsidRPr="006A6A73">
        <w:t xml:space="preserve">. </w:t>
      </w:r>
      <w:r w:rsidR="006E2B5B" w:rsidRPr="006A6A73">
        <w:t xml:space="preserve">В доклада се изразяват опасения, че хероинът </w:t>
      </w:r>
      <w:r w:rsidR="008D2558" w:rsidRPr="006A6A73">
        <w:t>бива</w:t>
      </w:r>
      <w:r w:rsidR="00442A01" w:rsidRPr="006A6A73">
        <w:t xml:space="preserve"> замества</w:t>
      </w:r>
      <w:r w:rsidR="008D2558" w:rsidRPr="006A6A73">
        <w:t>н</w:t>
      </w:r>
      <w:r w:rsidR="006E2B5B" w:rsidRPr="006A6A73">
        <w:t xml:space="preserve"> </w:t>
      </w:r>
      <w:r w:rsidR="008D2558" w:rsidRPr="006A6A73">
        <w:t>с</w:t>
      </w:r>
      <w:r w:rsidR="00DF2DB0" w:rsidRPr="006A6A73">
        <w:t xml:space="preserve"> други наркотични вещества</w:t>
      </w:r>
      <w:r w:rsidR="00C133F4" w:rsidRPr="006A6A73">
        <w:t xml:space="preserve"> като синтетични опиоиди</w:t>
      </w:r>
      <w:r w:rsidR="00487FD5" w:rsidRPr="006A6A73">
        <w:t xml:space="preserve">. </w:t>
      </w:r>
      <w:r w:rsidR="001D59D1" w:rsidRPr="006A6A73">
        <w:t>Незаконно произведени или отклонени от медицински източници</w:t>
      </w:r>
      <w:r w:rsidR="00487FD5" w:rsidRPr="006A6A73">
        <w:t>,</w:t>
      </w:r>
      <w:r w:rsidR="001D59D1" w:rsidRPr="006A6A73">
        <w:t xml:space="preserve"> те включват </w:t>
      </w:r>
      <w:r w:rsidR="00961E77" w:rsidRPr="006A6A73">
        <w:t>характеризиращите се с голяма сила на действие</w:t>
      </w:r>
      <w:r w:rsidR="001D59D1" w:rsidRPr="006A6A73">
        <w:t xml:space="preserve"> фентанили</w:t>
      </w:r>
      <w:r w:rsidR="00487FD5" w:rsidRPr="006A6A73">
        <w:t xml:space="preserve"> </w:t>
      </w:r>
      <w:r w:rsidR="001D59D1" w:rsidRPr="006A6A73">
        <w:t xml:space="preserve">и субстанции, използвани при </w:t>
      </w:r>
      <w:r w:rsidR="00476D96" w:rsidRPr="006A6A73">
        <w:t>заместващо</w:t>
      </w:r>
      <w:r w:rsidR="001D59D1" w:rsidRPr="006A6A73">
        <w:t xml:space="preserve"> лечение </w:t>
      </w:r>
      <w:r w:rsidR="00476D96" w:rsidRPr="006A6A73">
        <w:t>с</w:t>
      </w:r>
      <w:r w:rsidR="001D59D1" w:rsidRPr="006A6A73">
        <w:t xml:space="preserve"> </w:t>
      </w:r>
      <w:r w:rsidR="000558AF" w:rsidRPr="006A6A73">
        <w:t xml:space="preserve">опиоиди </w:t>
      </w:r>
      <w:r w:rsidR="005F7A2A" w:rsidRPr="006A6A73">
        <w:t>(напр</w:t>
      </w:r>
      <w:r w:rsidR="00487FD5" w:rsidRPr="006A6A73">
        <w:t xml:space="preserve">. </w:t>
      </w:r>
      <w:r w:rsidR="005F7A2A" w:rsidRPr="006A6A73">
        <w:t>метадон</w:t>
      </w:r>
      <w:r w:rsidR="00487FD5" w:rsidRPr="006A6A73">
        <w:t xml:space="preserve">, </w:t>
      </w:r>
      <w:r w:rsidR="005F7A2A" w:rsidRPr="006A6A73">
        <w:t>бупренорфин</w:t>
      </w:r>
      <w:r w:rsidR="00487FD5" w:rsidRPr="006A6A73">
        <w:t xml:space="preserve">). </w:t>
      </w:r>
      <w:r w:rsidR="00BE3D86" w:rsidRPr="006A6A73">
        <w:t>През </w:t>
      </w:r>
      <w:r w:rsidR="00487FD5" w:rsidRPr="006A6A73">
        <w:t>2012</w:t>
      </w:r>
      <w:r w:rsidR="00BE3D86" w:rsidRPr="006A6A73">
        <w:t xml:space="preserve"> г. </w:t>
      </w:r>
      <w:r w:rsidR="00487FD5" w:rsidRPr="006A6A73">
        <w:t xml:space="preserve">17 </w:t>
      </w:r>
      <w:r w:rsidR="00BE3D86" w:rsidRPr="006A6A73">
        <w:t>държави констатират, че над</w:t>
      </w:r>
      <w:r w:rsidR="00487FD5" w:rsidRPr="006A6A73">
        <w:t xml:space="preserve"> 10% </w:t>
      </w:r>
      <w:r w:rsidR="00BE3D86" w:rsidRPr="006A6A73">
        <w:t xml:space="preserve">от </w:t>
      </w:r>
      <w:r w:rsidR="00B16AE7" w:rsidRPr="006A6A73">
        <w:t>пациентите, постъпили</w:t>
      </w:r>
      <w:r w:rsidR="00BE3D86" w:rsidRPr="006A6A73">
        <w:t xml:space="preserve"> за </w:t>
      </w:r>
      <w:r w:rsidR="001E6F66">
        <w:t>първи път на</w:t>
      </w:r>
      <w:r w:rsidR="001E6F66" w:rsidRPr="006A6A73">
        <w:t xml:space="preserve"> </w:t>
      </w:r>
      <w:r w:rsidR="00B16AE7" w:rsidRPr="006A6A73">
        <w:t>специализирано лечение н</w:t>
      </w:r>
      <w:r w:rsidR="00BE3D86" w:rsidRPr="006A6A73">
        <w:t>а опиоидна зависимост</w:t>
      </w:r>
      <w:r w:rsidR="00B16AE7" w:rsidRPr="006A6A73">
        <w:t>,</w:t>
      </w:r>
      <w:r w:rsidR="00BE3D86" w:rsidRPr="006A6A73">
        <w:t xml:space="preserve"> злоупотребяват с</w:t>
      </w:r>
      <w:r w:rsidR="00487FD5" w:rsidRPr="006A6A73">
        <w:t xml:space="preserve"> </w:t>
      </w:r>
      <w:r w:rsidR="00BE3D86" w:rsidRPr="006A6A73">
        <w:t xml:space="preserve">различни от хероин опиоиди </w:t>
      </w:r>
      <w:r w:rsidR="00487FD5" w:rsidRPr="006A6A73">
        <w:t>(</w:t>
      </w:r>
      <w:r w:rsidR="0072670E" w:rsidRPr="006A6A73">
        <w:t>фигура</w:t>
      </w:r>
      <w:r w:rsidR="003C5119" w:rsidRPr="006A6A73">
        <w:t xml:space="preserve"> </w:t>
      </w:r>
      <w:r w:rsidR="00487FD5" w:rsidRPr="006A6A73">
        <w:t>2.9).</w:t>
      </w:r>
      <w:r w:rsidR="00DC5CAF" w:rsidRPr="006A6A73">
        <w:t xml:space="preserve"> </w:t>
      </w:r>
    </w:p>
    <w:p w:rsidR="00153B97" w:rsidRPr="006A6A73" w:rsidRDefault="00DA267C" w:rsidP="007F0D31">
      <w:pPr>
        <w:pStyle w:val="newsContent"/>
        <w:rPr>
          <w:b/>
        </w:rPr>
      </w:pPr>
      <w:bookmarkStart w:id="0" w:name="_Toc379798932"/>
      <w:bookmarkStart w:id="1" w:name="_Toc348350312"/>
      <w:bookmarkStart w:id="2" w:name="_Toc348195176"/>
      <w:r w:rsidRPr="006A6A73">
        <w:rPr>
          <w:b/>
        </w:rPr>
        <w:t xml:space="preserve">Смъртни случаи, </w:t>
      </w:r>
      <w:r w:rsidR="00527BF7">
        <w:rPr>
          <w:b/>
        </w:rPr>
        <w:t>свързани с наркотици</w:t>
      </w:r>
      <w:r w:rsidRPr="006A6A73">
        <w:rPr>
          <w:b/>
        </w:rPr>
        <w:t xml:space="preserve">: обща тенденция на намаляване, но в някои държави </w:t>
      </w:r>
      <w:bookmarkEnd w:id="0"/>
      <w:r w:rsidRPr="006A6A73">
        <w:rPr>
          <w:b/>
        </w:rPr>
        <w:t>е отчетено увеличаване</w:t>
      </w:r>
      <w:bookmarkEnd w:id="1"/>
      <w:bookmarkEnd w:id="2"/>
    </w:p>
    <w:p w:rsidR="00153B97" w:rsidRPr="006A6A73" w:rsidRDefault="00CB0ED8" w:rsidP="007F0D31">
      <w:pPr>
        <w:pStyle w:val="newsContent"/>
      </w:pPr>
      <w:r w:rsidRPr="006A6A73">
        <w:t>Употребата на наркотици е една от основните причини за смъртността сред младите хора в Европа</w:t>
      </w:r>
      <w:r w:rsidR="00153B97" w:rsidRPr="006A6A73">
        <w:t xml:space="preserve">, </w:t>
      </w:r>
      <w:r w:rsidR="00F93D2D" w:rsidRPr="006A6A73">
        <w:t xml:space="preserve">както пряко </w:t>
      </w:r>
      <w:r w:rsidR="00EF486F" w:rsidRPr="006A6A73">
        <w:t xml:space="preserve">в резултат на </w:t>
      </w:r>
      <w:r w:rsidR="00F93D2D" w:rsidRPr="006A6A73">
        <w:t xml:space="preserve">свръхдоза </w:t>
      </w:r>
      <w:r w:rsidR="00153B97" w:rsidRPr="006A6A73">
        <w:t>(</w:t>
      </w:r>
      <w:r w:rsidR="00F93D2D" w:rsidRPr="006A6A73">
        <w:t xml:space="preserve">предизвикани от наркотици смъртни случаи), така и непряко </w:t>
      </w:r>
      <w:r w:rsidR="00EF486F" w:rsidRPr="006A6A73">
        <w:t>в резултат на</w:t>
      </w:r>
      <w:r w:rsidR="00F93D2D" w:rsidRPr="006A6A73">
        <w:t xml:space="preserve"> свързани с </w:t>
      </w:r>
      <w:r w:rsidR="00EF486F" w:rsidRPr="006A6A73">
        <w:t>употребата на наркотици</w:t>
      </w:r>
      <w:r w:rsidR="00F93D2D" w:rsidRPr="006A6A73">
        <w:t xml:space="preserve"> заболявания, </w:t>
      </w:r>
      <w:r w:rsidR="00EF486F" w:rsidRPr="006A6A73">
        <w:t>злополуки</w:t>
      </w:r>
      <w:r w:rsidR="00F93D2D" w:rsidRPr="006A6A73">
        <w:t xml:space="preserve">, насилие и самоубийства. </w:t>
      </w:r>
      <w:r w:rsidR="005C3843" w:rsidRPr="006A6A73">
        <w:t>През 2012 г. в Ев</w:t>
      </w:r>
      <w:r w:rsidR="00F93D2D" w:rsidRPr="006A6A73">
        <w:t xml:space="preserve">ропа са отчетени </w:t>
      </w:r>
      <w:r w:rsidR="005C3843" w:rsidRPr="006A6A73">
        <w:t>близо</w:t>
      </w:r>
      <w:r w:rsidR="00F93D2D" w:rsidRPr="006A6A73">
        <w:t xml:space="preserve"> 6</w:t>
      </w:r>
      <w:r w:rsidR="00153B97" w:rsidRPr="006A6A73">
        <w:t>100</w:t>
      </w:r>
      <w:r w:rsidR="00F93D2D" w:rsidRPr="006A6A73">
        <w:t xml:space="preserve"> </w:t>
      </w:r>
      <w:r w:rsidR="0064364B" w:rsidRPr="006A6A73">
        <w:t xml:space="preserve">случая </w:t>
      </w:r>
      <w:r w:rsidR="00F93D2D" w:rsidRPr="006A6A73">
        <w:t>на свръхдоза</w:t>
      </w:r>
      <w:r w:rsidR="00153B97" w:rsidRPr="006A6A73">
        <w:t xml:space="preserve">, </w:t>
      </w:r>
      <w:r w:rsidR="005C3843" w:rsidRPr="006A6A73">
        <w:t>свързани предимно с опиоиди</w:t>
      </w:r>
      <w:r w:rsidR="009870DF" w:rsidRPr="006A6A73">
        <w:t xml:space="preserve">, </w:t>
      </w:r>
      <w:r w:rsidR="00EA1A70" w:rsidRPr="006A6A73">
        <w:t>което бележи спад в сравнение с данните за</w:t>
      </w:r>
      <w:r w:rsidR="009870DF" w:rsidRPr="006A6A73">
        <w:t xml:space="preserve"> 2011 г. </w:t>
      </w:r>
      <w:r w:rsidR="00EA1A70" w:rsidRPr="006A6A73">
        <w:t xml:space="preserve">и 2009 г. (съответно 6500 и </w:t>
      </w:r>
      <w:r w:rsidR="00F93D2D" w:rsidRPr="006A6A73">
        <w:t>7</w:t>
      </w:r>
      <w:r w:rsidR="00153B97" w:rsidRPr="006A6A73">
        <w:t>100</w:t>
      </w:r>
      <w:r w:rsidR="00EA1A70" w:rsidRPr="006A6A73">
        <w:t xml:space="preserve"> случая)</w:t>
      </w:r>
      <w:r w:rsidR="00153B97" w:rsidRPr="006A6A73">
        <w:t xml:space="preserve">. </w:t>
      </w:r>
      <w:r w:rsidR="009870DF" w:rsidRPr="006A6A73">
        <w:t>Постигнатият в тази област напредък може да се</w:t>
      </w:r>
      <w:r w:rsidR="005B651B" w:rsidRPr="006A6A73">
        <w:t xml:space="preserve"> обясни</w:t>
      </w:r>
      <w:r w:rsidR="009870DF" w:rsidRPr="006A6A73">
        <w:t xml:space="preserve"> отчаст</w:t>
      </w:r>
      <w:r w:rsidR="005B651B" w:rsidRPr="006A6A73">
        <w:t>и с увеличаването на мащаба на лечението и намаляването на вредите (напр</w:t>
      </w:r>
      <w:r w:rsidR="00153B97" w:rsidRPr="006A6A73">
        <w:t xml:space="preserve">. </w:t>
      </w:r>
      <w:r w:rsidR="004F0863" w:rsidRPr="006A6A73">
        <w:t>заместващо лечение с опи</w:t>
      </w:r>
      <w:r w:rsidR="0064364B" w:rsidRPr="006A6A73">
        <w:t>оиди</w:t>
      </w:r>
      <w:r w:rsidR="00153B97" w:rsidRPr="006A6A73">
        <w:t xml:space="preserve">). </w:t>
      </w:r>
      <w:r w:rsidR="00FA1093" w:rsidRPr="006A6A73">
        <w:t>Независимо от това</w:t>
      </w:r>
      <w:r w:rsidR="00153B97" w:rsidRPr="006A6A73">
        <w:t xml:space="preserve">, </w:t>
      </w:r>
      <w:r w:rsidR="00E34266" w:rsidRPr="006A6A73">
        <w:t xml:space="preserve">за разлика от окуражителната </w:t>
      </w:r>
      <w:r w:rsidR="003926B0" w:rsidRPr="006A6A73">
        <w:t>общо</w:t>
      </w:r>
      <w:r w:rsidR="00E34266" w:rsidRPr="006A6A73">
        <w:t xml:space="preserve">европейска тенденция, </w:t>
      </w:r>
      <w:r w:rsidR="00801B55" w:rsidRPr="006A6A73">
        <w:t xml:space="preserve">в някои държави броят на </w:t>
      </w:r>
      <w:r w:rsidR="00E34266" w:rsidRPr="006A6A73">
        <w:t xml:space="preserve">смъртните случаи </w:t>
      </w:r>
      <w:r w:rsidR="00801B55" w:rsidRPr="006A6A73">
        <w:t>поради свръхдоза остава висок или се увеличава</w:t>
      </w:r>
      <w:r w:rsidR="00153B97" w:rsidRPr="006A6A73">
        <w:t xml:space="preserve">. </w:t>
      </w:r>
    </w:p>
    <w:p w:rsidR="00153B97" w:rsidRPr="006A6A73" w:rsidRDefault="00B31B9D" w:rsidP="007F0D31">
      <w:pPr>
        <w:pStyle w:val="newsContent"/>
      </w:pPr>
      <w:r w:rsidRPr="006A6A73">
        <w:t xml:space="preserve">Средното за Европа равнище на смъртността, причинена от свръхдоза наркотици, се оценява на </w:t>
      </w:r>
      <w:r w:rsidR="00153B97" w:rsidRPr="006A6A73">
        <w:t xml:space="preserve">17 </w:t>
      </w:r>
      <w:r w:rsidR="00E02BE5" w:rsidRPr="006A6A73">
        <w:t>смъртни случая на милион души</w:t>
      </w:r>
      <w:r w:rsidR="00153B97" w:rsidRPr="006A6A73">
        <w:t xml:space="preserve"> (</w:t>
      </w:r>
      <w:r w:rsidR="00E02BE5" w:rsidRPr="006A6A73">
        <w:t xml:space="preserve">на възраст </w:t>
      </w:r>
      <w:r w:rsidR="00153B97" w:rsidRPr="006A6A73">
        <w:t xml:space="preserve">15–64 </w:t>
      </w:r>
      <w:r w:rsidR="00E02BE5" w:rsidRPr="006A6A73">
        <w:t>години</w:t>
      </w:r>
      <w:r w:rsidR="00153B97" w:rsidRPr="006A6A73">
        <w:t xml:space="preserve">), </w:t>
      </w:r>
      <w:r w:rsidR="00E02BE5" w:rsidRPr="006A6A73">
        <w:t xml:space="preserve">но това съотношение е придружено от големи национални вариации. </w:t>
      </w:r>
      <w:r w:rsidR="003D096E" w:rsidRPr="006A6A73">
        <w:t xml:space="preserve">В пет държави са отчетени над </w:t>
      </w:r>
      <w:r w:rsidR="00153B97" w:rsidRPr="006A6A73">
        <w:t xml:space="preserve">50 </w:t>
      </w:r>
      <w:r w:rsidR="003D096E" w:rsidRPr="006A6A73">
        <w:t>смъртни сл</w:t>
      </w:r>
      <w:r w:rsidRPr="006A6A73">
        <w:t>учая</w:t>
      </w:r>
      <w:r w:rsidR="003D096E" w:rsidRPr="006A6A73">
        <w:t xml:space="preserve"> на милион</w:t>
      </w:r>
      <w:r w:rsidRPr="006A6A73">
        <w:t xml:space="preserve"> души</w:t>
      </w:r>
      <w:r w:rsidR="00153B97" w:rsidRPr="006A6A73">
        <w:t xml:space="preserve">, </w:t>
      </w:r>
      <w:r w:rsidR="003D096E" w:rsidRPr="006A6A73">
        <w:t>като най-високите равнища са в</w:t>
      </w:r>
      <w:r w:rsidR="00153B97" w:rsidRPr="006A6A73">
        <w:t xml:space="preserve"> </w:t>
      </w:r>
      <w:r w:rsidR="003D096E" w:rsidRPr="006A6A73">
        <w:rPr>
          <w:b/>
        </w:rPr>
        <w:t>Естония</w:t>
      </w:r>
      <w:r w:rsidR="00153B97" w:rsidRPr="006A6A73">
        <w:t xml:space="preserve"> (191 </w:t>
      </w:r>
      <w:r w:rsidR="003D096E" w:rsidRPr="006A6A73">
        <w:t>на милион</w:t>
      </w:r>
      <w:r w:rsidR="00153B97" w:rsidRPr="006A6A73">
        <w:t xml:space="preserve">) </w:t>
      </w:r>
      <w:r w:rsidR="003D096E" w:rsidRPr="006A6A73">
        <w:t>и в</w:t>
      </w:r>
      <w:r w:rsidR="00153B97" w:rsidRPr="006A6A73">
        <w:t xml:space="preserve"> </w:t>
      </w:r>
      <w:r w:rsidR="003D096E" w:rsidRPr="006A6A73">
        <w:rPr>
          <w:b/>
        </w:rPr>
        <w:t>Норвегия</w:t>
      </w:r>
      <w:r w:rsidR="00153B97" w:rsidRPr="006A6A73">
        <w:t xml:space="preserve"> (76 </w:t>
      </w:r>
      <w:r w:rsidR="003D096E" w:rsidRPr="006A6A73">
        <w:t>на милион</w:t>
      </w:r>
      <w:r w:rsidR="00153B97" w:rsidRPr="006A6A73">
        <w:t xml:space="preserve">), </w:t>
      </w:r>
      <w:r w:rsidR="003D096E" w:rsidRPr="006A6A73">
        <w:t xml:space="preserve">следвани от </w:t>
      </w:r>
      <w:r w:rsidR="003D096E" w:rsidRPr="006A6A73">
        <w:rPr>
          <w:b/>
        </w:rPr>
        <w:t>Ирландия</w:t>
      </w:r>
      <w:r w:rsidR="00153B97" w:rsidRPr="006A6A73">
        <w:t xml:space="preserve"> (70 </w:t>
      </w:r>
      <w:r w:rsidR="003D096E" w:rsidRPr="006A6A73">
        <w:t>на милион</w:t>
      </w:r>
      <w:r w:rsidR="00153B97" w:rsidRPr="006A6A73">
        <w:t xml:space="preserve">), </w:t>
      </w:r>
      <w:r w:rsidR="003D096E" w:rsidRPr="006A6A73">
        <w:rPr>
          <w:b/>
        </w:rPr>
        <w:t>Швеция</w:t>
      </w:r>
      <w:r w:rsidR="00153B97" w:rsidRPr="006A6A73">
        <w:t xml:space="preserve"> (63 </w:t>
      </w:r>
      <w:r w:rsidR="003D096E" w:rsidRPr="006A6A73">
        <w:t>на милион</w:t>
      </w:r>
      <w:r w:rsidR="00153B97" w:rsidRPr="006A6A73">
        <w:t xml:space="preserve">) </w:t>
      </w:r>
      <w:r w:rsidR="003D096E" w:rsidRPr="006A6A73">
        <w:t>и</w:t>
      </w:r>
      <w:r w:rsidR="00153B97" w:rsidRPr="006A6A73">
        <w:t xml:space="preserve"> </w:t>
      </w:r>
      <w:r w:rsidR="003D096E" w:rsidRPr="006A6A73">
        <w:rPr>
          <w:b/>
        </w:rPr>
        <w:t>Финландия</w:t>
      </w:r>
      <w:r w:rsidR="00153B97" w:rsidRPr="006A6A73">
        <w:t xml:space="preserve"> (58 </w:t>
      </w:r>
      <w:r w:rsidR="003D096E" w:rsidRPr="006A6A73">
        <w:t>на милион</w:t>
      </w:r>
      <w:r w:rsidR="00153B97" w:rsidRPr="006A6A73">
        <w:t>) (</w:t>
      </w:r>
      <w:r w:rsidR="0072670E" w:rsidRPr="006A6A73">
        <w:t>фигура</w:t>
      </w:r>
      <w:r w:rsidR="006B4903" w:rsidRPr="006A6A73">
        <w:t xml:space="preserve"> 2.13)</w:t>
      </w:r>
      <w:r w:rsidR="00FE0B76" w:rsidRPr="00FE0B76">
        <w:rPr>
          <w:lang w:val="ru-RU"/>
        </w:rPr>
        <w:t>(</w:t>
      </w:r>
      <w:r w:rsidR="00FE0B76" w:rsidRPr="00FE0B76">
        <w:rPr>
          <w:vertAlign w:val="superscript"/>
          <w:lang w:val="ru-RU"/>
        </w:rPr>
        <w:t>2</w:t>
      </w:r>
      <w:r w:rsidR="00FE0B76" w:rsidRPr="00FE0B76">
        <w:rPr>
          <w:lang w:val="ru-RU"/>
        </w:rPr>
        <w:t>)</w:t>
      </w:r>
      <w:r w:rsidR="00FE0B76" w:rsidRPr="006A6A73">
        <w:t>.</w:t>
      </w:r>
      <w:r w:rsidR="00153B97" w:rsidRPr="006A6A73">
        <w:t xml:space="preserve"> </w:t>
      </w:r>
    </w:p>
    <w:p w:rsidR="00153B97" w:rsidRPr="006A6A73" w:rsidRDefault="003D096E" w:rsidP="007F0D31">
      <w:pPr>
        <w:pStyle w:val="newsContent"/>
      </w:pPr>
      <w:r w:rsidRPr="006A6A73">
        <w:t>Макар че много</w:t>
      </w:r>
      <w:r w:rsidR="00025768" w:rsidRPr="006A6A73">
        <w:t xml:space="preserve"> от завършилите фатално случаи на</w:t>
      </w:r>
      <w:r w:rsidRPr="006A6A73">
        <w:t xml:space="preserve"> свръхдоза все още се дължат на хероина, причинените от него смъртни случаи намаляват като цяло, докато тези, свързани със </w:t>
      </w:r>
      <w:r w:rsidR="00025768" w:rsidRPr="006A6A73">
        <w:t>синтетичните опиоиди, нарастват</w:t>
      </w:r>
      <w:r w:rsidR="00153B97" w:rsidRPr="006A6A73">
        <w:t xml:space="preserve"> </w:t>
      </w:r>
      <w:r w:rsidRPr="006A6A73">
        <w:t>в някои държави</w:t>
      </w:r>
      <w:r w:rsidR="00153B97" w:rsidRPr="006A6A73">
        <w:t>.</w:t>
      </w:r>
      <w:r w:rsidR="00FB680C" w:rsidRPr="006A6A73">
        <w:t xml:space="preserve"> </w:t>
      </w:r>
      <w:r w:rsidR="006B7A6C" w:rsidRPr="006A6A73">
        <w:t xml:space="preserve">Броят на смъртните случаи, причинени от </w:t>
      </w:r>
      <w:r w:rsidRPr="006A6A73">
        <w:t>свръхдоза</w:t>
      </w:r>
      <w:r w:rsidR="006B7A6C" w:rsidRPr="006A6A73">
        <w:t>,</w:t>
      </w:r>
      <w:r w:rsidRPr="006A6A73">
        <w:t xml:space="preserve"> нарастват рязко (с</w:t>
      </w:r>
      <w:r w:rsidR="00153B97" w:rsidRPr="006A6A73">
        <w:t xml:space="preserve"> 38%) </w:t>
      </w:r>
      <w:r w:rsidRPr="006A6A73">
        <w:t>в</w:t>
      </w:r>
      <w:r w:rsidR="00153B97" w:rsidRPr="006A6A73">
        <w:t xml:space="preserve"> </w:t>
      </w:r>
      <w:r w:rsidRPr="006A6A73">
        <w:rPr>
          <w:b/>
        </w:rPr>
        <w:t>Естония</w:t>
      </w:r>
      <w:r w:rsidR="00153B97" w:rsidRPr="006A6A73">
        <w:t xml:space="preserve"> </w:t>
      </w:r>
      <w:r w:rsidRPr="006A6A73">
        <w:t>през</w:t>
      </w:r>
      <w:r w:rsidR="00153B97" w:rsidRPr="006A6A73">
        <w:t xml:space="preserve"> 2012</w:t>
      </w:r>
      <w:r w:rsidRPr="006A6A73">
        <w:t> г.</w:t>
      </w:r>
      <w:r w:rsidR="00153B97" w:rsidRPr="006A6A73">
        <w:t xml:space="preserve">, </w:t>
      </w:r>
      <w:r w:rsidRPr="006A6A73">
        <w:t xml:space="preserve">като </w:t>
      </w:r>
      <w:r w:rsidR="00DE4932" w:rsidRPr="006A6A73">
        <w:t xml:space="preserve">това се дължи </w:t>
      </w:r>
      <w:r w:rsidRPr="006A6A73">
        <w:t>основн</w:t>
      </w:r>
      <w:r w:rsidR="00DE4932" w:rsidRPr="006A6A73">
        <w:t>о</w:t>
      </w:r>
      <w:r w:rsidR="002A5DC8" w:rsidRPr="006A6A73">
        <w:t xml:space="preserve"> на </w:t>
      </w:r>
      <w:r w:rsidRPr="006A6A73">
        <w:t>фентанил</w:t>
      </w:r>
      <w:r w:rsidR="002A5DC8" w:rsidRPr="006A6A73">
        <w:t>а и неговите производни</w:t>
      </w:r>
      <w:r w:rsidR="00153B97" w:rsidRPr="006A6A73">
        <w:t xml:space="preserve">. </w:t>
      </w:r>
      <w:r w:rsidR="00C07BF2" w:rsidRPr="006A6A73">
        <w:t xml:space="preserve">Неконтролираните производни </w:t>
      </w:r>
      <w:r w:rsidR="00DE4932" w:rsidRPr="006A6A73">
        <w:t>на</w:t>
      </w:r>
      <w:r w:rsidR="00C07BF2" w:rsidRPr="006A6A73">
        <w:t xml:space="preserve"> фентанила и редица други силни синтетични опиоиди (напр</w:t>
      </w:r>
      <w:r w:rsidR="00153B97" w:rsidRPr="006A6A73">
        <w:t xml:space="preserve">. AH-7921) </w:t>
      </w:r>
      <w:r w:rsidR="00B0268B" w:rsidRPr="006A6A73">
        <w:t xml:space="preserve">присъстват все по-интензивно на незаконния пазар според данните от </w:t>
      </w:r>
      <w:r w:rsidR="00B0268B" w:rsidRPr="006A6A73">
        <w:rPr>
          <w:b/>
        </w:rPr>
        <w:t xml:space="preserve">Системата </w:t>
      </w:r>
      <w:r w:rsidR="00AE5ADD" w:rsidRPr="006A6A73">
        <w:rPr>
          <w:b/>
        </w:rPr>
        <w:t xml:space="preserve">на ЕС </w:t>
      </w:r>
      <w:r w:rsidR="00B0268B" w:rsidRPr="006A6A73">
        <w:rPr>
          <w:b/>
        </w:rPr>
        <w:t xml:space="preserve">за ранно предупреждение </w:t>
      </w:r>
      <w:r w:rsidR="00153B97" w:rsidRPr="006A6A73">
        <w:rPr>
          <w:b/>
        </w:rPr>
        <w:t>(EU–EWS)</w:t>
      </w:r>
      <w:r w:rsidR="00153B97" w:rsidRPr="006A6A73">
        <w:t xml:space="preserve">. </w:t>
      </w:r>
    </w:p>
    <w:p w:rsidR="00153B97" w:rsidRPr="006A6A73" w:rsidRDefault="00CE3124" w:rsidP="007F0D31">
      <w:pPr>
        <w:pStyle w:val="newsContent"/>
        <w:rPr>
          <w:b/>
        </w:rPr>
      </w:pPr>
      <w:bookmarkStart w:id="3" w:name="_Toc379798930"/>
      <w:r w:rsidRPr="006A6A73">
        <w:rPr>
          <w:b/>
        </w:rPr>
        <w:lastRenderedPageBreak/>
        <w:t>ХИВ: регистрирани епидемични взривове оказват</w:t>
      </w:r>
      <w:r w:rsidR="000D282F">
        <w:rPr>
          <w:b/>
        </w:rPr>
        <w:t xml:space="preserve"> отрицателно</w:t>
      </w:r>
      <w:r w:rsidRPr="006A6A73">
        <w:rPr>
          <w:b/>
        </w:rPr>
        <w:t xml:space="preserve"> въздействие върху тенденцията в ЕС</w:t>
      </w:r>
      <w:bookmarkEnd w:id="3"/>
      <w:r w:rsidRPr="006A6A73">
        <w:rPr>
          <w:b/>
        </w:rPr>
        <w:t xml:space="preserve"> </w:t>
      </w:r>
    </w:p>
    <w:p w:rsidR="00153B97" w:rsidRPr="006A6A73" w:rsidRDefault="0099454F" w:rsidP="007F0D31">
      <w:pPr>
        <w:pStyle w:val="newsContent"/>
      </w:pPr>
      <w:r w:rsidRPr="006A6A73">
        <w:t>През последното десетилетие в ЕС е отбелязан голям</w:t>
      </w:r>
      <w:r w:rsidR="00327D98" w:rsidRPr="006A6A73">
        <w:t xml:space="preserve"> напредък в борбата срещу </w:t>
      </w:r>
      <w:r w:rsidR="00D92CD4" w:rsidRPr="006A6A73">
        <w:t>заразяването</w:t>
      </w:r>
      <w:r w:rsidRPr="006A6A73">
        <w:t xml:space="preserve"> с ХИВ</w:t>
      </w:r>
      <w:r w:rsidR="007C0D82">
        <w:t xml:space="preserve"> сред лиц</w:t>
      </w:r>
      <w:r w:rsidR="00327D98" w:rsidRPr="006A6A73">
        <w:t xml:space="preserve">ата, употребяващи </w:t>
      </w:r>
      <w:r w:rsidR="00D92CD4" w:rsidRPr="006A6A73">
        <w:t xml:space="preserve">наркотици </w:t>
      </w:r>
      <w:r w:rsidR="00DA289D" w:rsidRPr="006A6A73">
        <w:t>инжекционно</w:t>
      </w:r>
      <w:r w:rsidR="00D92CD4" w:rsidRPr="006A6A73">
        <w:t>, включително</w:t>
      </w:r>
      <w:r w:rsidR="00327D98" w:rsidRPr="006A6A73">
        <w:t xml:space="preserve"> по-голям обхват на мерките за превенция, лечение и намаляване на вредите</w:t>
      </w:r>
      <w:r w:rsidR="00586EE5" w:rsidRPr="006A6A73">
        <w:t xml:space="preserve">. При все това по най-актуални сведения ситуацията в някои държави влияе неблагоприятно върху дългосрочното намаляване на броя </w:t>
      </w:r>
      <w:r w:rsidR="007238E3" w:rsidRPr="006A6A73">
        <w:t xml:space="preserve">диагностицирани </w:t>
      </w:r>
      <w:r w:rsidR="00586EE5" w:rsidRPr="006A6A73">
        <w:t xml:space="preserve">нови </w:t>
      </w:r>
      <w:r w:rsidR="007238E3" w:rsidRPr="006A6A73">
        <w:t xml:space="preserve">случаи на заразяване с </w:t>
      </w:r>
      <w:r w:rsidR="00586EE5" w:rsidRPr="006A6A73">
        <w:t>ХИВ в Европа. „</w:t>
      </w:r>
      <w:r w:rsidR="00CE3124" w:rsidRPr="006A6A73">
        <w:t>Епидемичните взривове</w:t>
      </w:r>
      <w:r w:rsidR="00D63DA7" w:rsidRPr="006A6A73">
        <w:t xml:space="preserve"> на ХИВ сред употребяващите наркотици в</w:t>
      </w:r>
      <w:r w:rsidR="00153B97" w:rsidRPr="006A6A73">
        <w:t xml:space="preserve"> </w:t>
      </w:r>
      <w:r w:rsidR="00D63DA7" w:rsidRPr="006A6A73">
        <w:rPr>
          <w:b/>
        </w:rPr>
        <w:t>Гърция</w:t>
      </w:r>
      <w:r w:rsidR="00153B97" w:rsidRPr="006A6A73">
        <w:t xml:space="preserve"> </w:t>
      </w:r>
      <w:r w:rsidR="00D63DA7" w:rsidRPr="006A6A73">
        <w:t>и</w:t>
      </w:r>
      <w:r w:rsidR="00153B97" w:rsidRPr="006A6A73">
        <w:t xml:space="preserve"> </w:t>
      </w:r>
      <w:r w:rsidR="00D63DA7" w:rsidRPr="006A6A73">
        <w:rPr>
          <w:b/>
        </w:rPr>
        <w:t>Румъния</w:t>
      </w:r>
      <w:r w:rsidR="00153B97" w:rsidRPr="006A6A73">
        <w:t xml:space="preserve">, </w:t>
      </w:r>
      <w:r w:rsidR="00EB3264" w:rsidRPr="006A6A73">
        <w:t>както и</w:t>
      </w:r>
      <w:r w:rsidR="00D63DA7" w:rsidRPr="006A6A73">
        <w:t xml:space="preserve"> текущите проблеми в някои </w:t>
      </w:r>
      <w:r w:rsidR="00D63DA7" w:rsidRPr="006A6A73">
        <w:rPr>
          <w:b/>
        </w:rPr>
        <w:t xml:space="preserve">балтийски </w:t>
      </w:r>
      <w:r w:rsidR="00EB3264" w:rsidRPr="006A6A73">
        <w:rPr>
          <w:b/>
        </w:rPr>
        <w:t>държави</w:t>
      </w:r>
      <w:r w:rsidR="00153B97" w:rsidRPr="006A6A73">
        <w:t xml:space="preserve">, </w:t>
      </w:r>
      <w:r w:rsidR="00EB3264" w:rsidRPr="006A6A73">
        <w:t xml:space="preserve">пресякоха тенденцията в Европа за намаляване на броя на новите случаи </w:t>
      </w:r>
      <w:r w:rsidR="00D92CD4" w:rsidRPr="006A6A73">
        <w:t xml:space="preserve">на заразяване </w:t>
      </w:r>
      <w:r w:rsidR="00E90E98" w:rsidRPr="006A6A73">
        <w:t>с ХИВ</w:t>
      </w:r>
      <w:r w:rsidR="00EB3264" w:rsidRPr="006A6A73">
        <w:t xml:space="preserve"> поради </w:t>
      </w:r>
      <w:r w:rsidR="00F91F58" w:rsidRPr="006A6A73">
        <w:t>употребата на наркотици“, се посочва в доклада</w:t>
      </w:r>
      <w:r w:rsidR="00153B97" w:rsidRPr="006A6A73">
        <w:t xml:space="preserve">. </w:t>
      </w:r>
    </w:p>
    <w:p w:rsidR="00153B97" w:rsidRPr="006A6A73" w:rsidRDefault="00D92CD4" w:rsidP="007F0D31">
      <w:pPr>
        <w:pStyle w:val="newsContent"/>
      </w:pPr>
      <w:r w:rsidRPr="006A6A73">
        <w:t xml:space="preserve">Средният </w:t>
      </w:r>
      <w:r w:rsidR="00527BF7">
        <w:t>дял</w:t>
      </w:r>
      <w:r w:rsidR="00527BF7" w:rsidRPr="006A6A73">
        <w:t xml:space="preserve"> </w:t>
      </w:r>
      <w:r w:rsidRPr="006A6A73">
        <w:t>на поставените нови диагнози</w:t>
      </w:r>
      <w:r w:rsidR="00527BF7">
        <w:t xml:space="preserve"> за</w:t>
      </w:r>
      <w:r w:rsidRPr="006A6A73">
        <w:t xml:space="preserve"> ХИВ, дължащи се на </w:t>
      </w:r>
      <w:r w:rsidR="00DA289D" w:rsidRPr="006A6A73">
        <w:t>инжекционно</w:t>
      </w:r>
      <w:r w:rsidRPr="006A6A73">
        <w:t xml:space="preserve"> приемани наркотици, е 3,</w:t>
      </w:r>
      <w:r w:rsidR="00153B97" w:rsidRPr="006A6A73">
        <w:t xml:space="preserve">1 </w:t>
      </w:r>
      <w:r w:rsidRPr="006A6A73">
        <w:t>на милион души</w:t>
      </w:r>
      <w:r w:rsidR="00153B97" w:rsidRPr="006A6A73">
        <w:t xml:space="preserve"> </w:t>
      </w:r>
      <w:r w:rsidRPr="006A6A73">
        <w:t>през</w:t>
      </w:r>
      <w:r w:rsidR="00153B97" w:rsidRPr="006A6A73">
        <w:t xml:space="preserve"> 2012</w:t>
      </w:r>
      <w:r w:rsidRPr="006A6A73">
        <w:t> г</w:t>
      </w:r>
      <w:r w:rsidR="00153B97" w:rsidRPr="006A6A73">
        <w:t xml:space="preserve">. </w:t>
      </w:r>
      <w:r w:rsidRPr="006A6A73">
        <w:t>В</w:t>
      </w:r>
      <w:r w:rsidR="00153B97" w:rsidRPr="006A6A73">
        <w:t xml:space="preserve"> </w:t>
      </w:r>
      <w:r w:rsidRPr="006A6A73">
        <w:rPr>
          <w:b/>
        </w:rPr>
        <w:t>Естония</w:t>
      </w:r>
      <w:r w:rsidR="00153B97" w:rsidRPr="006A6A73">
        <w:t xml:space="preserve"> </w:t>
      </w:r>
      <w:r w:rsidR="00527BF7">
        <w:t>делът</w:t>
      </w:r>
      <w:r w:rsidR="00527BF7" w:rsidRPr="006A6A73">
        <w:t xml:space="preserve"> </w:t>
      </w:r>
      <w:r w:rsidRPr="006A6A73">
        <w:t>на поставените нови диагнози остава висок</w:t>
      </w:r>
      <w:r w:rsidR="00153B97" w:rsidRPr="006A6A73">
        <w:t xml:space="preserve"> </w:t>
      </w:r>
      <w:r w:rsidRPr="006A6A73">
        <w:t>(53,</w:t>
      </w:r>
      <w:r w:rsidR="00153B97" w:rsidRPr="006A6A73">
        <w:t xml:space="preserve">7 </w:t>
      </w:r>
      <w:r w:rsidRPr="006A6A73">
        <w:t xml:space="preserve">случая на милион през </w:t>
      </w:r>
      <w:r w:rsidR="00153B97" w:rsidRPr="006A6A73">
        <w:t>2012</w:t>
      </w:r>
      <w:r w:rsidRPr="006A6A73">
        <w:t> г.</w:t>
      </w:r>
      <w:r w:rsidR="00153B97" w:rsidRPr="006A6A73">
        <w:t xml:space="preserve">), </w:t>
      </w:r>
      <w:r w:rsidRPr="006A6A73">
        <w:t>докато в</w:t>
      </w:r>
      <w:r w:rsidR="00153B97" w:rsidRPr="006A6A73">
        <w:t xml:space="preserve"> </w:t>
      </w:r>
      <w:r w:rsidRPr="006A6A73">
        <w:rPr>
          <w:b/>
        </w:rPr>
        <w:t>Латвия</w:t>
      </w:r>
      <w:r w:rsidR="00153B97" w:rsidRPr="006A6A73">
        <w:t xml:space="preserve"> </w:t>
      </w:r>
      <w:r w:rsidR="002A5C04" w:rsidRPr="006A6A73">
        <w:t xml:space="preserve">годишните стойности се увеличават от </w:t>
      </w:r>
      <w:r w:rsidR="00153B97" w:rsidRPr="006A6A73">
        <w:t>2009</w:t>
      </w:r>
      <w:r w:rsidR="002A5C04" w:rsidRPr="006A6A73">
        <w:t> г. насам (от 34,</w:t>
      </w:r>
      <w:r w:rsidR="00153B97" w:rsidRPr="006A6A73">
        <w:t xml:space="preserve">5 </w:t>
      </w:r>
      <w:r w:rsidR="002A5C04" w:rsidRPr="006A6A73">
        <w:t>случая на един милион през</w:t>
      </w:r>
      <w:r w:rsidR="00153B97" w:rsidRPr="006A6A73">
        <w:t xml:space="preserve"> 2009</w:t>
      </w:r>
      <w:r w:rsidR="002A5C04" w:rsidRPr="006A6A73">
        <w:t> г. до</w:t>
      </w:r>
      <w:r w:rsidR="00153B97" w:rsidRPr="006A6A73">
        <w:t xml:space="preserve"> </w:t>
      </w:r>
      <w:r w:rsidR="002A5C04" w:rsidRPr="006A6A73">
        <w:t>46,</w:t>
      </w:r>
      <w:r w:rsidR="00153B97" w:rsidRPr="006A6A73">
        <w:t xml:space="preserve">0 </w:t>
      </w:r>
      <w:r w:rsidR="002A5C04" w:rsidRPr="006A6A73">
        <w:t>през</w:t>
      </w:r>
      <w:r w:rsidR="00153B97" w:rsidRPr="006A6A73">
        <w:t xml:space="preserve"> 2012</w:t>
      </w:r>
      <w:r w:rsidR="002A5C04" w:rsidRPr="006A6A73">
        <w:t> г.</w:t>
      </w:r>
      <w:r w:rsidR="003E3CDC" w:rsidRPr="006A6A73">
        <w:t xml:space="preserve">). Броят на </w:t>
      </w:r>
      <w:r w:rsidR="00E9054B" w:rsidRPr="006A6A73">
        <w:t xml:space="preserve">отчетените </w:t>
      </w:r>
      <w:r w:rsidR="003E3CDC" w:rsidRPr="006A6A73">
        <w:t xml:space="preserve">нови </w:t>
      </w:r>
      <w:r w:rsidR="00E9054B" w:rsidRPr="006A6A73">
        <w:t>случаи на заразяване с ХИВ е 1</w:t>
      </w:r>
      <w:r w:rsidR="00153B97" w:rsidRPr="006A6A73">
        <w:t xml:space="preserve">788 </w:t>
      </w:r>
      <w:r w:rsidR="00E9054B" w:rsidRPr="006A6A73">
        <w:t>през</w:t>
      </w:r>
      <w:r w:rsidR="00153B97" w:rsidRPr="006A6A73">
        <w:t xml:space="preserve"> 2012</w:t>
      </w:r>
      <w:r w:rsidR="00E9054B" w:rsidRPr="006A6A73">
        <w:t xml:space="preserve"> г. </w:t>
      </w:r>
      <w:r w:rsidR="00E9054B" w:rsidRPr="006A6A73">
        <w:rPr>
          <w:rFonts w:cs="Arial"/>
        </w:rPr>
        <w:t>–</w:t>
      </w:r>
      <w:r w:rsidR="00E9054B" w:rsidRPr="006A6A73">
        <w:t xml:space="preserve"> малко над стойността за </w:t>
      </w:r>
      <w:r w:rsidR="00153B97" w:rsidRPr="006A6A73">
        <w:t>2011</w:t>
      </w:r>
      <w:r w:rsidR="00E9054B" w:rsidRPr="006A6A73">
        <w:t> г. (1</w:t>
      </w:r>
      <w:r w:rsidR="00153B97" w:rsidRPr="006A6A73">
        <w:t xml:space="preserve">732), </w:t>
      </w:r>
      <w:r w:rsidR="00E9054B" w:rsidRPr="006A6A73">
        <w:t xml:space="preserve">с което наблюдаваната от 2010 г. възходяща тенденция продължава </w:t>
      </w:r>
      <w:r w:rsidR="00153B97" w:rsidRPr="006A6A73">
        <w:t>(</w:t>
      </w:r>
      <w:r w:rsidR="0072670E" w:rsidRPr="006A6A73">
        <w:t>фигура</w:t>
      </w:r>
      <w:r w:rsidR="00E9054B" w:rsidRPr="006A6A73">
        <w:t> </w:t>
      </w:r>
      <w:r w:rsidR="00153B97" w:rsidRPr="006A6A73">
        <w:t xml:space="preserve">2.11). </w:t>
      </w:r>
      <w:r w:rsidR="00E9054B" w:rsidRPr="006A6A73">
        <w:t xml:space="preserve">Докато през </w:t>
      </w:r>
      <w:r w:rsidR="00153B97" w:rsidRPr="006A6A73">
        <w:t>2010</w:t>
      </w:r>
      <w:r w:rsidR="00E9054B" w:rsidRPr="006A6A73">
        <w:t> г.</w:t>
      </w:r>
      <w:r w:rsidR="00153B97" w:rsidRPr="006A6A73">
        <w:t xml:space="preserve"> </w:t>
      </w:r>
      <w:r w:rsidR="00E9054B" w:rsidRPr="006A6A73">
        <w:t xml:space="preserve">случаите в </w:t>
      </w:r>
      <w:r w:rsidR="00E9054B" w:rsidRPr="006A6A73">
        <w:rPr>
          <w:b/>
        </w:rPr>
        <w:t>Гърция</w:t>
      </w:r>
      <w:r w:rsidR="00153B97" w:rsidRPr="006A6A73">
        <w:t xml:space="preserve"> </w:t>
      </w:r>
      <w:r w:rsidR="00E9054B" w:rsidRPr="006A6A73">
        <w:t>и</w:t>
      </w:r>
      <w:r w:rsidR="00153B97" w:rsidRPr="006A6A73">
        <w:t xml:space="preserve"> </w:t>
      </w:r>
      <w:r w:rsidR="00E9054B" w:rsidRPr="006A6A73">
        <w:rPr>
          <w:b/>
        </w:rPr>
        <w:t>Румъния</w:t>
      </w:r>
      <w:r w:rsidR="00153B97" w:rsidRPr="006A6A73">
        <w:t xml:space="preserve"> </w:t>
      </w:r>
      <w:r w:rsidR="00E9054B" w:rsidRPr="006A6A73">
        <w:t>съставляват малко над</w:t>
      </w:r>
      <w:r w:rsidR="00153B97" w:rsidRPr="006A6A73">
        <w:t xml:space="preserve"> 2% </w:t>
      </w:r>
      <w:r w:rsidR="00E9054B" w:rsidRPr="006A6A73">
        <w:t xml:space="preserve">от общия брой отчетени в ЕС нови диагнози сред заразените при </w:t>
      </w:r>
      <w:r w:rsidR="003E3CDC" w:rsidRPr="006A6A73">
        <w:t>инжекционен</w:t>
      </w:r>
      <w:r w:rsidR="00E9054B" w:rsidRPr="006A6A73">
        <w:t xml:space="preserve"> прием на наркотици</w:t>
      </w:r>
      <w:r w:rsidR="00153B97" w:rsidRPr="006A6A73">
        <w:t xml:space="preserve">, </w:t>
      </w:r>
      <w:r w:rsidR="00E9054B" w:rsidRPr="006A6A73">
        <w:t>до</w:t>
      </w:r>
      <w:r w:rsidR="00153B97" w:rsidRPr="006A6A73">
        <w:t xml:space="preserve"> 2012</w:t>
      </w:r>
      <w:r w:rsidR="00E9054B" w:rsidRPr="006A6A73">
        <w:t> г. тази стойност е нараснала до</w:t>
      </w:r>
      <w:r w:rsidR="00153B97" w:rsidRPr="006A6A73">
        <w:t xml:space="preserve"> </w:t>
      </w:r>
      <w:r w:rsidR="00E9054B" w:rsidRPr="006A6A73">
        <w:t>близо</w:t>
      </w:r>
      <w:r w:rsidR="00153B97" w:rsidRPr="006A6A73">
        <w:t xml:space="preserve"> 37% (</w:t>
      </w:r>
      <w:r w:rsidR="00E9054B" w:rsidRPr="006A6A73">
        <w:t xml:space="preserve">като </w:t>
      </w:r>
      <w:r w:rsidR="00E9054B" w:rsidRPr="006A6A73">
        <w:rPr>
          <w:b/>
        </w:rPr>
        <w:t>Гърция</w:t>
      </w:r>
      <w:r w:rsidR="00E9054B" w:rsidRPr="006A6A73">
        <w:t xml:space="preserve"> отчита 42,</w:t>
      </w:r>
      <w:r w:rsidR="00153B97" w:rsidRPr="006A6A73">
        <w:t xml:space="preserve">9 </w:t>
      </w:r>
      <w:r w:rsidR="00E9054B" w:rsidRPr="006A6A73">
        <w:t xml:space="preserve">случая на един милион души, а </w:t>
      </w:r>
      <w:r w:rsidR="00E9054B" w:rsidRPr="006A6A73">
        <w:rPr>
          <w:b/>
        </w:rPr>
        <w:t>Румъния</w:t>
      </w:r>
      <w:r w:rsidR="00E9054B" w:rsidRPr="006A6A73">
        <w:t xml:space="preserve"> </w:t>
      </w:r>
      <w:r w:rsidR="00E9054B" w:rsidRPr="006A6A73">
        <w:rPr>
          <w:rFonts w:cs="Arial"/>
        </w:rPr>
        <w:t>–</w:t>
      </w:r>
      <w:r w:rsidR="00E9054B" w:rsidRPr="006A6A73">
        <w:t xml:space="preserve"> 8,</w:t>
      </w:r>
      <w:r w:rsidR="00153B97" w:rsidRPr="006A6A73">
        <w:t xml:space="preserve">0 </w:t>
      </w:r>
      <w:r w:rsidR="00E9054B" w:rsidRPr="006A6A73">
        <w:t>случая</w:t>
      </w:r>
      <w:r w:rsidR="00153B97" w:rsidRPr="006A6A73">
        <w:t>).</w:t>
      </w:r>
    </w:p>
    <w:p w:rsidR="00153B97" w:rsidRPr="006A6A73" w:rsidRDefault="002C3354" w:rsidP="007F0D31">
      <w:pPr>
        <w:pStyle w:val="newsContent"/>
      </w:pPr>
      <w:r w:rsidRPr="006A6A73">
        <w:t xml:space="preserve">Независимо от постигнатия успех в борбата срещу </w:t>
      </w:r>
      <w:r w:rsidR="00B4738B" w:rsidRPr="006A6A73">
        <w:t>предаването на</w:t>
      </w:r>
      <w:r w:rsidRPr="006A6A73">
        <w:t xml:space="preserve"> ХИВ </w:t>
      </w:r>
      <w:r w:rsidR="00B4738B" w:rsidRPr="006A6A73">
        <w:t xml:space="preserve">сред </w:t>
      </w:r>
      <w:r w:rsidR="00527BF7">
        <w:t>употребяващите наркотици</w:t>
      </w:r>
      <w:r w:rsidR="00527BF7" w:rsidRPr="006A6A73">
        <w:t xml:space="preserve"> </w:t>
      </w:r>
      <w:r w:rsidR="00DE5737" w:rsidRPr="006A6A73">
        <w:t>в Европа</w:t>
      </w:r>
      <w:r w:rsidR="00153B97" w:rsidRPr="006A6A73">
        <w:t xml:space="preserve"> </w:t>
      </w:r>
      <w:r w:rsidR="0078267F" w:rsidRPr="006A6A73">
        <w:t>вирусът все още може да се разпространява бързо в определени групи</w:t>
      </w:r>
      <w:r w:rsidR="00983DB2" w:rsidRPr="006A6A73">
        <w:t>. Оценката на риска, проведена през 2013 г. съвместно от</w:t>
      </w:r>
      <w:r w:rsidR="00153B97" w:rsidRPr="006A6A73">
        <w:t xml:space="preserve"> </w:t>
      </w:r>
      <w:r w:rsidR="00983DB2" w:rsidRPr="006A6A73">
        <w:rPr>
          <w:b/>
        </w:rPr>
        <w:t>EMCDDA</w:t>
      </w:r>
      <w:r w:rsidR="00983DB2" w:rsidRPr="006A6A73">
        <w:t xml:space="preserve"> и </w:t>
      </w:r>
      <w:r w:rsidRPr="006A6A73">
        <w:rPr>
          <w:b/>
        </w:rPr>
        <w:t>Е</w:t>
      </w:r>
      <w:r w:rsidR="00983DB2" w:rsidRPr="006A6A73">
        <w:rPr>
          <w:b/>
        </w:rPr>
        <w:t xml:space="preserve">вропейския </w:t>
      </w:r>
      <w:r w:rsidRPr="006A6A73">
        <w:rPr>
          <w:b/>
        </w:rPr>
        <w:t xml:space="preserve">център за профилактика и контрол върху заболяванията </w:t>
      </w:r>
      <w:r w:rsidR="00983DB2" w:rsidRPr="006A6A73">
        <w:rPr>
          <w:b/>
        </w:rPr>
        <w:t>(</w:t>
      </w:r>
      <w:r w:rsidR="00153B97" w:rsidRPr="006A6A73">
        <w:rPr>
          <w:b/>
        </w:rPr>
        <w:t>ECDC</w:t>
      </w:r>
      <w:r w:rsidR="00983DB2" w:rsidRPr="006A6A73">
        <w:rPr>
          <w:b/>
        </w:rPr>
        <w:t>)</w:t>
      </w:r>
      <w:r w:rsidR="00153B97" w:rsidRPr="006A6A73">
        <w:t xml:space="preserve"> </w:t>
      </w:r>
      <w:r w:rsidR="00983DB2" w:rsidRPr="006A6A73">
        <w:t xml:space="preserve">с цел </w:t>
      </w:r>
      <w:r w:rsidR="00735E47" w:rsidRPr="006A6A73">
        <w:t>установяване на</w:t>
      </w:r>
      <w:r w:rsidR="00983DB2" w:rsidRPr="006A6A73">
        <w:t xml:space="preserve"> държавите, уязвими към нови </w:t>
      </w:r>
      <w:r w:rsidR="00CE3124" w:rsidRPr="006A6A73">
        <w:t>епидемични взривове на Х</w:t>
      </w:r>
      <w:r w:rsidR="00983DB2" w:rsidRPr="006A6A73">
        <w:t>ИВ показва, че в една трета от в</w:t>
      </w:r>
      <w:r w:rsidR="00735E47" w:rsidRPr="006A6A73">
        <w:t>ключените в оценката 30 държави</w:t>
      </w:r>
      <w:r w:rsidR="00983DB2" w:rsidRPr="006A6A73">
        <w:rPr>
          <w:vertAlign w:val="superscript"/>
        </w:rPr>
        <w:t>3</w:t>
      </w:r>
      <w:r w:rsidR="00983DB2" w:rsidRPr="006A6A73">
        <w:t xml:space="preserve"> са налице един или повече рискови показател</w:t>
      </w:r>
      <w:r w:rsidR="00A161D9" w:rsidRPr="006A6A73">
        <w:t>и</w:t>
      </w:r>
      <w:r w:rsidR="00377E3D" w:rsidRPr="006A6A73">
        <w:t>)</w:t>
      </w:r>
      <w:r w:rsidR="00377E3D" w:rsidRPr="00FE0B76">
        <w:rPr>
          <w:lang w:val="ru-RU"/>
        </w:rPr>
        <w:t>(</w:t>
      </w:r>
      <w:r w:rsidR="00377E3D" w:rsidRPr="00377E3D">
        <w:rPr>
          <w:vertAlign w:val="superscript"/>
          <w:lang w:val="ru-RU"/>
        </w:rPr>
        <w:t>3</w:t>
      </w:r>
      <w:r w:rsidR="00377E3D" w:rsidRPr="00FE0B76">
        <w:rPr>
          <w:lang w:val="ru-RU"/>
        </w:rPr>
        <w:t>)</w:t>
      </w:r>
      <w:r w:rsidR="00377E3D" w:rsidRPr="006A6A73">
        <w:t>.</w:t>
      </w:r>
      <w:r w:rsidR="00153B97" w:rsidRPr="006A6A73">
        <w:t xml:space="preserve"> </w:t>
      </w:r>
      <w:r w:rsidR="00983DB2" w:rsidRPr="006A6A73">
        <w:t xml:space="preserve">Това изисква </w:t>
      </w:r>
      <w:r w:rsidR="001C5B87" w:rsidRPr="006A6A73">
        <w:t xml:space="preserve">непрекъсната бдителност </w:t>
      </w:r>
      <w:r w:rsidR="00983DB2" w:rsidRPr="006A6A73">
        <w:t>и по-</w:t>
      </w:r>
      <w:r w:rsidR="001C5B87" w:rsidRPr="006A6A73">
        <w:t>целесъобразен</w:t>
      </w:r>
      <w:r w:rsidR="00983DB2" w:rsidRPr="006A6A73">
        <w:t xml:space="preserve"> обхват на мерките за превенция на ХИВ </w:t>
      </w:r>
      <w:r w:rsidR="00153B97" w:rsidRPr="006A6A73">
        <w:t>(</w:t>
      </w:r>
      <w:r w:rsidR="0072670E" w:rsidRPr="006A6A73">
        <w:t>фигура</w:t>
      </w:r>
      <w:r w:rsidR="0078267F" w:rsidRPr="006A6A73">
        <w:t> </w:t>
      </w:r>
      <w:r w:rsidR="00153B97" w:rsidRPr="006A6A73">
        <w:t>3.5).</w:t>
      </w:r>
    </w:p>
    <w:p w:rsidR="00153B97" w:rsidRPr="006A6A73" w:rsidRDefault="00E77CA6" w:rsidP="007F0D31">
      <w:pPr>
        <w:pStyle w:val="newsContent"/>
        <w:rPr>
          <w:b/>
        </w:rPr>
      </w:pPr>
      <w:r w:rsidRPr="006A6A73">
        <w:rPr>
          <w:b/>
        </w:rPr>
        <w:t xml:space="preserve">Стимуланти </w:t>
      </w:r>
      <w:r w:rsidRPr="006A6A73">
        <w:rPr>
          <w:rFonts w:cs="Arial"/>
          <w:b/>
        </w:rPr>
        <w:t>–</w:t>
      </w:r>
      <w:r w:rsidR="00153B97" w:rsidRPr="006A6A73">
        <w:rPr>
          <w:b/>
        </w:rPr>
        <w:t xml:space="preserve"> </w:t>
      </w:r>
      <w:r w:rsidR="00A36BE5" w:rsidRPr="006A6A73">
        <w:rPr>
          <w:b/>
        </w:rPr>
        <w:t>стабилни или низходящи тенденции в употребата на кокаин</w:t>
      </w:r>
      <w:r w:rsidR="00851EBC" w:rsidRPr="006A6A73">
        <w:rPr>
          <w:b/>
        </w:rPr>
        <w:t xml:space="preserve">; опасения будят </w:t>
      </w:r>
      <w:r w:rsidR="004425AF" w:rsidRPr="006A6A73">
        <w:rPr>
          <w:b/>
        </w:rPr>
        <w:t>метамфетамините и</w:t>
      </w:r>
      <w:r w:rsidR="00153B97" w:rsidRPr="006A6A73">
        <w:rPr>
          <w:b/>
        </w:rPr>
        <w:t xml:space="preserve"> MDMA</w:t>
      </w:r>
      <w:r w:rsidR="004425AF" w:rsidRPr="006A6A73">
        <w:rPr>
          <w:b/>
        </w:rPr>
        <w:t xml:space="preserve"> </w:t>
      </w:r>
      <w:r w:rsidR="000B3066" w:rsidRPr="006A6A73">
        <w:rPr>
          <w:b/>
        </w:rPr>
        <w:t>(3,4-метилендиокси-метамфетамин)</w:t>
      </w:r>
      <w:r w:rsidR="004425AF" w:rsidRPr="006A6A73">
        <w:rPr>
          <w:b/>
        </w:rPr>
        <w:t xml:space="preserve"> </w:t>
      </w:r>
    </w:p>
    <w:p w:rsidR="00C827FA" w:rsidRPr="006A6A73" w:rsidRDefault="006E239C" w:rsidP="006D50B5">
      <w:pPr>
        <w:pStyle w:val="newsContent"/>
        <w:ind w:right="-144"/>
      </w:pPr>
      <w:r w:rsidRPr="006A6A73">
        <w:t xml:space="preserve">Кокаинът </w:t>
      </w:r>
      <w:r w:rsidR="00AC145E" w:rsidRPr="006A6A73">
        <w:t xml:space="preserve">си остава най-често използваният незаконен наркотичен стимулант в </w:t>
      </w:r>
      <w:r w:rsidRPr="006A6A73">
        <w:t>Европа</w:t>
      </w:r>
      <w:r w:rsidR="00C827FA" w:rsidRPr="006A6A73">
        <w:t xml:space="preserve">, </w:t>
      </w:r>
      <w:r w:rsidR="00CA10EF" w:rsidRPr="006A6A73">
        <w:t>въпреки че</w:t>
      </w:r>
      <w:r w:rsidR="00673A1C" w:rsidRPr="006A6A73">
        <w:t xml:space="preserve"> повечето от употребяващите го лица</w:t>
      </w:r>
      <w:r w:rsidR="00C827FA" w:rsidRPr="006A6A73">
        <w:t xml:space="preserve"> </w:t>
      </w:r>
      <w:r w:rsidR="00673A1C" w:rsidRPr="006A6A73">
        <w:t>са съсредоточени в малък брой западноевропейски страни</w:t>
      </w:r>
      <w:r w:rsidR="00C827FA" w:rsidRPr="006A6A73">
        <w:t xml:space="preserve">. </w:t>
      </w:r>
      <w:r w:rsidR="00377E3D" w:rsidRPr="00377E3D">
        <w:rPr>
          <w:lang w:val="ru-RU"/>
        </w:rPr>
        <w:t xml:space="preserve">         </w:t>
      </w:r>
      <w:r w:rsidR="003554C2" w:rsidRPr="006A6A73">
        <w:t>По предварителни данни 14,</w:t>
      </w:r>
      <w:r w:rsidR="00C827FA" w:rsidRPr="006A6A73">
        <w:t xml:space="preserve">1 </w:t>
      </w:r>
      <w:r w:rsidR="003554C2" w:rsidRPr="006A6A73">
        <w:t>милиона европейци</w:t>
      </w:r>
      <w:r w:rsidR="00C827FA" w:rsidRPr="006A6A73">
        <w:t xml:space="preserve"> (</w:t>
      </w:r>
      <w:r w:rsidR="003554C2" w:rsidRPr="006A6A73">
        <w:t xml:space="preserve">на възраст </w:t>
      </w:r>
      <w:r w:rsidR="00C827FA" w:rsidRPr="006A6A73">
        <w:t xml:space="preserve">15–64 </w:t>
      </w:r>
      <w:r w:rsidR="003554C2" w:rsidRPr="006A6A73">
        <w:t>години</w:t>
      </w:r>
      <w:r w:rsidR="00C827FA" w:rsidRPr="006A6A73">
        <w:t xml:space="preserve">) </w:t>
      </w:r>
      <w:r w:rsidR="00907793" w:rsidRPr="006A6A73">
        <w:t>са употребявали този наркоти</w:t>
      </w:r>
      <w:r w:rsidR="003963AE" w:rsidRPr="006A6A73">
        <w:t>к</w:t>
      </w:r>
      <w:r w:rsidR="00907793" w:rsidRPr="006A6A73">
        <w:t>, 3,</w:t>
      </w:r>
      <w:r w:rsidR="00C827FA" w:rsidRPr="006A6A73">
        <w:t xml:space="preserve">1 </w:t>
      </w:r>
      <w:r w:rsidR="00907793" w:rsidRPr="006A6A73">
        <w:t xml:space="preserve">милиона от които през последната година </w:t>
      </w:r>
      <w:r w:rsidR="00C827FA" w:rsidRPr="006A6A73">
        <w:t>(</w:t>
      </w:r>
      <w:r w:rsidR="00907793" w:rsidRPr="006A6A73">
        <w:t>вж.</w:t>
      </w:r>
      <w:r w:rsidR="00C827FA" w:rsidRPr="006A6A73">
        <w:t xml:space="preserve"> </w:t>
      </w:r>
      <w:r w:rsidR="00907793" w:rsidRPr="006A6A73">
        <w:t>таблица „</w:t>
      </w:r>
      <w:r w:rsidR="00AF3DA4" w:rsidRPr="006A6A73">
        <w:t>Общ преглед</w:t>
      </w:r>
      <w:r w:rsidR="00907793" w:rsidRPr="006A6A73">
        <w:t>“</w:t>
      </w:r>
      <w:r w:rsidR="00C827FA" w:rsidRPr="006A6A73">
        <w:t xml:space="preserve">). </w:t>
      </w:r>
      <w:r w:rsidR="003963AE" w:rsidRPr="006A6A73">
        <w:t>По последни данни употребата на кокаин намалява</w:t>
      </w:r>
      <w:r w:rsidR="00C827FA" w:rsidRPr="006A6A73">
        <w:t xml:space="preserve">, </w:t>
      </w:r>
      <w:r w:rsidR="003963AE" w:rsidRPr="006A6A73">
        <w:t xml:space="preserve">като </w:t>
      </w:r>
      <w:r w:rsidR="00C827FA" w:rsidRPr="006A6A73">
        <w:t xml:space="preserve">11 </w:t>
      </w:r>
      <w:r w:rsidR="003963AE" w:rsidRPr="006A6A73">
        <w:t>от общо</w:t>
      </w:r>
      <w:r w:rsidR="00C827FA" w:rsidRPr="006A6A73">
        <w:t xml:space="preserve"> 12 </w:t>
      </w:r>
      <w:r w:rsidR="003963AE" w:rsidRPr="006A6A73">
        <w:t>държави, провели проучвания в периода</w:t>
      </w:r>
      <w:r w:rsidR="00C827FA" w:rsidRPr="006A6A73">
        <w:t xml:space="preserve"> </w:t>
      </w:r>
      <w:r w:rsidR="003963AE" w:rsidRPr="006A6A73">
        <w:t>2011</w:t>
      </w:r>
      <w:r w:rsidR="003963AE" w:rsidRPr="006A6A73">
        <w:rPr>
          <w:rFonts w:cs="Arial"/>
        </w:rPr>
        <w:t>–</w:t>
      </w:r>
      <w:r w:rsidR="00C827FA" w:rsidRPr="006A6A73">
        <w:t>2013</w:t>
      </w:r>
      <w:r w:rsidR="003963AE" w:rsidRPr="006A6A73">
        <w:t xml:space="preserve"> г., отчитат спад в разпространението сред по-младите граждани </w:t>
      </w:r>
      <w:r w:rsidR="00C827FA" w:rsidRPr="006A6A73">
        <w:t>(</w:t>
      </w:r>
      <w:r w:rsidR="003963AE" w:rsidRPr="006A6A73">
        <w:t xml:space="preserve">на възраст </w:t>
      </w:r>
      <w:r w:rsidR="00C827FA" w:rsidRPr="006A6A73">
        <w:t>15–34</w:t>
      </w:r>
      <w:r w:rsidR="003963AE" w:rsidRPr="006A6A73">
        <w:t> години</w:t>
      </w:r>
      <w:r w:rsidR="00C827FA" w:rsidRPr="006A6A73">
        <w:t xml:space="preserve">). </w:t>
      </w:r>
      <w:r w:rsidR="003963AE" w:rsidRPr="006A6A73">
        <w:t xml:space="preserve">От гледна точка на дългосрочните тенденции в употребата на кокаин </w:t>
      </w:r>
      <w:r w:rsidR="00956824" w:rsidRPr="006A6A73">
        <w:t xml:space="preserve">спад </w:t>
      </w:r>
      <w:r w:rsidR="007D1F28" w:rsidRPr="006A6A73">
        <w:t>с</w:t>
      </w:r>
      <w:r w:rsidR="003963AE" w:rsidRPr="006A6A73">
        <w:t xml:space="preserve">е </w:t>
      </w:r>
      <w:r w:rsidR="007D1F28" w:rsidRPr="006A6A73">
        <w:t>наблюдава</w:t>
      </w:r>
      <w:r w:rsidR="00DB6F2E" w:rsidRPr="006A6A73">
        <w:t xml:space="preserve"> </w:t>
      </w:r>
      <w:r w:rsidR="003963AE" w:rsidRPr="006A6A73">
        <w:t>в</w:t>
      </w:r>
      <w:r w:rsidR="00C827FA" w:rsidRPr="006A6A73">
        <w:t xml:space="preserve"> </w:t>
      </w:r>
      <w:r w:rsidR="003963AE" w:rsidRPr="006A6A73">
        <w:rPr>
          <w:b/>
        </w:rPr>
        <w:t>Дания</w:t>
      </w:r>
      <w:r w:rsidR="00C827FA" w:rsidRPr="006A6A73">
        <w:rPr>
          <w:b/>
        </w:rPr>
        <w:t xml:space="preserve">, </w:t>
      </w:r>
      <w:r w:rsidR="003963AE" w:rsidRPr="006A6A73">
        <w:rPr>
          <w:b/>
        </w:rPr>
        <w:t>Испания</w:t>
      </w:r>
      <w:r w:rsidR="00C827FA" w:rsidRPr="006A6A73">
        <w:rPr>
          <w:b/>
        </w:rPr>
        <w:t xml:space="preserve"> </w:t>
      </w:r>
      <w:r w:rsidR="003963AE" w:rsidRPr="006A6A73">
        <w:t>и</w:t>
      </w:r>
      <w:r w:rsidR="003963AE" w:rsidRPr="006A6A73">
        <w:rPr>
          <w:b/>
        </w:rPr>
        <w:t xml:space="preserve"> Обединеното кралство </w:t>
      </w:r>
      <w:r w:rsidR="00C827FA" w:rsidRPr="006A6A73">
        <w:t>(</w:t>
      </w:r>
      <w:r w:rsidR="007D1F28" w:rsidRPr="006A6A73">
        <w:t xml:space="preserve">навсякъде където са отчетени относително високи </w:t>
      </w:r>
      <w:r w:rsidR="007D6469" w:rsidRPr="006A6A73">
        <w:t>степени</w:t>
      </w:r>
      <w:r w:rsidR="007D1F28" w:rsidRPr="006A6A73">
        <w:t xml:space="preserve"> на разпространение</w:t>
      </w:r>
      <w:r w:rsidR="00C827FA" w:rsidRPr="006A6A73">
        <w:t xml:space="preserve">), </w:t>
      </w:r>
      <w:r w:rsidR="007D6469" w:rsidRPr="006A6A73">
        <w:t xml:space="preserve">след достигнатите през </w:t>
      </w:r>
      <w:r w:rsidR="00C827FA" w:rsidRPr="006A6A73">
        <w:t>2008</w:t>
      </w:r>
      <w:r w:rsidR="007D6469" w:rsidRPr="006A6A73">
        <w:t> г.</w:t>
      </w:r>
      <w:r w:rsidR="00C827FA" w:rsidRPr="006A6A73">
        <w:t xml:space="preserve"> </w:t>
      </w:r>
      <w:r w:rsidR="00612C8B" w:rsidRPr="006A6A73">
        <w:t>върхови</w:t>
      </w:r>
      <w:r w:rsidR="007D6469" w:rsidRPr="006A6A73">
        <w:t xml:space="preserve"> стойности </w:t>
      </w:r>
      <w:r w:rsidR="00C827FA" w:rsidRPr="006A6A73">
        <w:t>(</w:t>
      </w:r>
      <w:r w:rsidR="0072670E" w:rsidRPr="006A6A73">
        <w:t>фигура</w:t>
      </w:r>
      <w:r w:rsidR="00656299" w:rsidRPr="006A6A73">
        <w:t> </w:t>
      </w:r>
      <w:r w:rsidR="00C827FA" w:rsidRPr="006A6A73">
        <w:t xml:space="preserve">2.5). </w:t>
      </w:r>
      <w:r w:rsidR="0093563B" w:rsidRPr="0093563B">
        <w:rPr>
          <w:lang w:val="ru-RU"/>
        </w:rPr>
        <w:t xml:space="preserve">               </w:t>
      </w:r>
      <w:r w:rsidR="00656299" w:rsidRPr="006A6A73">
        <w:t xml:space="preserve">В повечето други държави се наблюдава </w:t>
      </w:r>
      <w:r w:rsidR="008F737A" w:rsidRPr="006A6A73">
        <w:t>стабилна или низходяща тенденция</w:t>
      </w:r>
      <w:r w:rsidR="00C827FA" w:rsidRPr="006A6A73">
        <w:t>.</w:t>
      </w:r>
    </w:p>
    <w:p w:rsidR="00C827FA" w:rsidRPr="006A6A73" w:rsidRDefault="008B0B2D" w:rsidP="007F0D31">
      <w:pPr>
        <w:pStyle w:val="newsContent"/>
      </w:pPr>
      <w:r w:rsidRPr="006A6A73">
        <w:t xml:space="preserve">В Европа амфетамините </w:t>
      </w:r>
      <w:r w:rsidR="00C827FA" w:rsidRPr="006A6A73">
        <w:t>(</w:t>
      </w:r>
      <w:r w:rsidRPr="006A6A73">
        <w:t>в това число амфетамини и</w:t>
      </w:r>
      <w:r w:rsidR="00C827FA" w:rsidRPr="006A6A73">
        <w:t xml:space="preserve"> </w:t>
      </w:r>
      <w:r w:rsidRPr="006A6A73">
        <w:t>метамфетамини</w:t>
      </w:r>
      <w:r w:rsidR="00C827FA" w:rsidRPr="006A6A73">
        <w:t xml:space="preserve">) </w:t>
      </w:r>
      <w:r w:rsidRPr="006A6A73">
        <w:t xml:space="preserve">като цяло се употребяват по-малко отколкото </w:t>
      </w:r>
      <w:r w:rsidR="00A161D9" w:rsidRPr="006A6A73">
        <w:t>кокаинът</w:t>
      </w:r>
      <w:r w:rsidRPr="006A6A73">
        <w:t>:</w:t>
      </w:r>
      <w:r w:rsidRPr="006A6A73">
        <w:rPr>
          <w:rFonts w:cs="Arial"/>
        </w:rPr>
        <w:t xml:space="preserve"> </w:t>
      </w:r>
      <w:r w:rsidRPr="006A6A73">
        <w:t>11,</w:t>
      </w:r>
      <w:r w:rsidR="00C827FA" w:rsidRPr="006A6A73">
        <w:t xml:space="preserve">4 </w:t>
      </w:r>
      <w:r w:rsidRPr="006A6A73">
        <w:t>милиона</w:t>
      </w:r>
      <w:r w:rsidR="00C827FA" w:rsidRPr="006A6A73">
        <w:t xml:space="preserve"> </w:t>
      </w:r>
      <w:r w:rsidRPr="006A6A73">
        <w:t>пълнолетни граждани съобщават, че са употребявали амфетамини</w:t>
      </w:r>
      <w:r w:rsidR="001066D2" w:rsidRPr="006A6A73">
        <w:t>/метамфетамини</w:t>
      </w:r>
      <w:r w:rsidRPr="006A6A73">
        <w:t xml:space="preserve"> през живота си, а 1,</w:t>
      </w:r>
      <w:r w:rsidR="00C827FA" w:rsidRPr="006A6A73">
        <w:t xml:space="preserve">5 </w:t>
      </w:r>
      <w:r w:rsidRPr="006A6A73">
        <w:t>милиона</w:t>
      </w:r>
      <w:r w:rsidR="00C827FA" w:rsidRPr="006A6A73">
        <w:t xml:space="preserve"> </w:t>
      </w:r>
      <w:r w:rsidRPr="006A6A73">
        <w:rPr>
          <w:rFonts w:cs="Arial"/>
        </w:rPr>
        <w:t>– в рамките на последната година</w:t>
      </w:r>
      <w:r w:rsidR="00C827FA" w:rsidRPr="006A6A73">
        <w:t xml:space="preserve">. </w:t>
      </w:r>
      <w:r w:rsidR="001066D2" w:rsidRPr="006A6A73">
        <w:t>Амфетамините са по-често използваното от двете наркотични вещества</w:t>
      </w:r>
      <w:r w:rsidR="00C827FA" w:rsidRPr="006A6A73">
        <w:t xml:space="preserve">, </w:t>
      </w:r>
      <w:r w:rsidR="001066D2" w:rsidRPr="006A6A73">
        <w:t xml:space="preserve">но </w:t>
      </w:r>
      <w:r w:rsidR="00B76597" w:rsidRPr="006A6A73">
        <w:t>предлагането и употребата на метамфетамини в Европа будят нарастваща загриженост</w:t>
      </w:r>
      <w:r w:rsidR="00C827FA" w:rsidRPr="006A6A73">
        <w:t xml:space="preserve">. </w:t>
      </w:r>
      <w:r w:rsidR="00B76597" w:rsidRPr="006A6A73">
        <w:t>В днешния доклад се обръща внимание на конфискациите на метамфетамини, които</w:t>
      </w:r>
      <w:r w:rsidR="004B251F" w:rsidRPr="006A6A73">
        <w:t xml:space="preserve"> макар все още малко на брой и </w:t>
      </w:r>
      <w:r w:rsidR="00C71C41">
        <w:t>на</w:t>
      </w:r>
      <w:r w:rsidR="00C71C41" w:rsidRPr="006A6A73">
        <w:t xml:space="preserve"> негол</w:t>
      </w:r>
      <w:r w:rsidR="00C71C41">
        <w:t>еми</w:t>
      </w:r>
      <w:r w:rsidR="00C71C41" w:rsidRPr="006A6A73">
        <w:t xml:space="preserve"> количеств</w:t>
      </w:r>
      <w:r w:rsidR="00C71C41">
        <w:t>а</w:t>
      </w:r>
      <w:r w:rsidR="00B76597" w:rsidRPr="006A6A73">
        <w:t xml:space="preserve"> се увеличават през последното десетилетие</w:t>
      </w:r>
      <w:r w:rsidR="00C827FA" w:rsidRPr="006A6A73">
        <w:t>,</w:t>
      </w:r>
      <w:r w:rsidR="00B76597" w:rsidRPr="006A6A73">
        <w:t xml:space="preserve"> което </w:t>
      </w:r>
      <w:r w:rsidR="00C71C41">
        <w:t>по</w:t>
      </w:r>
      <w:r w:rsidR="00C71C41" w:rsidRPr="006A6A73">
        <w:t xml:space="preserve">казва </w:t>
      </w:r>
      <w:r w:rsidR="00B76597" w:rsidRPr="006A6A73">
        <w:t xml:space="preserve">увеличена </w:t>
      </w:r>
      <w:r w:rsidR="00A85A78" w:rsidRPr="006A6A73">
        <w:t>достъпност</w:t>
      </w:r>
      <w:r w:rsidR="00B76597" w:rsidRPr="006A6A73">
        <w:t xml:space="preserve"> на наркотика </w:t>
      </w:r>
      <w:r w:rsidR="00C827FA" w:rsidRPr="006A6A73">
        <w:t>(</w:t>
      </w:r>
      <w:r w:rsidR="0072670E" w:rsidRPr="006A6A73">
        <w:t>фигура</w:t>
      </w:r>
      <w:r w:rsidR="00B76597" w:rsidRPr="006A6A73">
        <w:t> </w:t>
      </w:r>
      <w:r w:rsidR="00C827FA" w:rsidRPr="006A6A73">
        <w:t xml:space="preserve">1.10). </w:t>
      </w:r>
      <w:r w:rsidR="00B76597" w:rsidRPr="006A6A73">
        <w:t xml:space="preserve">През 2012 г. в </w:t>
      </w:r>
      <w:r w:rsidR="00B76597" w:rsidRPr="006A6A73">
        <w:rPr>
          <w:b/>
        </w:rPr>
        <w:t xml:space="preserve">ЕС </w:t>
      </w:r>
      <w:r w:rsidR="00F1782C" w:rsidRPr="006A6A73">
        <w:t xml:space="preserve">са отчетени </w:t>
      </w:r>
      <w:r w:rsidR="00B76597" w:rsidRPr="006A6A73">
        <w:t>7</w:t>
      </w:r>
      <w:r w:rsidR="00C827FA" w:rsidRPr="006A6A73">
        <w:t xml:space="preserve">000 </w:t>
      </w:r>
      <w:r w:rsidR="00B76597" w:rsidRPr="006A6A73">
        <w:t xml:space="preserve">конфискации, </w:t>
      </w:r>
      <w:r w:rsidR="00B76597" w:rsidRPr="006A6A73">
        <w:lastRenderedPageBreak/>
        <w:t>възлизащи на 343 кг</w:t>
      </w:r>
      <w:r w:rsidR="00C827FA" w:rsidRPr="006A6A73">
        <w:t xml:space="preserve">. </w:t>
      </w:r>
      <w:r w:rsidR="00B76597" w:rsidRPr="006A6A73">
        <w:t xml:space="preserve">В допълнение към тях </w:t>
      </w:r>
      <w:r w:rsidR="00B76597" w:rsidRPr="006A6A73">
        <w:rPr>
          <w:b/>
        </w:rPr>
        <w:t>Турция</w:t>
      </w:r>
      <w:r w:rsidR="00B76597" w:rsidRPr="006A6A73">
        <w:t xml:space="preserve"> и </w:t>
      </w:r>
      <w:r w:rsidR="00B76597" w:rsidRPr="006A6A73">
        <w:rPr>
          <w:b/>
        </w:rPr>
        <w:t>Норвегия</w:t>
      </w:r>
      <w:r w:rsidR="00B76597" w:rsidRPr="006A6A73">
        <w:t xml:space="preserve"> съобщават за още 4</w:t>
      </w:r>
      <w:r w:rsidR="00C827FA" w:rsidRPr="006A6A73">
        <w:t xml:space="preserve">000 </w:t>
      </w:r>
      <w:r w:rsidR="00B76597" w:rsidRPr="006A6A73">
        <w:t xml:space="preserve">конфискации на общо 637 кг </w:t>
      </w:r>
      <w:r w:rsidR="00C827FA" w:rsidRPr="006A6A73">
        <w:t>(</w:t>
      </w:r>
      <w:r w:rsidR="00B76597" w:rsidRPr="006A6A73">
        <w:t xml:space="preserve">почти два пъти повече от конфискуваното </w:t>
      </w:r>
      <w:r w:rsidR="006048AB" w:rsidRPr="006A6A73">
        <w:t>в</w:t>
      </w:r>
      <w:r w:rsidR="00B76597" w:rsidRPr="006A6A73">
        <w:t xml:space="preserve"> </w:t>
      </w:r>
      <w:r w:rsidR="00B76597" w:rsidRPr="006A6A73">
        <w:rPr>
          <w:b/>
        </w:rPr>
        <w:t>ЕС</w:t>
      </w:r>
      <w:r w:rsidR="006048AB" w:rsidRPr="006A6A73">
        <w:rPr>
          <w:b/>
        </w:rPr>
        <w:t xml:space="preserve"> </w:t>
      </w:r>
      <w:r w:rsidR="006048AB" w:rsidRPr="006A6A73">
        <w:t>количество</w:t>
      </w:r>
      <w:r w:rsidR="00C827FA" w:rsidRPr="006A6A73">
        <w:t>).</w:t>
      </w:r>
    </w:p>
    <w:p w:rsidR="00C827FA" w:rsidRPr="006A6A73" w:rsidRDefault="005925B9" w:rsidP="006D50B5">
      <w:pPr>
        <w:pStyle w:val="newsContent"/>
        <w:ind w:right="-144"/>
      </w:pPr>
      <w:r w:rsidRPr="006A6A73">
        <w:t>Употребата</w:t>
      </w:r>
      <w:r w:rsidR="001C0987" w:rsidRPr="006A6A73">
        <w:t xml:space="preserve"> на метамфетамини</w:t>
      </w:r>
      <w:r w:rsidRPr="006A6A73">
        <w:t xml:space="preserve"> в Европа, </w:t>
      </w:r>
      <w:r w:rsidR="001C0987" w:rsidRPr="006A6A73">
        <w:t>ниска</w:t>
      </w:r>
      <w:r w:rsidR="00C827FA" w:rsidRPr="006A6A73">
        <w:t xml:space="preserve"> </w:t>
      </w:r>
      <w:r w:rsidRPr="006A6A73">
        <w:t xml:space="preserve">в исторически план </w:t>
      </w:r>
      <w:r w:rsidR="001C0987" w:rsidRPr="006A6A73">
        <w:t>и огранич</w:t>
      </w:r>
      <w:r w:rsidRPr="006A6A73">
        <w:t>ена</w:t>
      </w:r>
      <w:r w:rsidR="001C0987" w:rsidRPr="006A6A73">
        <w:t xml:space="preserve"> предимно до</w:t>
      </w:r>
      <w:r w:rsidR="00C827FA" w:rsidRPr="006A6A73">
        <w:t xml:space="preserve"> </w:t>
      </w:r>
      <w:r w:rsidR="00A7769B" w:rsidRPr="00053469">
        <w:rPr>
          <w:b/>
        </w:rPr>
        <w:t xml:space="preserve">Чешката </w:t>
      </w:r>
      <w:r w:rsidR="00A7769B" w:rsidRPr="006A6A73">
        <w:rPr>
          <w:b/>
        </w:rPr>
        <w:t xml:space="preserve">република </w:t>
      </w:r>
      <w:r w:rsidR="00BF46EB" w:rsidRPr="006A6A73">
        <w:t>и</w:t>
      </w:r>
      <w:r w:rsidR="00C827FA" w:rsidRPr="006A6A73">
        <w:t xml:space="preserve"> </w:t>
      </w:r>
      <w:r w:rsidR="00BF46EB" w:rsidRPr="006A6A73">
        <w:rPr>
          <w:b/>
        </w:rPr>
        <w:t>Словакия</w:t>
      </w:r>
      <w:r w:rsidR="00C827FA" w:rsidRPr="006A6A73">
        <w:t xml:space="preserve">, </w:t>
      </w:r>
      <w:r w:rsidRPr="006A6A73">
        <w:t>вече се разпространява</w:t>
      </w:r>
      <w:r w:rsidR="00BF46EB" w:rsidRPr="006A6A73">
        <w:t xml:space="preserve"> (напр</w:t>
      </w:r>
      <w:r w:rsidR="00C827FA" w:rsidRPr="006A6A73">
        <w:t xml:space="preserve">. </w:t>
      </w:r>
      <w:r w:rsidR="00BF46EB" w:rsidRPr="006A6A73">
        <w:t>в</w:t>
      </w:r>
      <w:r w:rsidR="00C827FA" w:rsidRPr="006A6A73">
        <w:t xml:space="preserve"> </w:t>
      </w:r>
      <w:r w:rsidR="00BF46EB" w:rsidRPr="006A6A73">
        <w:rPr>
          <w:b/>
        </w:rPr>
        <w:t>Германия</w:t>
      </w:r>
      <w:r w:rsidR="00C827FA" w:rsidRPr="006A6A73">
        <w:t xml:space="preserve">). </w:t>
      </w:r>
      <w:r w:rsidRPr="006A6A73">
        <w:t>Тревожни са данните от Югоизточна Европа</w:t>
      </w:r>
      <w:r w:rsidR="00C827FA" w:rsidRPr="006A6A73">
        <w:t xml:space="preserve"> (</w:t>
      </w:r>
      <w:r w:rsidR="00BF46EB" w:rsidRPr="006A6A73">
        <w:rPr>
          <w:b/>
        </w:rPr>
        <w:t>Гърция</w:t>
      </w:r>
      <w:r w:rsidR="00C827FA" w:rsidRPr="006A6A73">
        <w:rPr>
          <w:b/>
        </w:rPr>
        <w:t xml:space="preserve">, </w:t>
      </w:r>
      <w:r w:rsidR="00BF46EB" w:rsidRPr="006A6A73">
        <w:rPr>
          <w:b/>
        </w:rPr>
        <w:t>Кипър</w:t>
      </w:r>
      <w:r w:rsidR="00C827FA" w:rsidRPr="006A6A73">
        <w:rPr>
          <w:b/>
        </w:rPr>
        <w:t xml:space="preserve">, </w:t>
      </w:r>
      <w:r w:rsidR="00825035" w:rsidRPr="006A6A73">
        <w:rPr>
          <w:b/>
        </w:rPr>
        <w:t>Ту</w:t>
      </w:r>
      <w:r w:rsidR="00BF46EB" w:rsidRPr="006A6A73">
        <w:rPr>
          <w:b/>
        </w:rPr>
        <w:t>рция</w:t>
      </w:r>
      <w:r w:rsidR="00C827FA" w:rsidRPr="006A6A73">
        <w:t>)</w:t>
      </w:r>
      <w:r w:rsidRPr="006A6A73">
        <w:t xml:space="preserve">, че </w:t>
      </w:r>
      <w:r w:rsidR="00611418" w:rsidRPr="006A6A73">
        <w:rPr>
          <w:i/>
        </w:rPr>
        <w:t>пушенето</w:t>
      </w:r>
      <w:r w:rsidR="00611418" w:rsidRPr="006A6A73">
        <w:t xml:space="preserve"> на кристален метамфетамин </w:t>
      </w:r>
      <w:r w:rsidRPr="006A6A73">
        <w:t>е ограничен, но нововъзникващ проблем</w:t>
      </w:r>
      <w:r w:rsidR="00C827FA" w:rsidRPr="006A6A73">
        <w:t xml:space="preserve">, </w:t>
      </w:r>
      <w:r w:rsidRPr="006A6A73">
        <w:t>криещ риск от разпространение сред уязвимите социални групи</w:t>
      </w:r>
      <w:r w:rsidR="00C827FA" w:rsidRPr="006A6A73">
        <w:t xml:space="preserve">. </w:t>
      </w:r>
      <w:r w:rsidR="00611418" w:rsidRPr="006A6A73">
        <w:t xml:space="preserve">Освен това има данни, че </w:t>
      </w:r>
      <w:r w:rsidR="00611418" w:rsidRPr="006A6A73">
        <w:rPr>
          <w:i/>
        </w:rPr>
        <w:t>инжектирането</w:t>
      </w:r>
      <w:r w:rsidR="00611418" w:rsidRPr="006A6A73">
        <w:t xml:space="preserve"> на метамфетамин</w:t>
      </w:r>
      <w:r w:rsidR="00C827FA" w:rsidRPr="006A6A73">
        <w:t xml:space="preserve"> </w:t>
      </w:r>
      <w:r w:rsidR="00611418" w:rsidRPr="006A6A73">
        <w:t xml:space="preserve">е нова тенденция </w:t>
      </w:r>
      <w:r w:rsidR="00E16D0D" w:rsidRPr="006A6A73">
        <w:t xml:space="preserve">в някои големи европейски градове </w:t>
      </w:r>
      <w:r w:rsidR="00611418" w:rsidRPr="006A6A73">
        <w:t>сред малки групи мъже</w:t>
      </w:r>
      <w:r w:rsidR="00DE094C" w:rsidRPr="006A6A73">
        <w:t>, които имат</w:t>
      </w:r>
      <w:r w:rsidR="00611418" w:rsidRPr="006A6A73">
        <w:t xml:space="preserve"> хомосексуални </w:t>
      </w:r>
      <w:r w:rsidR="00DE094C" w:rsidRPr="006A6A73">
        <w:t>контакти</w:t>
      </w:r>
      <w:r w:rsidR="00FE0B76" w:rsidRPr="00FE0B76">
        <w:rPr>
          <w:lang w:val="ru-RU"/>
        </w:rPr>
        <w:t xml:space="preserve"> (</w:t>
      </w:r>
      <w:r w:rsidR="00C827FA" w:rsidRPr="006A6A73">
        <w:rPr>
          <w:vertAlign w:val="superscript"/>
        </w:rPr>
        <w:t>4</w:t>
      </w:r>
      <w:r w:rsidR="00FE0B76" w:rsidRPr="00FE0B76">
        <w:rPr>
          <w:lang w:val="ru-RU"/>
        </w:rPr>
        <w:t>)</w:t>
      </w:r>
      <w:r w:rsidR="00C827FA" w:rsidRPr="006A6A73">
        <w:t>.</w:t>
      </w:r>
    </w:p>
    <w:p w:rsidR="00E8581D" w:rsidRPr="006A6A73" w:rsidRDefault="00A01FF7" w:rsidP="007F0D31">
      <w:pPr>
        <w:pStyle w:val="newsContent"/>
      </w:pPr>
      <w:r w:rsidRPr="006A6A73">
        <w:t xml:space="preserve">В доклада се изтъква също </w:t>
      </w:r>
      <w:r w:rsidR="00291DA8" w:rsidRPr="006A6A73">
        <w:t>т</w:t>
      </w:r>
      <w:r w:rsidRPr="006A6A73">
        <w:t>р</w:t>
      </w:r>
      <w:r w:rsidR="00291DA8" w:rsidRPr="006A6A73">
        <w:t>е</w:t>
      </w:r>
      <w:r w:rsidR="00A661D6" w:rsidRPr="006A6A73">
        <w:t>вожната</w:t>
      </w:r>
      <w:r w:rsidRPr="006A6A73">
        <w:t xml:space="preserve"> </w:t>
      </w:r>
      <w:r w:rsidR="00A661D6" w:rsidRPr="006A6A73">
        <w:t>повторна поява</w:t>
      </w:r>
      <w:r w:rsidRPr="006A6A73">
        <w:t xml:space="preserve"> </w:t>
      </w:r>
      <w:r w:rsidR="00A25356" w:rsidRPr="006A6A73">
        <w:t xml:space="preserve">на </w:t>
      </w:r>
      <w:r w:rsidR="002566B3" w:rsidRPr="006A6A73">
        <w:t>висококачествени</w:t>
      </w:r>
      <w:r w:rsidR="00291DA8" w:rsidRPr="006A6A73">
        <w:t>те</w:t>
      </w:r>
      <w:r w:rsidR="002566B3" w:rsidRPr="006A6A73">
        <w:t xml:space="preserve"> прахообразни и таблетни форми на </w:t>
      </w:r>
      <w:r w:rsidR="00A25356" w:rsidRPr="006A6A73">
        <w:t xml:space="preserve">екстази </w:t>
      </w:r>
      <w:r w:rsidR="002566B3" w:rsidRPr="006A6A73">
        <w:t>(MDMA)</w:t>
      </w:r>
      <w:r w:rsidR="001E57C3" w:rsidRPr="006A6A73">
        <w:t xml:space="preserve">. </w:t>
      </w:r>
      <w:r w:rsidR="00A661D6" w:rsidRPr="006A6A73">
        <w:t>Извършените конфискации</w:t>
      </w:r>
      <w:r w:rsidR="00291DA8" w:rsidRPr="006A6A73">
        <w:t xml:space="preserve"> и </w:t>
      </w:r>
      <w:r w:rsidR="00A661D6" w:rsidRPr="006A6A73">
        <w:t xml:space="preserve">съобщенията за вредните последствия за здравето мотивираха </w:t>
      </w:r>
      <w:r w:rsidR="00D23274" w:rsidRPr="006A6A73">
        <w:rPr>
          <w:b/>
        </w:rPr>
        <w:t>Европол</w:t>
      </w:r>
      <w:r w:rsidR="001E57C3" w:rsidRPr="006A6A73">
        <w:t xml:space="preserve"> </w:t>
      </w:r>
      <w:r w:rsidR="00291DA8" w:rsidRPr="006A6A73">
        <w:t>и</w:t>
      </w:r>
      <w:r w:rsidR="001E57C3" w:rsidRPr="006A6A73">
        <w:t xml:space="preserve"> </w:t>
      </w:r>
      <w:r w:rsidR="001E57C3" w:rsidRPr="006A6A73">
        <w:rPr>
          <w:b/>
        </w:rPr>
        <w:t>EMCDDA</w:t>
      </w:r>
      <w:r w:rsidR="001E57C3" w:rsidRPr="006A6A73">
        <w:t xml:space="preserve"> </w:t>
      </w:r>
      <w:r w:rsidR="00A661D6" w:rsidRPr="006A6A73">
        <w:t xml:space="preserve">да </w:t>
      </w:r>
      <w:r w:rsidR="00D23274" w:rsidRPr="006A6A73">
        <w:t xml:space="preserve">отправят предупреждение </w:t>
      </w:r>
      <w:r w:rsidR="00A661D6" w:rsidRPr="006A6A73">
        <w:t>относно</w:t>
      </w:r>
      <w:r w:rsidR="00D23274" w:rsidRPr="006A6A73">
        <w:t xml:space="preserve"> </w:t>
      </w:r>
      <w:r w:rsidR="00A661D6" w:rsidRPr="006A6A73">
        <w:t>достъпността</w:t>
      </w:r>
      <w:r w:rsidR="00D23274" w:rsidRPr="006A6A73">
        <w:t xml:space="preserve"> на </w:t>
      </w:r>
      <w:r w:rsidR="000542FE" w:rsidRPr="006A6A73">
        <w:t xml:space="preserve">съдържащи </w:t>
      </w:r>
      <w:r w:rsidR="001E57C3" w:rsidRPr="006A6A73">
        <w:t>MDMA</w:t>
      </w:r>
      <w:r w:rsidR="000542FE" w:rsidRPr="006A6A73">
        <w:t xml:space="preserve"> продукти </w:t>
      </w:r>
      <w:r w:rsidR="00A661D6" w:rsidRPr="006A6A73">
        <w:t>с извънредно голяма сила на действие</w:t>
      </w:r>
      <w:r w:rsidR="00FE0B76" w:rsidRPr="00FE0B76">
        <w:rPr>
          <w:lang w:val="ru-RU"/>
        </w:rPr>
        <w:t xml:space="preserve"> (</w:t>
      </w:r>
      <w:r w:rsidR="00FE0B76" w:rsidRPr="00FE0B76">
        <w:rPr>
          <w:vertAlign w:val="superscript"/>
          <w:lang w:val="ru-RU"/>
        </w:rPr>
        <w:t>5</w:t>
      </w:r>
      <w:r w:rsidR="00FE0B76" w:rsidRPr="00FE0B76">
        <w:rPr>
          <w:lang w:val="ru-RU"/>
        </w:rPr>
        <w:t>)</w:t>
      </w:r>
      <w:r w:rsidR="00FE0B76" w:rsidRPr="006A6A73">
        <w:t>.</w:t>
      </w:r>
      <w:r w:rsidR="001E57C3" w:rsidRPr="006A6A73">
        <w:t xml:space="preserve"> </w:t>
      </w:r>
      <w:r w:rsidR="00BD5D6C" w:rsidRPr="006A6A73">
        <w:rPr>
          <w:b/>
        </w:rPr>
        <w:t>Европол</w:t>
      </w:r>
      <w:r w:rsidR="001E57C3" w:rsidRPr="006A6A73">
        <w:rPr>
          <w:b/>
        </w:rPr>
        <w:t xml:space="preserve"> </w:t>
      </w:r>
      <w:r w:rsidR="00BD5D6C" w:rsidRPr="006A6A73">
        <w:t xml:space="preserve">съобщава, че през 2013 г. в </w:t>
      </w:r>
      <w:r w:rsidR="00BD5D6C" w:rsidRPr="006A6A73">
        <w:rPr>
          <w:b/>
        </w:rPr>
        <w:t>Белгия</w:t>
      </w:r>
      <w:r w:rsidR="00BD5D6C" w:rsidRPr="006A6A73">
        <w:t xml:space="preserve"> са </w:t>
      </w:r>
      <w:r w:rsidR="00FB37FA" w:rsidRPr="006A6A73">
        <w:t xml:space="preserve">разбити двата най-големи обекта </w:t>
      </w:r>
      <w:r w:rsidR="00BD5D6C" w:rsidRPr="006A6A73">
        <w:t xml:space="preserve">за </w:t>
      </w:r>
      <w:r w:rsidR="005D4AE8" w:rsidRPr="006A6A73">
        <w:t>производство</w:t>
      </w:r>
      <w:r w:rsidR="00BD5D6C" w:rsidRPr="006A6A73">
        <w:t xml:space="preserve"> на наркотици</w:t>
      </w:r>
      <w:r w:rsidR="00313988" w:rsidRPr="006A6A73">
        <w:t>, откривани някога на територията на ЕС,</w:t>
      </w:r>
      <w:r w:rsidR="005D4AE8" w:rsidRPr="006A6A73">
        <w:t xml:space="preserve"> с капацитет за бързо </w:t>
      </w:r>
      <w:r w:rsidR="00483EA6" w:rsidRPr="006A6A73">
        <w:t>производство</w:t>
      </w:r>
      <w:r w:rsidR="005D4AE8" w:rsidRPr="006A6A73">
        <w:t xml:space="preserve"> на </w:t>
      </w:r>
      <w:r w:rsidR="00313988" w:rsidRPr="006A6A73">
        <w:t>големи обеми MDMA</w:t>
      </w:r>
      <w:r w:rsidR="00A661D6" w:rsidRPr="006A6A73">
        <w:t xml:space="preserve">. </w:t>
      </w:r>
    </w:p>
    <w:p w:rsidR="001E57C3" w:rsidRPr="006A6A73" w:rsidRDefault="0071094C" w:rsidP="007F0D31">
      <w:pPr>
        <w:pStyle w:val="newsContent"/>
        <w:rPr>
          <w:b/>
        </w:rPr>
      </w:pPr>
      <w:r w:rsidRPr="006A6A73">
        <w:rPr>
          <w:b/>
        </w:rPr>
        <w:t xml:space="preserve">Нови психоактивни вещества </w:t>
      </w:r>
      <w:r w:rsidR="00E77CA6" w:rsidRPr="006A6A73">
        <w:rPr>
          <w:rFonts w:cs="Arial"/>
          <w:b/>
        </w:rPr>
        <w:t xml:space="preserve">– </w:t>
      </w:r>
      <w:r w:rsidRPr="006A6A73">
        <w:rPr>
          <w:b/>
        </w:rPr>
        <w:t xml:space="preserve">Системата </w:t>
      </w:r>
      <w:r w:rsidR="00E8581D" w:rsidRPr="006A6A73">
        <w:rPr>
          <w:b/>
        </w:rPr>
        <w:t xml:space="preserve">на ЕС </w:t>
      </w:r>
      <w:r w:rsidRPr="006A6A73">
        <w:rPr>
          <w:b/>
        </w:rPr>
        <w:t xml:space="preserve">за ранно предупреждение </w:t>
      </w:r>
      <w:r w:rsidR="008A1579" w:rsidRPr="006A6A73">
        <w:rPr>
          <w:b/>
        </w:rPr>
        <w:t>„под нарастващ</w:t>
      </w:r>
      <w:r w:rsidRPr="006A6A73">
        <w:rPr>
          <w:b/>
        </w:rPr>
        <w:t xml:space="preserve"> натиск“</w:t>
      </w:r>
    </w:p>
    <w:p w:rsidR="001E57C3" w:rsidRPr="006A6A73" w:rsidRDefault="00855F32" w:rsidP="007F0D31">
      <w:pPr>
        <w:pStyle w:val="newsContent"/>
      </w:pPr>
      <w:r w:rsidRPr="006A6A73">
        <w:t xml:space="preserve">Според </w:t>
      </w:r>
      <w:r w:rsidRPr="006A6A73">
        <w:rPr>
          <w:b/>
        </w:rPr>
        <w:t>EMCDDA</w:t>
      </w:r>
      <w:r w:rsidRPr="006A6A73">
        <w:t xml:space="preserve"> няма признаци за стихване на увеличаващите </w:t>
      </w:r>
      <w:r w:rsidR="007159E3" w:rsidRPr="006A6A73">
        <w:t xml:space="preserve">се </w:t>
      </w:r>
      <w:r w:rsidRPr="006A6A73">
        <w:t xml:space="preserve">по брой, вид и </w:t>
      </w:r>
      <w:r w:rsidR="00A85A78" w:rsidRPr="006A6A73">
        <w:t>достъпност</w:t>
      </w:r>
      <w:r w:rsidRPr="006A6A73">
        <w:t xml:space="preserve"> нови психоактивни вещества</w:t>
      </w:r>
      <w:r w:rsidR="001E57C3" w:rsidRPr="006A6A73">
        <w:t xml:space="preserve"> (</w:t>
      </w:r>
      <w:r w:rsidRPr="006A6A73">
        <w:t>НПВ</w:t>
      </w:r>
      <w:r w:rsidR="001E57C3" w:rsidRPr="006A6A73">
        <w:t xml:space="preserve"> </w:t>
      </w:r>
      <w:r w:rsidRPr="006A6A73">
        <w:t>или „нови наркотици“</w:t>
      </w:r>
      <w:r w:rsidR="001E57C3" w:rsidRPr="006A6A73">
        <w:t xml:space="preserve">) </w:t>
      </w:r>
      <w:r w:rsidRPr="006A6A73">
        <w:t>в Европа</w:t>
      </w:r>
      <w:r w:rsidR="00FE712A" w:rsidRPr="006A6A73">
        <w:t xml:space="preserve">. През 2013 г. в </w:t>
      </w:r>
      <w:r w:rsidR="00FE712A" w:rsidRPr="006A6A73">
        <w:rPr>
          <w:b/>
        </w:rPr>
        <w:t xml:space="preserve">Системата </w:t>
      </w:r>
      <w:r w:rsidR="009A1888" w:rsidRPr="006A6A73">
        <w:rPr>
          <w:b/>
        </w:rPr>
        <w:t xml:space="preserve">на ЕС </w:t>
      </w:r>
      <w:r w:rsidR="00FE712A" w:rsidRPr="006A6A73">
        <w:rPr>
          <w:b/>
        </w:rPr>
        <w:t>за ранно предупреждение (EU–EWS)</w:t>
      </w:r>
      <w:r w:rsidR="00FE712A" w:rsidRPr="006A6A73">
        <w:t xml:space="preserve"> са </w:t>
      </w:r>
      <w:r w:rsidR="009A1888" w:rsidRPr="006A6A73">
        <w:t>нотифицирани</w:t>
      </w:r>
      <w:r w:rsidR="00FE712A" w:rsidRPr="006A6A73">
        <w:t xml:space="preserve"> за първи път 81 нови наркотични вещества</w:t>
      </w:r>
      <w:r w:rsidR="00FE0B76" w:rsidRPr="00FE0B76">
        <w:rPr>
          <w:lang w:val="ru-RU"/>
        </w:rPr>
        <w:t xml:space="preserve"> (</w:t>
      </w:r>
      <w:r w:rsidR="00FE0B76" w:rsidRPr="00FE0B76">
        <w:rPr>
          <w:vertAlign w:val="superscript"/>
          <w:lang w:val="ru-RU"/>
        </w:rPr>
        <w:t>6</w:t>
      </w:r>
      <w:r w:rsidR="00FE0B76" w:rsidRPr="00FE0B76">
        <w:rPr>
          <w:lang w:val="ru-RU"/>
        </w:rPr>
        <w:t>).</w:t>
      </w:r>
      <w:r w:rsidR="001E57C3" w:rsidRPr="006A6A73">
        <w:t xml:space="preserve"> </w:t>
      </w:r>
      <w:r w:rsidR="00042562" w:rsidRPr="006A6A73">
        <w:t>С това броят на наблюдаваните от агенцията нови наркотици надхвърля</w:t>
      </w:r>
      <w:r w:rsidR="001E57C3" w:rsidRPr="006A6A73">
        <w:t xml:space="preserve"> 350. </w:t>
      </w:r>
      <w:r w:rsidR="000E436D" w:rsidRPr="006A6A73">
        <w:t xml:space="preserve">Съгласно оповестения днес доклад системата </w:t>
      </w:r>
      <w:r w:rsidR="001E57C3" w:rsidRPr="006A6A73">
        <w:t xml:space="preserve"> </w:t>
      </w:r>
      <w:r w:rsidR="000E436D" w:rsidRPr="006A6A73">
        <w:t xml:space="preserve">е „под нарастващ натиск поради обема и разнообразието от нови наркотици, </w:t>
      </w:r>
      <w:r w:rsidR="00616BC9" w:rsidRPr="006A6A73">
        <w:t xml:space="preserve">които се </w:t>
      </w:r>
      <w:r w:rsidR="000E436D" w:rsidRPr="006A6A73">
        <w:t>появя</w:t>
      </w:r>
      <w:r w:rsidR="00616BC9" w:rsidRPr="006A6A73">
        <w:t>ват</w:t>
      </w:r>
      <w:r w:rsidR="000E436D" w:rsidRPr="006A6A73">
        <w:t xml:space="preserve"> на пазара“</w:t>
      </w:r>
      <w:r w:rsidR="001E57C3" w:rsidRPr="006A6A73">
        <w:t xml:space="preserve">. </w:t>
      </w:r>
      <w:r w:rsidR="000E436D" w:rsidRPr="006A6A73">
        <w:t>Близо 250 са веществата, открити през последните четири години</w:t>
      </w:r>
      <w:r w:rsidR="001E57C3" w:rsidRPr="006A6A73">
        <w:t>.</w:t>
      </w:r>
    </w:p>
    <w:p w:rsidR="001E57C3" w:rsidRPr="006A6A73" w:rsidRDefault="001D1A03" w:rsidP="007F0D31">
      <w:pPr>
        <w:pStyle w:val="newsContent"/>
      </w:pPr>
      <w:r w:rsidRPr="006A6A73">
        <w:t>Новите психоактивни вещества</w:t>
      </w:r>
      <w:r w:rsidR="001E57C3" w:rsidRPr="006A6A73">
        <w:t xml:space="preserve">, </w:t>
      </w:r>
      <w:r w:rsidR="00207983" w:rsidRPr="006A6A73">
        <w:t>непопадащи под контрола на международното право, често се продават на пазара като „</w:t>
      </w:r>
      <w:r w:rsidR="00616BC9" w:rsidRPr="006A6A73">
        <w:t>легални стимуланти</w:t>
      </w:r>
      <w:r w:rsidR="00207983" w:rsidRPr="006A6A73">
        <w:t>“</w:t>
      </w:r>
      <w:r w:rsidR="001E57C3" w:rsidRPr="006A6A73">
        <w:t xml:space="preserve"> </w:t>
      </w:r>
      <w:r w:rsidR="0063214D" w:rsidRPr="006A6A73">
        <w:t xml:space="preserve">и се произвеждат с намерението да наподобяват действието на </w:t>
      </w:r>
      <w:r w:rsidR="00F72DEB" w:rsidRPr="006A6A73">
        <w:t>контролираните наркотици</w:t>
      </w:r>
      <w:r w:rsidR="001E57C3" w:rsidRPr="006A6A73">
        <w:t xml:space="preserve">. </w:t>
      </w:r>
      <w:r w:rsidR="00A073EF" w:rsidRPr="006A6A73">
        <w:t>Двадесет и девет от разкритите миналата година наркотични вещества са синтетични канабиноиди</w:t>
      </w:r>
      <w:r w:rsidR="00907156" w:rsidRPr="006A6A73">
        <w:t xml:space="preserve"> </w:t>
      </w:r>
      <w:r w:rsidR="00907156" w:rsidRPr="006A6A73">
        <w:rPr>
          <w:rFonts w:cs="Arial"/>
        </w:rPr>
        <w:t>–</w:t>
      </w:r>
      <w:r w:rsidR="00907156" w:rsidRPr="006A6A73">
        <w:t xml:space="preserve"> най-голямата група, наблюдавана от </w:t>
      </w:r>
      <w:r w:rsidR="001E57C3" w:rsidRPr="00FD188C">
        <w:rPr>
          <w:b/>
        </w:rPr>
        <w:t>EU–EWS</w:t>
      </w:r>
      <w:r w:rsidR="005A38C4" w:rsidRPr="006A6A73">
        <w:t xml:space="preserve"> в момента</w:t>
      </w:r>
      <w:r w:rsidR="001E57C3" w:rsidRPr="006A6A73">
        <w:t xml:space="preserve">. </w:t>
      </w:r>
      <w:r w:rsidR="005A38C4" w:rsidRPr="006A6A73">
        <w:t xml:space="preserve">Скоростта, с която </w:t>
      </w:r>
      <w:r w:rsidR="00891ABA">
        <w:t>досега</w:t>
      </w:r>
      <w:r w:rsidR="00520988" w:rsidRPr="006A6A73">
        <w:t xml:space="preserve"> </w:t>
      </w:r>
      <w:r w:rsidR="005A38C4" w:rsidRPr="006A6A73">
        <w:t>контролираните наркотици бяха</w:t>
      </w:r>
      <w:r w:rsidR="00AF5637" w:rsidRPr="006A6A73">
        <w:t xml:space="preserve"> заместени с нови вещ</w:t>
      </w:r>
      <w:r w:rsidR="00520988" w:rsidRPr="006A6A73">
        <w:t xml:space="preserve">ества </w:t>
      </w:r>
      <w:r w:rsidR="00616BC9" w:rsidRPr="006A6A73">
        <w:t>провокира</w:t>
      </w:r>
      <w:r w:rsidR="00AF5637" w:rsidRPr="006A6A73">
        <w:t xml:space="preserve"> </w:t>
      </w:r>
      <w:r w:rsidR="00616BC9" w:rsidRPr="006A6A73">
        <w:t>различни</w:t>
      </w:r>
      <w:r w:rsidR="00AF5637" w:rsidRPr="006A6A73">
        <w:t xml:space="preserve"> иновативни законодателни </w:t>
      </w:r>
      <w:r w:rsidR="00616BC9" w:rsidRPr="006A6A73">
        <w:t>мерки</w:t>
      </w:r>
      <w:r w:rsidR="00AF5637" w:rsidRPr="006A6A73">
        <w:t xml:space="preserve"> в цяла Европа </w:t>
      </w:r>
      <w:r w:rsidR="001E57C3" w:rsidRPr="006A6A73">
        <w:t>(</w:t>
      </w:r>
      <w:r w:rsidR="005A38C4" w:rsidRPr="006A6A73">
        <w:t>глава </w:t>
      </w:r>
      <w:r w:rsidR="001E57C3" w:rsidRPr="006A6A73">
        <w:t>4).</w:t>
      </w:r>
    </w:p>
    <w:p w:rsidR="00FD5EF8" w:rsidRPr="006A6A73" w:rsidRDefault="004D00EA" w:rsidP="007F0D31">
      <w:pPr>
        <w:pStyle w:val="newsContent"/>
      </w:pPr>
      <w:r w:rsidRPr="006A6A73">
        <w:t>Не е изключено нови наркотици да се произвеждат в нелегални лаборатории на територията на Европа</w:t>
      </w:r>
      <w:r w:rsidR="00FD5EF8" w:rsidRPr="006A6A73">
        <w:t xml:space="preserve">. </w:t>
      </w:r>
      <w:r w:rsidRPr="006A6A73">
        <w:t>По-често обаче те се</w:t>
      </w:r>
      <w:r w:rsidR="00A74225" w:rsidRPr="006A6A73">
        <w:t xml:space="preserve"> </w:t>
      </w:r>
      <w:r w:rsidR="0076201F" w:rsidRPr="006A6A73">
        <w:t>набавят</w:t>
      </w:r>
      <w:r w:rsidR="00762CFE" w:rsidRPr="006A6A73">
        <w:t xml:space="preserve"> легално </w:t>
      </w:r>
      <w:r w:rsidR="0076201F" w:rsidRPr="006A6A73">
        <w:t>като прахообразни субстанции</w:t>
      </w:r>
      <w:r w:rsidR="00FD5EF8" w:rsidRPr="006A6A73">
        <w:t xml:space="preserve"> </w:t>
      </w:r>
      <w:r w:rsidR="0076201F" w:rsidRPr="006A6A73">
        <w:t>предимно</w:t>
      </w:r>
      <w:r w:rsidR="00FD5EF8" w:rsidRPr="006A6A73">
        <w:t xml:space="preserve"> </w:t>
      </w:r>
      <w:r w:rsidR="009D2787" w:rsidRPr="006A6A73">
        <w:t>от</w:t>
      </w:r>
      <w:r w:rsidR="00FD5EF8" w:rsidRPr="006A6A73">
        <w:t xml:space="preserve"> </w:t>
      </w:r>
      <w:r w:rsidR="009D2787" w:rsidRPr="006A6A73">
        <w:rPr>
          <w:b/>
        </w:rPr>
        <w:t>Китай</w:t>
      </w:r>
      <w:r w:rsidR="00FD5EF8" w:rsidRPr="006A6A73">
        <w:rPr>
          <w:b/>
        </w:rPr>
        <w:t xml:space="preserve"> </w:t>
      </w:r>
      <w:r w:rsidR="009D2787" w:rsidRPr="006A6A73">
        <w:t>и</w:t>
      </w:r>
      <w:r w:rsidR="00FD5EF8" w:rsidRPr="006A6A73">
        <w:rPr>
          <w:b/>
        </w:rPr>
        <w:t xml:space="preserve"> </w:t>
      </w:r>
      <w:r w:rsidR="009D2787" w:rsidRPr="006A6A73">
        <w:rPr>
          <w:b/>
        </w:rPr>
        <w:t>Индия</w:t>
      </w:r>
      <w:r w:rsidR="009D2787" w:rsidRPr="006A6A73">
        <w:t xml:space="preserve"> и внасят в Европа, където се преработват, пакетират и продават като „</w:t>
      </w:r>
      <w:r w:rsidR="00616BC9" w:rsidRPr="006A6A73">
        <w:t>легални стимуланти</w:t>
      </w:r>
      <w:r w:rsidR="009D2787" w:rsidRPr="006A6A73">
        <w:t>“</w:t>
      </w:r>
      <w:r w:rsidR="00FD5EF8" w:rsidRPr="006A6A73">
        <w:t xml:space="preserve"> </w:t>
      </w:r>
      <w:r w:rsidR="0076201F" w:rsidRPr="006A6A73">
        <w:t>или „</w:t>
      </w:r>
      <w:r w:rsidR="003E293D" w:rsidRPr="006A6A73">
        <w:t>химикали за научноизследователски цели</w:t>
      </w:r>
      <w:r w:rsidR="0076201F" w:rsidRPr="006A6A73">
        <w:t>“</w:t>
      </w:r>
      <w:r w:rsidR="00973E99" w:rsidRPr="006A6A73">
        <w:t xml:space="preserve"> или се продават директно на пазар</w:t>
      </w:r>
      <w:r w:rsidR="00357AC3" w:rsidRPr="006A6A73">
        <w:t>а</w:t>
      </w:r>
      <w:r w:rsidR="00973E99" w:rsidRPr="006A6A73">
        <w:t xml:space="preserve"> на</w:t>
      </w:r>
      <w:r w:rsidR="00357AC3" w:rsidRPr="006A6A73">
        <w:t xml:space="preserve"> забранени наркотичн</w:t>
      </w:r>
      <w:r w:rsidR="00973E99" w:rsidRPr="006A6A73">
        <w:t>и</w:t>
      </w:r>
      <w:r w:rsidR="00357AC3" w:rsidRPr="006A6A73">
        <w:t xml:space="preserve"> вещества</w:t>
      </w:r>
      <w:r w:rsidR="00FD5EF8" w:rsidRPr="006A6A73">
        <w:t xml:space="preserve">. </w:t>
      </w:r>
      <w:r w:rsidRPr="006A6A73">
        <w:t>Интернет продължава</w:t>
      </w:r>
      <w:r w:rsidR="00B06443" w:rsidRPr="006A6A73">
        <w:t xml:space="preserve"> да играе основна роля в оформя</w:t>
      </w:r>
      <w:r w:rsidRPr="006A6A73">
        <w:t xml:space="preserve">нето на пазара на НПВ. През 2013 г. </w:t>
      </w:r>
      <w:r w:rsidR="00FD5EF8" w:rsidRPr="006A6A73">
        <w:rPr>
          <w:b/>
        </w:rPr>
        <w:t xml:space="preserve">EMCDDA </w:t>
      </w:r>
      <w:r w:rsidR="00B06443" w:rsidRPr="006A6A73">
        <w:t>идентифиц</w:t>
      </w:r>
      <w:r w:rsidRPr="006A6A73">
        <w:t>ира близо</w:t>
      </w:r>
      <w:r w:rsidR="00FD5EF8" w:rsidRPr="006A6A73">
        <w:t xml:space="preserve"> 650 </w:t>
      </w:r>
      <w:r w:rsidRPr="006A6A73">
        <w:t xml:space="preserve">уебсайта, чрез които тези вещества се продават на европейски граждани. </w:t>
      </w:r>
      <w:r w:rsidR="00FC3A80" w:rsidRPr="006A6A73">
        <w:t xml:space="preserve">Освен това правоприлагащите органи са изправени пред ново предизвикателство </w:t>
      </w:r>
      <w:r w:rsidR="00FC3A80" w:rsidRPr="006A6A73">
        <w:rPr>
          <w:rFonts w:cs="Arial"/>
        </w:rPr>
        <w:t>–</w:t>
      </w:r>
      <w:r w:rsidR="00B06443" w:rsidRPr="006A6A73">
        <w:rPr>
          <w:rFonts w:cs="Arial"/>
        </w:rPr>
        <w:t xml:space="preserve"> </w:t>
      </w:r>
      <w:r w:rsidR="00FC3A80" w:rsidRPr="006A6A73">
        <w:rPr>
          <w:rFonts w:cs="Arial"/>
        </w:rPr>
        <w:t xml:space="preserve">закупуването на нови и </w:t>
      </w:r>
      <w:r w:rsidR="00FC3A80" w:rsidRPr="006A6A73">
        <w:t>„стари“ наркотици</w:t>
      </w:r>
      <w:r w:rsidR="001C3E92" w:rsidRPr="006A6A73">
        <w:t xml:space="preserve"> </w:t>
      </w:r>
      <w:r w:rsidR="00FC3A80" w:rsidRPr="006A6A73">
        <w:t>чрез</w:t>
      </w:r>
      <w:r w:rsidR="001C3E92" w:rsidRPr="006A6A73">
        <w:t xml:space="preserve"> „</w:t>
      </w:r>
      <w:r w:rsidR="00294C85" w:rsidRPr="006A6A73">
        <w:t>мрежи</w:t>
      </w:r>
      <w:r w:rsidR="00E32DB1">
        <w:t xml:space="preserve"> на тъмно</w:t>
      </w:r>
      <w:r w:rsidR="001C3E92" w:rsidRPr="006A6A73">
        <w:t>“ (нелегални онлайн мрежи, позволяващи анонимна комуникация)</w:t>
      </w:r>
      <w:r w:rsidR="00FD5EF8" w:rsidRPr="006A6A73">
        <w:t>.</w:t>
      </w:r>
    </w:p>
    <w:p w:rsidR="00FD5EF8" w:rsidRPr="006A6A73" w:rsidRDefault="002B1517" w:rsidP="007F0D31">
      <w:pPr>
        <w:pStyle w:val="newsContent"/>
      </w:pPr>
      <w:r w:rsidRPr="006A6A73">
        <w:t>Обръща се подчертано внимание на признаците, че в някои държави тези вещества сега са насочени към основните сегменти на пазара на наркотици</w:t>
      </w:r>
      <w:r w:rsidR="00FD5EF8" w:rsidRPr="006A6A73">
        <w:t xml:space="preserve">. </w:t>
      </w:r>
      <w:r w:rsidRPr="006A6A73">
        <w:t>През април 2014 г.</w:t>
      </w:r>
      <w:r w:rsidR="00FD5EF8" w:rsidRPr="006A6A73">
        <w:t xml:space="preserve"> </w:t>
      </w:r>
      <w:r w:rsidRPr="006A6A73">
        <w:rPr>
          <w:b/>
        </w:rPr>
        <w:t>научният комитет на</w:t>
      </w:r>
      <w:r w:rsidRPr="006A6A73">
        <w:t xml:space="preserve"> </w:t>
      </w:r>
      <w:r w:rsidR="00FD5EF8" w:rsidRPr="006A6A73">
        <w:rPr>
          <w:b/>
        </w:rPr>
        <w:t xml:space="preserve">EMCDDA </w:t>
      </w:r>
      <w:r w:rsidR="003267DB" w:rsidRPr="006A6A73">
        <w:t>извърши</w:t>
      </w:r>
      <w:r w:rsidRPr="006A6A73">
        <w:t xml:space="preserve"> оценка на риска на четири нови наркотични вещества</w:t>
      </w:r>
      <w:r w:rsidR="002F4183" w:rsidRPr="006A6A73">
        <w:t xml:space="preserve"> с особено </w:t>
      </w:r>
      <w:r w:rsidR="00822FF7" w:rsidRPr="006A6A73">
        <w:t>силно и вредно действие</w:t>
      </w:r>
      <w:r w:rsidR="00FD5EF8" w:rsidRPr="006A6A73">
        <w:t xml:space="preserve">: 25I-NBOMe, AH-7921, MDPV </w:t>
      </w:r>
      <w:r w:rsidR="00995979" w:rsidRPr="006A6A73">
        <w:t xml:space="preserve">и метоксетамин. Те се продават </w:t>
      </w:r>
      <w:r w:rsidR="00431DDF" w:rsidRPr="006A6A73">
        <w:t xml:space="preserve">като заместители, чието действие може да бъде дори по-вредно от това на наркотиците, които </w:t>
      </w:r>
      <w:r w:rsidR="00042487" w:rsidRPr="006A6A73">
        <w:t>наподобяват</w:t>
      </w:r>
      <w:r w:rsidR="00FD5EF8" w:rsidRPr="006A6A73">
        <w:t xml:space="preserve">: </w:t>
      </w:r>
      <w:r w:rsidR="001C508D" w:rsidRPr="006A6A73">
        <w:t>ЛСД</w:t>
      </w:r>
      <w:r w:rsidR="00FD5EF8" w:rsidRPr="006A6A73">
        <w:t xml:space="preserve"> (</w:t>
      </w:r>
      <w:r w:rsidR="00431DDF" w:rsidRPr="006A6A73">
        <w:t>ха</w:t>
      </w:r>
      <w:r w:rsidR="003267DB" w:rsidRPr="006A6A73">
        <w:t>люц</w:t>
      </w:r>
      <w:r w:rsidR="00431DDF" w:rsidRPr="006A6A73">
        <w:t>иноген</w:t>
      </w:r>
      <w:r w:rsidR="00FD5EF8" w:rsidRPr="006A6A73">
        <w:t xml:space="preserve">), </w:t>
      </w:r>
      <w:r w:rsidR="00431DDF" w:rsidRPr="006A6A73">
        <w:t>морфин</w:t>
      </w:r>
      <w:r w:rsidR="00FD5EF8" w:rsidRPr="006A6A73">
        <w:t xml:space="preserve"> (</w:t>
      </w:r>
      <w:r w:rsidR="00431DDF" w:rsidRPr="006A6A73">
        <w:t>опиат</w:t>
      </w:r>
      <w:r w:rsidR="00FD5EF8" w:rsidRPr="006A6A73">
        <w:t xml:space="preserve">), </w:t>
      </w:r>
      <w:r w:rsidR="00431DDF" w:rsidRPr="006A6A73">
        <w:t>кокаин</w:t>
      </w:r>
      <w:r w:rsidR="00FD5EF8" w:rsidRPr="006A6A73">
        <w:t xml:space="preserve"> (</w:t>
      </w:r>
      <w:r w:rsidR="00431DDF" w:rsidRPr="006A6A73">
        <w:t>стимулант</w:t>
      </w:r>
      <w:r w:rsidR="00FD5EF8" w:rsidRPr="006A6A73">
        <w:t xml:space="preserve">) </w:t>
      </w:r>
      <w:r w:rsidR="00431DDF" w:rsidRPr="006A6A73">
        <w:t>и</w:t>
      </w:r>
      <w:r w:rsidR="00FD5EF8" w:rsidRPr="006A6A73">
        <w:t xml:space="preserve"> </w:t>
      </w:r>
      <w:r w:rsidR="00431DDF" w:rsidRPr="006A6A73">
        <w:t>кетамин</w:t>
      </w:r>
      <w:r w:rsidR="00FD5EF8" w:rsidRPr="006A6A73">
        <w:t xml:space="preserve"> (</w:t>
      </w:r>
      <w:r w:rsidR="00431DDF" w:rsidRPr="006A6A73">
        <w:t>лекарство с аналгетични и упойващи свойства</w:t>
      </w:r>
      <w:r w:rsidR="00FD5EF8" w:rsidRPr="006A6A73">
        <w:t xml:space="preserve">). </w:t>
      </w:r>
      <w:r w:rsidR="00E322DB" w:rsidRPr="006A6A73">
        <w:t>Докладите от оценката на риска на четирите вещества са представени на</w:t>
      </w:r>
      <w:r w:rsidR="00FD5EF8" w:rsidRPr="006A6A73">
        <w:t xml:space="preserve"> </w:t>
      </w:r>
      <w:r w:rsidR="00D85E08" w:rsidRPr="006A6A73">
        <w:rPr>
          <w:b/>
        </w:rPr>
        <w:lastRenderedPageBreak/>
        <w:t>Европейската комисия</w:t>
      </w:r>
      <w:r w:rsidR="00FD5EF8" w:rsidRPr="006A6A73">
        <w:rPr>
          <w:b/>
        </w:rPr>
        <w:t xml:space="preserve"> </w:t>
      </w:r>
      <w:r w:rsidR="00D85E08" w:rsidRPr="006A6A73">
        <w:t>и</w:t>
      </w:r>
      <w:r w:rsidR="00FD5EF8" w:rsidRPr="006A6A73">
        <w:t xml:space="preserve"> </w:t>
      </w:r>
      <w:r w:rsidR="00D85E08" w:rsidRPr="006A6A73">
        <w:rPr>
          <w:b/>
        </w:rPr>
        <w:t>Съвета на ЕС</w:t>
      </w:r>
      <w:r w:rsidR="00E322DB" w:rsidRPr="006A6A73">
        <w:t xml:space="preserve"> и въз основа на тях може да се вземат решения за контролни мерки в целия ЕС</w:t>
      </w:r>
      <w:r w:rsidR="00FD5EF8" w:rsidRPr="006A6A73">
        <w:t>.</w:t>
      </w:r>
    </w:p>
    <w:p w:rsidR="00FD5EF8" w:rsidRPr="006A6A73" w:rsidRDefault="00FC655C" w:rsidP="007F0D31">
      <w:pPr>
        <w:pStyle w:val="newsContent"/>
      </w:pPr>
      <w:r w:rsidRPr="006A6A73">
        <w:t>Обезпокоителна е п</w:t>
      </w:r>
      <w:r w:rsidR="009E2DB9" w:rsidRPr="006A6A73">
        <w:t>оявата на много силни</w:t>
      </w:r>
      <w:r w:rsidRPr="006A6A73">
        <w:t xml:space="preserve"> синтетични наркотични вещества, сигнали за които са подадени в</w:t>
      </w:r>
      <w:r w:rsidR="00FD5EF8" w:rsidRPr="006A6A73">
        <w:t xml:space="preserve"> </w:t>
      </w:r>
      <w:r w:rsidR="00FD5EF8" w:rsidRPr="006A6A73">
        <w:rPr>
          <w:b/>
        </w:rPr>
        <w:t>EU–EWS</w:t>
      </w:r>
      <w:r w:rsidR="00FD5EF8" w:rsidRPr="006A6A73">
        <w:t xml:space="preserve">. </w:t>
      </w:r>
      <w:r w:rsidR="009E2DB9" w:rsidRPr="006A6A73">
        <w:t xml:space="preserve">Това обстоятелство има последици както за </w:t>
      </w:r>
      <w:r w:rsidR="00E32DB1">
        <w:t>употребяващите</w:t>
      </w:r>
      <w:r w:rsidR="009E2DB9" w:rsidRPr="006A6A73">
        <w:t xml:space="preserve">, така и за правоприлагащите органи </w:t>
      </w:r>
      <w:r w:rsidR="009E2DB9" w:rsidRPr="006A6A73">
        <w:rPr>
          <w:rFonts w:cs="Arial"/>
        </w:rPr>
        <w:t>–</w:t>
      </w:r>
      <w:r w:rsidR="009E2DB9" w:rsidRPr="006A6A73">
        <w:t xml:space="preserve"> тези вещества може да са токсични в много малки дози, като дори минимално количество от наркотика може да</w:t>
      </w:r>
      <w:r w:rsidR="00FD5EF8" w:rsidRPr="006A6A73">
        <w:t xml:space="preserve"> </w:t>
      </w:r>
      <w:r w:rsidR="009E2DB9" w:rsidRPr="006A6A73">
        <w:t>послужи за оформянето на множество отделни дози</w:t>
      </w:r>
      <w:r w:rsidR="00FD5EF8" w:rsidRPr="006A6A73">
        <w:t>.</w:t>
      </w:r>
    </w:p>
    <w:p w:rsidR="00FD5EF8" w:rsidRPr="006A6A73" w:rsidRDefault="00E77CA6" w:rsidP="007F0D31">
      <w:pPr>
        <w:pStyle w:val="newsContent"/>
        <w:rPr>
          <w:b/>
        </w:rPr>
      </w:pPr>
      <w:r w:rsidRPr="006A6A73">
        <w:rPr>
          <w:b/>
        </w:rPr>
        <w:t xml:space="preserve">Канабис </w:t>
      </w:r>
      <w:r w:rsidRPr="006A6A73">
        <w:rPr>
          <w:rFonts w:cs="Arial"/>
          <w:b/>
        </w:rPr>
        <w:t>–</w:t>
      </w:r>
      <w:r w:rsidR="00FD5EF8" w:rsidRPr="006A6A73">
        <w:rPr>
          <w:b/>
        </w:rPr>
        <w:t xml:space="preserve"> </w:t>
      </w:r>
      <w:r w:rsidR="00890A94" w:rsidRPr="006A6A73">
        <w:rPr>
          <w:b/>
        </w:rPr>
        <w:t>спорове</w:t>
      </w:r>
      <w:r w:rsidR="00FD5EF8" w:rsidRPr="006A6A73">
        <w:rPr>
          <w:b/>
        </w:rPr>
        <w:t xml:space="preserve">, </w:t>
      </w:r>
      <w:r w:rsidR="00890A94" w:rsidRPr="006A6A73">
        <w:rPr>
          <w:b/>
        </w:rPr>
        <w:t>контрасти и</w:t>
      </w:r>
      <w:r w:rsidR="00FD5EF8" w:rsidRPr="006A6A73">
        <w:rPr>
          <w:b/>
        </w:rPr>
        <w:t xml:space="preserve"> </w:t>
      </w:r>
      <w:r w:rsidRPr="006A6A73">
        <w:rPr>
          <w:b/>
        </w:rPr>
        <w:t>противоречия</w:t>
      </w:r>
    </w:p>
    <w:p w:rsidR="00FD5EF8" w:rsidRPr="006A6A73" w:rsidRDefault="005746FD" w:rsidP="007F0D31">
      <w:pPr>
        <w:pStyle w:val="newsContent"/>
      </w:pPr>
      <w:r w:rsidRPr="006A6A73">
        <w:t>Проучванията з</w:t>
      </w:r>
      <w:r w:rsidR="00E259BF" w:rsidRPr="006A6A73">
        <w:t xml:space="preserve">а </w:t>
      </w:r>
      <w:r w:rsidR="00C10F10" w:rsidRPr="006A6A73">
        <w:t>обществените нагласи</w:t>
      </w:r>
      <w:r w:rsidR="00FD5EF8" w:rsidRPr="006A6A73">
        <w:t xml:space="preserve"> </w:t>
      </w:r>
      <w:r w:rsidR="00E259BF" w:rsidRPr="006A6A73">
        <w:t>в</w:t>
      </w:r>
      <w:r w:rsidR="00FD5EF8" w:rsidRPr="006A6A73">
        <w:t xml:space="preserve"> </w:t>
      </w:r>
      <w:r w:rsidR="00E259BF" w:rsidRPr="006A6A73">
        <w:rPr>
          <w:b/>
        </w:rPr>
        <w:t>ЕС</w:t>
      </w:r>
      <w:r w:rsidR="00FE0B76" w:rsidRPr="00FE0B76">
        <w:rPr>
          <w:b/>
          <w:lang w:val="ru-RU"/>
        </w:rPr>
        <w:t xml:space="preserve"> </w:t>
      </w:r>
      <w:r w:rsidR="00FE0B76" w:rsidRPr="00FE0B76">
        <w:rPr>
          <w:lang w:val="ru-RU"/>
        </w:rPr>
        <w:t>(</w:t>
      </w:r>
      <w:r w:rsidR="00FE0B76" w:rsidRPr="00FE0B76">
        <w:rPr>
          <w:vertAlign w:val="superscript"/>
          <w:lang w:val="ru-RU"/>
        </w:rPr>
        <w:t>7</w:t>
      </w:r>
      <w:r w:rsidR="00FE0B76" w:rsidRPr="00FE0B76">
        <w:rPr>
          <w:lang w:val="ru-RU"/>
        </w:rPr>
        <w:t>)</w:t>
      </w:r>
      <w:r w:rsidR="00FD5EF8" w:rsidRPr="006A6A73">
        <w:t xml:space="preserve"> </w:t>
      </w:r>
      <w:r w:rsidR="00C10F10" w:rsidRPr="006A6A73">
        <w:t xml:space="preserve">сочат, че канабисът все още е наркотикът, който поляризира общественото мнение в най-силна степен. </w:t>
      </w:r>
      <w:r w:rsidR="00F73FBB" w:rsidRPr="006A6A73">
        <w:t xml:space="preserve">Това допринася за </w:t>
      </w:r>
      <w:r w:rsidRPr="006A6A73">
        <w:t>оживен обществен дебат</w:t>
      </w:r>
      <w:r w:rsidR="00FD5EF8" w:rsidRPr="006A6A73">
        <w:t xml:space="preserve">, </w:t>
      </w:r>
      <w:r w:rsidRPr="006A6A73">
        <w:t>напоследък</w:t>
      </w:r>
      <w:r w:rsidR="00F73FBB" w:rsidRPr="006A6A73">
        <w:t xml:space="preserve"> </w:t>
      </w:r>
      <w:r w:rsidRPr="006A6A73">
        <w:t>стимулиран</w:t>
      </w:r>
      <w:r w:rsidR="00F73FBB" w:rsidRPr="006A6A73">
        <w:t xml:space="preserve"> от </w:t>
      </w:r>
      <w:r w:rsidR="00536E76" w:rsidRPr="006A6A73">
        <w:t xml:space="preserve">настъпилите в </w:t>
      </w:r>
      <w:r w:rsidRPr="006A6A73">
        <w:t xml:space="preserve">международен план промени, засягащи механизмите за контрол на достъпността и употребата на канабис </w:t>
      </w:r>
      <w:r w:rsidR="00536E76" w:rsidRPr="006A6A73">
        <w:t>(напр</w:t>
      </w:r>
      <w:r w:rsidR="00FD5EF8" w:rsidRPr="006A6A73">
        <w:t xml:space="preserve">. </w:t>
      </w:r>
      <w:r w:rsidR="00536E76" w:rsidRPr="006A6A73">
        <w:t xml:space="preserve">регулаторни </w:t>
      </w:r>
      <w:r w:rsidRPr="006A6A73">
        <w:t>изменения</w:t>
      </w:r>
      <w:r w:rsidR="00536E76" w:rsidRPr="006A6A73">
        <w:t xml:space="preserve"> в някои щати на </w:t>
      </w:r>
      <w:r w:rsidR="00536E76" w:rsidRPr="006A6A73">
        <w:rPr>
          <w:b/>
        </w:rPr>
        <w:t>САЩ</w:t>
      </w:r>
      <w:r w:rsidR="00536E76" w:rsidRPr="006A6A73">
        <w:t xml:space="preserve"> и части на </w:t>
      </w:r>
      <w:r w:rsidR="00536E76" w:rsidRPr="006A6A73">
        <w:rPr>
          <w:b/>
        </w:rPr>
        <w:t>Латинска Америка</w:t>
      </w:r>
      <w:r w:rsidRPr="006A6A73">
        <w:t xml:space="preserve">). </w:t>
      </w:r>
      <w:r w:rsidR="00122F10" w:rsidRPr="006A6A73">
        <w:t>Като цяло провежданите в Европа дискусии относно контрола върху канабиса най-често са посветени на мерки, насочени към предлагането и трафика на наркотика, а не към употребата</w:t>
      </w:r>
      <w:r w:rsidR="00FD5EF8" w:rsidRPr="006A6A73">
        <w:t xml:space="preserve">. </w:t>
      </w:r>
      <w:r w:rsidR="00473F24" w:rsidRPr="006A6A73">
        <w:t xml:space="preserve">В продължение на почти десетилетие обаче </w:t>
      </w:r>
      <w:r w:rsidR="00122F10" w:rsidRPr="006A6A73">
        <w:t>с устойчиви темпове</w:t>
      </w:r>
      <w:r w:rsidR="00473F24" w:rsidRPr="006A6A73">
        <w:t xml:space="preserve"> нараства общият брой на пр</w:t>
      </w:r>
      <w:r w:rsidR="00122F10" w:rsidRPr="006A6A73">
        <w:t>авонарушенията</w:t>
      </w:r>
      <w:r w:rsidR="00473F24" w:rsidRPr="006A6A73">
        <w:t xml:space="preserve">, свързани с притежанието и употребата на канабис </w:t>
      </w:r>
      <w:r w:rsidR="00FD5EF8" w:rsidRPr="006A6A73">
        <w:t>(</w:t>
      </w:r>
      <w:r w:rsidR="0072670E" w:rsidRPr="006A6A73">
        <w:t>фигура</w:t>
      </w:r>
      <w:r w:rsidR="00473F24" w:rsidRPr="006A6A73">
        <w:t> </w:t>
      </w:r>
      <w:r w:rsidR="00FD5EF8" w:rsidRPr="006A6A73">
        <w:t>4.1).</w:t>
      </w:r>
    </w:p>
    <w:p w:rsidR="00FD5EF8" w:rsidRPr="006A6A73" w:rsidRDefault="00B95566" w:rsidP="007F0D31">
      <w:pPr>
        <w:pStyle w:val="newsContent"/>
      </w:pPr>
      <w:r w:rsidRPr="006A6A73">
        <w:t>Близо 73,</w:t>
      </w:r>
      <w:r w:rsidR="00FD5EF8" w:rsidRPr="006A6A73">
        <w:t xml:space="preserve">6 </w:t>
      </w:r>
      <w:r w:rsidRPr="006A6A73">
        <w:t>милиона европейци са опитвали канабис през живота си</w:t>
      </w:r>
      <w:r w:rsidR="00FD5EF8" w:rsidRPr="006A6A73">
        <w:t xml:space="preserve">, </w:t>
      </w:r>
      <w:r w:rsidRPr="006A6A73">
        <w:t>а 18,</w:t>
      </w:r>
      <w:r w:rsidR="00FD5EF8" w:rsidRPr="006A6A73">
        <w:t xml:space="preserve">1 </w:t>
      </w:r>
      <w:r w:rsidRPr="006A6A73">
        <w:t>милиона през последната година</w:t>
      </w:r>
      <w:r w:rsidR="00FD5EF8" w:rsidRPr="006A6A73">
        <w:t xml:space="preserve">. </w:t>
      </w:r>
      <w:r w:rsidR="00280980" w:rsidRPr="006A6A73">
        <w:t xml:space="preserve">По предварителни данни </w:t>
      </w:r>
      <w:r w:rsidR="00FD5EF8" w:rsidRPr="006A6A73">
        <w:t>14</w:t>
      </w:r>
      <w:r w:rsidR="00280980" w:rsidRPr="006A6A73">
        <w:t>,</w:t>
      </w:r>
      <w:r w:rsidR="00FD5EF8" w:rsidRPr="006A6A73">
        <w:t xml:space="preserve">6 </w:t>
      </w:r>
      <w:r w:rsidR="00280980" w:rsidRPr="006A6A73">
        <w:t>милиона европейци от по-младата възрастова група (15–34) съобщават, че са употребявали веществото през предходната година</w:t>
      </w:r>
      <w:r w:rsidR="00FD5EF8" w:rsidRPr="006A6A73">
        <w:t xml:space="preserve">. </w:t>
      </w:r>
      <w:r w:rsidR="00B04F7F" w:rsidRPr="006A6A73">
        <w:t>Като цяло у</w:t>
      </w:r>
      <w:r w:rsidR="009B7BA2" w:rsidRPr="006A6A73">
        <w:t xml:space="preserve">потребата на канабис в Европа следва </w:t>
      </w:r>
      <w:r w:rsidR="00B04F7F" w:rsidRPr="006A6A73">
        <w:t xml:space="preserve">стабилна или </w:t>
      </w:r>
      <w:r w:rsidR="009B7BA2" w:rsidRPr="006A6A73">
        <w:t>низходяща тенденция</w:t>
      </w:r>
      <w:r w:rsidR="00B04F7F" w:rsidRPr="006A6A73">
        <w:t xml:space="preserve">, особено при </w:t>
      </w:r>
      <w:r w:rsidR="009B7BA2" w:rsidRPr="006A6A73">
        <w:t>по-</w:t>
      </w:r>
      <w:r w:rsidR="00B04F7F" w:rsidRPr="006A6A73">
        <w:t>младите</w:t>
      </w:r>
      <w:r w:rsidR="00FD5EF8" w:rsidRPr="006A6A73">
        <w:t xml:space="preserve">. </w:t>
      </w:r>
      <w:r w:rsidR="00B04F7F" w:rsidRPr="006A6A73">
        <w:t>Националните тенденции</w:t>
      </w:r>
      <w:r w:rsidR="00E61273" w:rsidRPr="006A6A73">
        <w:t xml:space="preserve"> обаче изглеждат по-разнородни </w:t>
      </w:r>
      <w:r w:rsidR="00E61273" w:rsidRPr="006A6A73">
        <w:rPr>
          <w:rFonts w:cs="Arial"/>
        </w:rPr>
        <w:t xml:space="preserve">– </w:t>
      </w:r>
      <w:r w:rsidR="00E61273" w:rsidRPr="006A6A73">
        <w:t>за това говори</w:t>
      </w:r>
      <w:r w:rsidR="00B04F7F" w:rsidRPr="006A6A73">
        <w:t xml:space="preserve"> обстоятелството, че от държавите, </w:t>
      </w:r>
      <w:r w:rsidR="00E61273" w:rsidRPr="006A6A73">
        <w:t>които са предоставили данни от нови проучвания, проведени след 2011 г.</w:t>
      </w:r>
      <w:r w:rsidR="00B04F7F" w:rsidRPr="006A6A73">
        <w:t xml:space="preserve">, осем отчитат намаляване, а пет </w:t>
      </w:r>
      <w:r w:rsidR="00B04F7F" w:rsidRPr="006A6A73">
        <w:rPr>
          <w:rFonts w:cs="Arial"/>
        </w:rPr>
        <w:t>–</w:t>
      </w:r>
      <w:r w:rsidR="00E61273" w:rsidRPr="006A6A73">
        <w:rPr>
          <w:rFonts w:cs="Arial"/>
        </w:rPr>
        <w:t xml:space="preserve"> </w:t>
      </w:r>
      <w:r w:rsidR="00B04F7F" w:rsidRPr="006A6A73">
        <w:t xml:space="preserve">увеличаване на разпространението в групата на употребилите канабис през предходната година </w:t>
      </w:r>
      <w:r w:rsidR="00FD5EF8" w:rsidRPr="006A6A73">
        <w:t xml:space="preserve">(15–34 </w:t>
      </w:r>
      <w:r w:rsidR="00B04F7F" w:rsidRPr="006A6A73">
        <w:t>години</w:t>
      </w:r>
      <w:r w:rsidR="00FD5EF8" w:rsidRPr="006A6A73">
        <w:t>) (</w:t>
      </w:r>
      <w:r w:rsidR="0072670E" w:rsidRPr="006A6A73">
        <w:t>фигура</w:t>
      </w:r>
      <w:r w:rsidR="00B04F7F" w:rsidRPr="006A6A73">
        <w:t xml:space="preserve"> </w:t>
      </w:r>
      <w:r w:rsidR="00E61273" w:rsidRPr="006A6A73">
        <w:t>2.1).</w:t>
      </w:r>
    </w:p>
    <w:p w:rsidR="00FD5EF8" w:rsidRPr="006A6A73" w:rsidRDefault="00DD3502" w:rsidP="007F0D31">
      <w:pPr>
        <w:pStyle w:val="newsContent"/>
      </w:pPr>
      <w:r w:rsidRPr="006A6A73">
        <w:t>Най-големи са опасенията за здравето на европейците, които употребяват наркотика ежедневно или почти ежедневно</w:t>
      </w:r>
      <w:r w:rsidR="00E92680" w:rsidRPr="006A6A73">
        <w:t xml:space="preserve"> </w:t>
      </w:r>
      <w:r w:rsidR="00FD5EF8" w:rsidRPr="006A6A73">
        <w:t>(</w:t>
      </w:r>
      <w:r w:rsidRPr="006A6A73">
        <w:t>около</w:t>
      </w:r>
      <w:r w:rsidR="00FD5EF8" w:rsidRPr="006A6A73">
        <w:t xml:space="preserve"> 1% </w:t>
      </w:r>
      <w:r w:rsidRPr="006A6A73">
        <w:t xml:space="preserve">от европейците на възраст </w:t>
      </w:r>
      <w:r w:rsidR="00FD5EF8" w:rsidRPr="006A6A73">
        <w:t xml:space="preserve">15–64 </w:t>
      </w:r>
      <w:r w:rsidRPr="006A6A73">
        <w:t>години</w:t>
      </w:r>
      <w:r w:rsidR="00FD5EF8" w:rsidRPr="006A6A73">
        <w:t xml:space="preserve">). </w:t>
      </w:r>
      <w:r w:rsidR="00B9325E" w:rsidRPr="006A6A73">
        <w:t>Данните за</w:t>
      </w:r>
      <w:r w:rsidR="00FD5EF8" w:rsidRPr="006A6A73">
        <w:t xml:space="preserve"> 2012</w:t>
      </w:r>
      <w:r w:rsidR="00B9325E" w:rsidRPr="006A6A73">
        <w:t> г. с</w:t>
      </w:r>
      <w:r w:rsidR="00577911" w:rsidRPr="006A6A73">
        <w:t>очат, че канабисът е най-често посочван като</w:t>
      </w:r>
      <w:r w:rsidR="00B9325E" w:rsidRPr="006A6A73">
        <w:t xml:space="preserve"> основна</w:t>
      </w:r>
      <w:r w:rsidR="00577911" w:rsidRPr="006A6A73">
        <w:t>та</w:t>
      </w:r>
      <w:r w:rsidR="00B9325E" w:rsidRPr="006A6A73">
        <w:t xml:space="preserve"> причина за </w:t>
      </w:r>
      <w:r w:rsidR="00577911" w:rsidRPr="006A6A73">
        <w:t xml:space="preserve">прибягване към </w:t>
      </w:r>
      <w:r w:rsidR="00B9325E" w:rsidRPr="006A6A73">
        <w:t xml:space="preserve">лечение на наркотична зависимост </w:t>
      </w:r>
      <w:r w:rsidR="00577911" w:rsidRPr="006A6A73">
        <w:t>от постъпилите за първи път на лечение пациенти</w:t>
      </w:r>
      <w:r w:rsidR="00D2398A" w:rsidRPr="006A6A73">
        <w:t xml:space="preserve">. „Липсата на систематично наблюдение </w:t>
      </w:r>
      <w:r w:rsidR="00B9325E" w:rsidRPr="006A6A73">
        <w:t xml:space="preserve">в областта на спешните случаи, свързани с </w:t>
      </w:r>
      <w:r w:rsidR="00D2398A" w:rsidRPr="006A6A73">
        <w:t xml:space="preserve">употребата на </w:t>
      </w:r>
      <w:r w:rsidR="00B9325E" w:rsidRPr="006A6A73">
        <w:t xml:space="preserve">наркотици, </w:t>
      </w:r>
      <w:r w:rsidR="00D2398A" w:rsidRPr="006A6A73">
        <w:t>е пропуск</w:t>
      </w:r>
      <w:r w:rsidR="00FD5EF8" w:rsidRPr="006A6A73">
        <w:t xml:space="preserve"> </w:t>
      </w:r>
      <w:r w:rsidR="00B9325E" w:rsidRPr="006A6A73">
        <w:t xml:space="preserve">в европейските </w:t>
      </w:r>
      <w:r w:rsidR="00D2398A" w:rsidRPr="006A6A73">
        <w:t>усилия</w:t>
      </w:r>
      <w:r w:rsidR="00B9325E" w:rsidRPr="006A6A73">
        <w:t xml:space="preserve"> за </w:t>
      </w:r>
      <w:r w:rsidR="00D2398A" w:rsidRPr="006A6A73">
        <w:t>контрол</w:t>
      </w:r>
      <w:r w:rsidR="00FD5EF8" w:rsidRPr="006A6A73">
        <w:t xml:space="preserve"> </w:t>
      </w:r>
      <w:r w:rsidR="00B9325E" w:rsidRPr="006A6A73">
        <w:t>на</w:t>
      </w:r>
      <w:r w:rsidR="00FD5EF8" w:rsidRPr="006A6A73">
        <w:t xml:space="preserve"> </w:t>
      </w:r>
      <w:r w:rsidR="00D2398A" w:rsidRPr="006A6A73">
        <w:t>нововъзникващите заплахи за здравето</w:t>
      </w:r>
      <w:r w:rsidR="00B9325E" w:rsidRPr="006A6A73">
        <w:t>“</w:t>
      </w:r>
      <w:r w:rsidR="00FD5EF8" w:rsidRPr="006A6A73">
        <w:t xml:space="preserve">, </w:t>
      </w:r>
      <w:r w:rsidR="00B9325E" w:rsidRPr="006A6A73">
        <w:t>твърди</w:t>
      </w:r>
      <w:r w:rsidR="00FD5EF8" w:rsidRPr="006A6A73">
        <w:t xml:space="preserve"> </w:t>
      </w:r>
      <w:r w:rsidR="00FD5EF8" w:rsidRPr="006A6A73">
        <w:rPr>
          <w:b/>
        </w:rPr>
        <w:t>EMCDDA</w:t>
      </w:r>
      <w:r w:rsidR="00FD5EF8" w:rsidRPr="006A6A73">
        <w:t xml:space="preserve">. </w:t>
      </w:r>
      <w:r w:rsidR="0079114A" w:rsidRPr="006A6A73">
        <w:t>Въз основа на</w:t>
      </w:r>
      <w:r w:rsidR="00D53C45" w:rsidRPr="006A6A73">
        <w:t xml:space="preserve"> ограничените данни</w:t>
      </w:r>
      <w:r w:rsidR="00FD5EF8" w:rsidRPr="006A6A73">
        <w:t xml:space="preserve"> </w:t>
      </w:r>
      <w:r w:rsidR="0079114A" w:rsidRPr="006A6A73">
        <w:t xml:space="preserve">може да се </w:t>
      </w:r>
      <w:r w:rsidR="0093263D" w:rsidRPr="006A6A73">
        <w:t>посочи</w:t>
      </w:r>
      <w:r w:rsidR="00FD5EF8" w:rsidRPr="006A6A73">
        <w:t>,</w:t>
      </w:r>
      <w:r w:rsidR="0079114A" w:rsidRPr="006A6A73">
        <w:t xml:space="preserve"> че</w:t>
      </w:r>
      <w:r w:rsidR="00FD5EF8" w:rsidRPr="006A6A73">
        <w:t xml:space="preserve"> </w:t>
      </w:r>
      <w:r w:rsidR="00D53C45" w:rsidRPr="006A6A73">
        <w:t>свързаните с</w:t>
      </w:r>
      <w:r w:rsidR="0079114A" w:rsidRPr="006A6A73">
        <w:t xml:space="preserve"> употребата на</w:t>
      </w:r>
      <w:r w:rsidR="00D53C45" w:rsidRPr="006A6A73">
        <w:t xml:space="preserve"> канабис спешни медицински случаи </w:t>
      </w:r>
      <w:r w:rsidR="0079114A" w:rsidRPr="006A6A73">
        <w:t>са</w:t>
      </w:r>
      <w:r w:rsidR="00D53C45" w:rsidRPr="006A6A73">
        <w:t xml:space="preserve"> задълбочаващ се проблем в някои държави, където той е широко</w:t>
      </w:r>
      <w:r w:rsidR="00770FCF" w:rsidRPr="006A6A73">
        <w:t xml:space="preserve"> </w:t>
      </w:r>
      <w:r w:rsidR="00D53C45" w:rsidRPr="006A6A73">
        <w:t>разпространен</w:t>
      </w:r>
      <w:r w:rsidR="00FD5EF8" w:rsidRPr="006A6A73">
        <w:t>.</w:t>
      </w:r>
    </w:p>
    <w:p w:rsidR="00FD5EF8" w:rsidRPr="006A6A73" w:rsidRDefault="00E77CA6" w:rsidP="006D50B5">
      <w:pPr>
        <w:pStyle w:val="newsContent"/>
        <w:ind w:right="-144"/>
      </w:pPr>
      <w:r w:rsidRPr="006A6A73">
        <w:rPr>
          <w:b/>
        </w:rPr>
        <w:t xml:space="preserve">Директорът на EMCDDA </w:t>
      </w:r>
      <w:r w:rsidR="0071094C" w:rsidRPr="006A6A73">
        <w:rPr>
          <w:b/>
        </w:rPr>
        <w:t xml:space="preserve">Волфганг </w:t>
      </w:r>
      <w:proofErr w:type="spellStart"/>
      <w:r w:rsidR="0071094C" w:rsidRPr="006A6A73">
        <w:rPr>
          <w:b/>
        </w:rPr>
        <w:t>Гьотц</w:t>
      </w:r>
      <w:proofErr w:type="spellEnd"/>
      <w:r w:rsidR="0071094C" w:rsidRPr="006A6A73">
        <w:t xml:space="preserve"> </w:t>
      </w:r>
      <w:r w:rsidR="00FB0438" w:rsidRPr="006A6A73">
        <w:t>заключава: „</w:t>
      </w:r>
      <w:r w:rsidR="003C25FE" w:rsidRPr="006A6A73">
        <w:t>Гордея се с предоставения в този доклад проникновен поглед, както към установените проблеми, така и към нововъзникващите заплахи</w:t>
      </w:r>
      <w:r w:rsidR="00FD5EF8" w:rsidRPr="006A6A73">
        <w:t xml:space="preserve">. </w:t>
      </w:r>
      <w:r w:rsidR="00720375" w:rsidRPr="006A6A73">
        <w:t>Надеждната информация формира ядрото на ответните реакции на Европа по отношение на проблема с наркотиците и благодарение на нея предприеманите от нас мерки са по-ефективни</w:t>
      </w:r>
      <w:r w:rsidR="00FD5EF8" w:rsidRPr="006A6A73">
        <w:t xml:space="preserve">. </w:t>
      </w:r>
      <w:r w:rsidR="00441086" w:rsidRPr="006A6A73">
        <w:t>Преди повече от 15 години</w:t>
      </w:r>
      <w:r w:rsidR="00FD5EF8" w:rsidRPr="006A6A73">
        <w:t xml:space="preserve"> </w:t>
      </w:r>
      <w:r w:rsidR="00441086" w:rsidRPr="006A6A73">
        <w:t xml:space="preserve">европейските институции и държавите членки показаха огромна далновидност, като инвестираха в Система </w:t>
      </w:r>
      <w:r w:rsidR="00B90D58" w:rsidRPr="006A6A73">
        <w:t xml:space="preserve">на ЕС </w:t>
      </w:r>
      <w:r w:rsidR="00441086" w:rsidRPr="006A6A73">
        <w:t>за ранно предупреждение относно нови пси</w:t>
      </w:r>
      <w:r w:rsidR="00B90D58" w:rsidRPr="006A6A73">
        <w:t xml:space="preserve">хоактивни вещества, която сега </w:t>
      </w:r>
      <w:r w:rsidR="00441086" w:rsidRPr="006A6A73">
        <w:t xml:space="preserve">е </w:t>
      </w:r>
      <w:r w:rsidR="00FF5F33" w:rsidRPr="006A6A73">
        <w:t>световно призната</w:t>
      </w:r>
      <w:r w:rsidR="00FD5EF8" w:rsidRPr="006A6A73">
        <w:t xml:space="preserve">. </w:t>
      </w:r>
      <w:r w:rsidR="00D02362" w:rsidRPr="006A6A73">
        <w:t xml:space="preserve">Вярвам във възможността да </w:t>
      </w:r>
      <w:r w:rsidR="006D13D1" w:rsidRPr="006A6A73">
        <w:t>под</w:t>
      </w:r>
      <w:r w:rsidR="00D02362" w:rsidRPr="006A6A73">
        <w:t>силим капацитета на системата, която многократно доказа полезността си от гледна точка на споделянето на информация и бързото реагиране на заплахи</w:t>
      </w:r>
      <w:r w:rsidR="00FD5EF8" w:rsidRPr="006A6A73">
        <w:t xml:space="preserve">. </w:t>
      </w:r>
      <w:r w:rsidR="005A68F9">
        <w:t>Дълбоко съм загрижен</w:t>
      </w:r>
      <w:r w:rsidR="00976151" w:rsidRPr="006A6A73">
        <w:t xml:space="preserve"> обаче </w:t>
      </w:r>
      <w:r w:rsidR="005A68F9">
        <w:t xml:space="preserve">от </w:t>
      </w:r>
      <w:r w:rsidR="00976151" w:rsidRPr="006A6A73">
        <w:t>това</w:t>
      </w:r>
      <w:r w:rsidR="00FD5EF8" w:rsidRPr="006A6A73">
        <w:t>,</w:t>
      </w:r>
      <w:r w:rsidR="00976151" w:rsidRPr="006A6A73">
        <w:t xml:space="preserve"> че</w:t>
      </w:r>
      <w:r w:rsidR="00FD5EF8" w:rsidRPr="006A6A73">
        <w:t xml:space="preserve"> </w:t>
      </w:r>
      <w:r w:rsidR="00976151" w:rsidRPr="006A6A73">
        <w:t>този механизъм е изложен на увеличаващ се натиск</w:t>
      </w:r>
      <w:r w:rsidR="00FD5EF8" w:rsidRPr="006A6A73">
        <w:t xml:space="preserve"> </w:t>
      </w:r>
      <w:r w:rsidR="00976151" w:rsidRPr="006A6A73">
        <w:t>и на евентуален риск, ако не е ресурсно обезпечен в достатъчна степен</w:t>
      </w:r>
      <w:r w:rsidR="00FD5EF8" w:rsidRPr="006A6A73">
        <w:t>.</w:t>
      </w:r>
      <w:r w:rsidR="00FB0438" w:rsidRPr="006A6A73">
        <w:t>“</w:t>
      </w:r>
    </w:p>
    <w:p w:rsidR="006D50B5" w:rsidRDefault="006D50B5">
      <w:pPr>
        <w:rPr>
          <w:rFonts w:ascii="Arial" w:hAnsi="Arial"/>
          <w:b/>
          <w:sz w:val="17"/>
        </w:rPr>
      </w:pPr>
      <w:r>
        <w:rPr>
          <w:b/>
        </w:rPr>
        <w:br w:type="page"/>
      </w:r>
    </w:p>
    <w:p w:rsidR="00CB49DA" w:rsidRPr="006A6A73" w:rsidRDefault="0073054A" w:rsidP="007F0D31">
      <w:pPr>
        <w:pStyle w:val="newsNotes"/>
      </w:pPr>
      <w:r w:rsidRPr="006A6A73">
        <w:rPr>
          <w:b/>
        </w:rPr>
        <w:lastRenderedPageBreak/>
        <w:t>Бележки</w:t>
      </w:r>
      <w:r w:rsidR="00CB49DA" w:rsidRPr="006A6A73">
        <w:t>:</w:t>
      </w:r>
    </w:p>
    <w:p w:rsidR="006832A5" w:rsidRPr="00660421" w:rsidRDefault="006832A5" w:rsidP="00FE0B76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85A2A">
        <w:rPr>
          <w:rFonts w:ascii="Arial" w:hAnsi="Arial" w:cs="Arial"/>
          <w:sz w:val="17"/>
          <w:szCs w:val="17"/>
        </w:rPr>
        <w:t>(</w:t>
      </w:r>
      <w:r w:rsidRPr="00C85A2A">
        <w:rPr>
          <w:rFonts w:ascii="Arial" w:hAnsi="Arial" w:cs="Arial"/>
          <w:sz w:val="17"/>
          <w:szCs w:val="17"/>
          <w:vertAlign w:val="superscript"/>
        </w:rPr>
        <w:t>1</w:t>
      </w:r>
      <w:r w:rsidRPr="00C85A2A">
        <w:rPr>
          <w:rFonts w:ascii="Arial" w:hAnsi="Arial" w:cs="Arial"/>
          <w:sz w:val="17"/>
          <w:szCs w:val="17"/>
        </w:rPr>
        <w:t xml:space="preserve">) </w:t>
      </w:r>
      <w:r w:rsidR="00AF6FAD" w:rsidRPr="00C85A2A">
        <w:rPr>
          <w:rFonts w:ascii="Arial" w:hAnsi="Arial" w:cs="Arial"/>
          <w:b/>
          <w:sz w:val="17"/>
          <w:szCs w:val="17"/>
        </w:rPr>
        <w:t>„</w:t>
      </w:r>
      <w:r w:rsidR="000A5C59" w:rsidRPr="00C85A2A">
        <w:rPr>
          <w:rFonts w:ascii="Arial" w:hAnsi="Arial" w:cs="Arial"/>
          <w:b/>
          <w:i/>
          <w:sz w:val="17"/>
          <w:szCs w:val="17"/>
        </w:rPr>
        <w:t xml:space="preserve">Европейски доклад за наркотиците </w:t>
      </w:r>
      <w:r w:rsidRPr="00C85A2A">
        <w:rPr>
          <w:rFonts w:ascii="Arial" w:hAnsi="Arial" w:cs="Arial"/>
          <w:b/>
          <w:i/>
          <w:sz w:val="17"/>
          <w:szCs w:val="17"/>
        </w:rPr>
        <w:t>2014</w:t>
      </w:r>
      <w:r w:rsidR="000A5C59" w:rsidRPr="00C85A2A">
        <w:rPr>
          <w:rFonts w:ascii="Arial" w:hAnsi="Arial" w:cs="Arial"/>
          <w:b/>
          <w:i/>
          <w:sz w:val="17"/>
          <w:szCs w:val="17"/>
        </w:rPr>
        <w:t> г.</w:t>
      </w:r>
      <w:r w:rsidRPr="00C85A2A">
        <w:rPr>
          <w:rFonts w:ascii="Arial" w:hAnsi="Arial" w:cs="Arial"/>
          <w:b/>
          <w:i/>
          <w:sz w:val="17"/>
          <w:szCs w:val="17"/>
        </w:rPr>
        <w:t xml:space="preserve">: </w:t>
      </w:r>
      <w:r w:rsidR="000A5C59" w:rsidRPr="00C85A2A">
        <w:rPr>
          <w:rFonts w:ascii="Arial" w:hAnsi="Arial" w:cs="Arial"/>
          <w:b/>
          <w:i/>
          <w:sz w:val="17"/>
          <w:szCs w:val="17"/>
        </w:rPr>
        <w:t>Тенденции и развития</w:t>
      </w:r>
      <w:r w:rsidR="00AF6FAD" w:rsidRPr="00C85A2A">
        <w:rPr>
          <w:rFonts w:ascii="Arial" w:hAnsi="Arial" w:cs="Arial"/>
          <w:b/>
          <w:sz w:val="17"/>
          <w:szCs w:val="17"/>
        </w:rPr>
        <w:t>“</w:t>
      </w:r>
      <w:r w:rsidRPr="00C85A2A">
        <w:rPr>
          <w:rFonts w:ascii="Arial" w:hAnsi="Arial" w:cs="Arial"/>
          <w:sz w:val="17"/>
          <w:szCs w:val="17"/>
        </w:rPr>
        <w:t xml:space="preserve"> (</w:t>
      </w:r>
      <w:r w:rsidR="00322370" w:rsidRPr="00C85A2A">
        <w:rPr>
          <w:rFonts w:ascii="Arial" w:hAnsi="Arial" w:cs="Arial"/>
          <w:sz w:val="17"/>
          <w:szCs w:val="17"/>
        </w:rPr>
        <w:t>наличен на</w:t>
      </w:r>
      <w:r w:rsidRPr="00C85A2A">
        <w:rPr>
          <w:rFonts w:ascii="Arial" w:hAnsi="Arial" w:cs="Arial"/>
          <w:sz w:val="17"/>
          <w:szCs w:val="17"/>
        </w:rPr>
        <w:t xml:space="preserve"> 23 </w:t>
      </w:r>
      <w:r w:rsidR="00322370" w:rsidRPr="00C85A2A">
        <w:rPr>
          <w:rFonts w:ascii="Arial" w:hAnsi="Arial" w:cs="Arial"/>
          <w:sz w:val="17"/>
          <w:szCs w:val="17"/>
        </w:rPr>
        <w:t>езика</w:t>
      </w:r>
      <w:r w:rsidRPr="00C85A2A">
        <w:rPr>
          <w:rFonts w:ascii="Arial" w:hAnsi="Arial" w:cs="Arial"/>
          <w:sz w:val="17"/>
          <w:szCs w:val="17"/>
        </w:rPr>
        <w:t xml:space="preserve">) </w:t>
      </w:r>
      <w:r w:rsidR="00322370" w:rsidRPr="00C85A2A">
        <w:rPr>
          <w:rFonts w:ascii="Arial" w:hAnsi="Arial" w:cs="Arial"/>
          <w:sz w:val="17"/>
          <w:szCs w:val="17"/>
        </w:rPr>
        <w:t>и</w:t>
      </w:r>
      <w:r w:rsidRPr="00C85A2A">
        <w:rPr>
          <w:rFonts w:ascii="Arial" w:hAnsi="Arial" w:cs="Arial"/>
          <w:sz w:val="17"/>
          <w:szCs w:val="17"/>
        </w:rPr>
        <w:t xml:space="preserve"> </w:t>
      </w:r>
      <w:r w:rsidR="00AF6FAD" w:rsidRPr="00C85A2A">
        <w:rPr>
          <w:rFonts w:ascii="Arial" w:hAnsi="Arial" w:cs="Arial"/>
          <w:b/>
          <w:sz w:val="17"/>
          <w:szCs w:val="17"/>
        </w:rPr>
        <w:t>„Перспективи относно наркотиците“</w:t>
      </w:r>
      <w:r w:rsidR="00AF6FAD" w:rsidRPr="00C85A2A">
        <w:rPr>
          <w:rFonts w:ascii="Arial" w:hAnsi="Arial" w:cs="Arial"/>
          <w:sz w:val="17"/>
          <w:szCs w:val="17"/>
        </w:rPr>
        <w:t xml:space="preserve"> </w:t>
      </w:r>
      <w:r w:rsidRPr="00C85A2A">
        <w:rPr>
          <w:rFonts w:ascii="Arial" w:hAnsi="Arial" w:cs="Arial"/>
          <w:sz w:val="17"/>
          <w:szCs w:val="17"/>
        </w:rPr>
        <w:t>(</w:t>
      </w:r>
      <w:r w:rsidR="00FE0B76" w:rsidRPr="00C85A2A">
        <w:rPr>
          <w:rFonts w:ascii="Arial" w:hAnsi="Arial" w:cs="Arial"/>
          <w:i/>
          <w:sz w:val="17"/>
          <w:szCs w:val="17"/>
          <w:lang w:val="en-GB"/>
        </w:rPr>
        <w:t>Perspectives</w:t>
      </w:r>
      <w:r w:rsidR="00FE0B76" w:rsidRPr="00C85A2A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="00FE0B76" w:rsidRPr="00C85A2A">
        <w:rPr>
          <w:rFonts w:ascii="Arial" w:hAnsi="Arial" w:cs="Arial"/>
          <w:i/>
          <w:sz w:val="17"/>
          <w:szCs w:val="17"/>
          <w:lang w:val="en-GB"/>
        </w:rPr>
        <w:t>on</w:t>
      </w:r>
      <w:r w:rsidR="00FE0B76" w:rsidRPr="00C85A2A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="00FE0B76" w:rsidRPr="00C85A2A">
        <w:rPr>
          <w:rFonts w:ascii="Arial" w:hAnsi="Arial" w:cs="Arial"/>
          <w:i/>
          <w:sz w:val="17"/>
          <w:szCs w:val="17"/>
          <w:lang w:val="en-GB"/>
        </w:rPr>
        <w:t>drugs</w:t>
      </w:r>
      <w:r w:rsidR="00FE0B76" w:rsidRPr="00C85A2A">
        <w:rPr>
          <w:rFonts w:ascii="Arial" w:hAnsi="Arial" w:cs="Arial"/>
          <w:i/>
          <w:sz w:val="17"/>
          <w:szCs w:val="17"/>
          <w:lang w:val="ru-RU"/>
        </w:rPr>
        <w:t>/</w:t>
      </w:r>
      <w:r w:rsidR="00FE0B76" w:rsidRPr="00C85A2A">
        <w:rPr>
          <w:rFonts w:ascii="Arial" w:hAnsi="Arial" w:cs="Arial"/>
          <w:i/>
          <w:sz w:val="17"/>
          <w:szCs w:val="17"/>
          <w:lang w:val="en-GB"/>
        </w:rPr>
        <w:t>PODs</w:t>
      </w:r>
      <w:r w:rsidR="00FE0B76" w:rsidRPr="00C85A2A">
        <w:rPr>
          <w:rFonts w:ascii="Arial" w:hAnsi="Arial" w:cs="Arial"/>
          <w:sz w:val="17"/>
          <w:szCs w:val="17"/>
          <w:lang w:val="ru-RU"/>
        </w:rPr>
        <w:t xml:space="preserve"> — </w:t>
      </w:r>
      <w:r w:rsidR="00322370" w:rsidRPr="00C85A2A">
        <w:rPr>
          <w:rFonts w:ascii="Arial" w:hAnsi="Arial" w:cs="Arial"/>
          <w:sz w:val="17"/>
          <w:szCs w:val="17"/>
        </w:rPr>
        <w:t>на английски език</w:t>
      </w:r>
      <w:r w:rsidRPr="00C85A2A">
        <w:rPr>
          <w:rFonts w:ascii="Arial" w:hAnsi="Arial" w:cs="Arial"/>
          <w:sz w:val="17"/>
          <w:szCs w:val="17"/>
        </w:rPr>
        <w:t xml:space="preserve">) </w:t>
      </w:r>
      <w:r w:rsidR="00322370" w:rsidRPr="00C85A2A">
        <w:rPr>
          <w:rFonts w:ascii="Arial" w:hAnsi="Arial" w:cs="Arial"/>
          <w:sz w:val="17"/>
          <w:szCs w:val="17"/>
        </w:rPr>
        <w:t>са поместени на</w:t>
      </w:r>
      <w:r w:rsidRPr="00C85A2A">
        <w:rPr>
          <w:rFonts w:ascii="Arial" w:hAnsi="Arial" w:cs="Arial"/>
          <w:sz w:val="17"/>
          <w:szCs w:val="17"/>
        </w:rPr>
        <w:t xml:space="preserve"> </w:t>
      </w:r>
      <w:hyperlink r:id="rId10" w:history="1">
        <w:r w:rsidR="00FE0B76" w:rsidRPr="00C85A2A">
          <w:rPr>
            <w:rStyle w:val="Hyperlink"/>
            <w:rFonts w:cs="Arial"/>
            <w:szCs w:val="17"/>
          </w:rPr>
          <w:t>www.emcdda.europa.eu/edr2014</w:t>
        </w:r>
      </w:hyperlink>
      <w:r w:rsidRPr="00C85A2A">
        <w:rPr>
          <w:rFonts w:ascii="Arial" w:hAnsi="Arial" w:cs="Arial"/>
          <w:sz w:val="17"/>
          <w:szCs w:val="17"/>
        </w:rPr>
        <w:t xml:space="preserve">. </w:t>
      </w:r>
      <w:r w:rsidR="00322370" w:rsidRPr="00C85A2A">
        <w:rPr>
          <w:rFonts w:ascii="Arial" w:hAnsi="Arial" w:cs="Arial"/>
          <w:sz w:val="17"/>
          <w:szCs w:val="17"/>
        </w:rPr>
        <w:t xml:space="preserve">Изложените в доклада данни са за 2012 г. или за последната година, за която има </w:t>
      </w:r>
      <w:r w:rsidR="00322370" w:rsidRPr="00660421">
        <w:rPr>
          <w:rFonts w:ascii="Arial" w:hAnsi="Arial" w:cs="Arial"/>
          <w:sz w:val="17"/>
          <w:szCs w:val="17"/>
        </w:rPr>
        <w:t>данни. Цитираните в този прес бюлетин стойности се съдържат в самия доклад. Справка за допълнителни стойност</w:t>
      </w:r>
      <w:r w:rsidR="00A171F2" w:rsidRPr="00660421">
        <w:rPr>
          <w:rFonts w:ascii="Arial" w:hAnsi="Arial" w:cs="Arial"/>
          <w:sz w:val="17"/>
          <w:szCs w:val="17"/>
        </w:rPr>
        <w:t>и и таблици може да се направи на</w:t>
      </w:r>
      <w:r w:rsidR="00FE0B76" w:rsidRPr="00660421">
        <w:rPr>
          <w:rFonts w:ascii="Arial" w:hAnsi="Arial" w:cs="Arial"/>
          <w:sz w:val="17"/>
          <w:szCs w:val="17"/>
          <w:lang w:val="ru-RU"/>
        </w:rPr>
        <w:t xml:space="preserve"> </w:t>
      </w:r>
      <w:r w:rsidR="00FE0B76" w:rsidRPr="00660421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Европейски доклад за </w:t>
      </w:r>
      <w:proofErr w:type="spellStart"/>
      <w:r w:rsidR="00FE0B76" w:rsidRPr="00660421">
        <w:rPr>
          <w:rFonts w:ascii="Arial" w:hAnsi="Arial" w:cs="Arial"/>
          <w:b/>
          <w:color w:val="000000"/>
          <w:sz w:val="17"/>
          <w:szCs w:val="17"/>
          <w:lang w:val="ru-RU"/>
        </w:rPr>
        <w:t>наркотиците</w:t>
      </w:r>
      <w:proofErr w:type="spellEnd"/>
      <w:r w:rsidR="00FE0B76" w:rsidRPr="00660421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: </w:t>
      </w:r>
      <w:proofErr w:type="spellStart"/>
      <w:r w:rsidR="00FE0B76" w:rsidRPr="00660421">
        <w:rPr>
          <w:rFonts w:ascii="Arial" w:hAnsi="Arial" w:cs="Arial"/>
          <w:b/>
          <w:color w:val="000000"/>
          <w:sz w:val="17"/>
          <w:szCs w:val="17"/>
          <w:lang w:val="ru-RU"/>
        </w:rPr>
        <w:t>данни</w:t>
      </w:r>
      <w:proofErr w:type="spellEnd"/>
      <w:r w:rsidR="00FE0B76" w:rsidRPr="00660421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и </w:t>
      </w:r>
      <w:proofErr w:type="spellStart"/>
      <w:r w:rsidR="00FE0B76" w:rsidRPr="00660421">
        <w:rPr>
          <w:rFonts w:ascii="Arial" w:hAnsi="Arial" w:cs="Arial"/>
          <w:b/>
          <w:color w:val="000000"/>
          <w:sz w:val="17"/>
          <w:szCs w:val="17"/>
          <w:lang w:val="ru-RU"/>
        </w:rPr>
        <w:t>статистическа</w:t>
      </w:r>
      <w:proofErr w:type="spellEnd"/>
      <w:r w:rsidR="00FE0B76" w:rsidRPr="00660421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информация</w:t>
      </w:r>
      <w:r w:rsidR="00FE0B76" w:rsidRPr="00660421">
        <w:rPr>
          <w:rFonts w:ascii="Arial" w:hAnsi="Arial" w:cs="Arial"/>
          <w:sz w:val="17"/>
          <w:szCs w:val="17"/>
        </w:rPr>
        <w:t xml:space="preserve"> (</w:t>
      </w:r>
      <w:r w:rsidR="00FE0B76" w:rsidRPr="00660421">
        <w:rPr>
          <w:rFonts w:ascii="Arial" w:hAnsi="Arial" w:cs="Arial"/>
          <w:i/>
          <w:sz w:val="17"/>
          <w:szCs w:val="17"/>
        </w:rPr>
        <w:t>European Drug Report: Data and statistics</w:t>
      </w:r>
      <w:r w:rsidR="00FE0B76" w:rsidRPr="00660421">
        <w:rPr>
          <w:rFonts w:ascii="Arial" w:hAnsi="Arial" w:cs="Arial"/>
          <w:sz w:val="17"/>
          <w:szCs w:val="17"/>
        </w:rPr>
        <w:t xml:space="preserve">) </w:t>
      </w:r>
      <w:hyperlink r:id="rId11" w:history="1">
        <w:r w:rsidR="00FE0B76" w:rsidRPr="00660421">
          <w:rPr>
            <w:rStyle w:val="Hyperlink"/>
            <w:rFonts w:cs="Arial"/>
            <w:szCs w:val="17"/>
          </w:rPr>
          <w:t>www.emcdda.europa.eu/data</w:t>
        </w:r>
      </w:hyperlink>
      <w:r w:rsidR="00FE0B76" w:rsidRPr="00660421">
        <w:rPr>
          <w:rFonts w:ascii="Arial" w:hAnsi="Arial" w:cs="Arial"/>
          <w:sz w:val="17"/>
          <w:szCs w:val="17"/>
          <w:lang w:val="ru-RU"/>
        </w:rPr>
        <w:t xml:space="preserve"> </w:t>
      </w:r>
    </w:p>
    <w:p w:rsidR="006832A5" w:rsidRPr="00FE0B76" w:rsidRDefault="006832A5" w:rsidP="00FE0B76">
      <w:pPr>
        <w:pStyle w:val="newsNotes"/>
        <w:spacing w:line="240" w:lineRule="auto"/>
        <w:rPr>
          <w:rFonts w:cs="Arial"/>
          <w:szCs w:val="17"/>
        </w:rPr>
      </w:pPr>
      <w:r w:rsidRPr="00660421">
        <w:rPr>
          <w:rFonts w:cs="Arial"/>
          <w:szCs w:val="17"/>
        </w:rPr>
        <w:t>(</w:t>
      </w:r>
      <w:r w:rsidRPr="00660421">
        <w:rPr>
          <w:rFonts w:cs="Arial"/>
          <w:szCs w:val="17"/>
          <w:vertAlign w:val="superscript"/>
        </w:rPr>
        <w:t>2</w:t>
      </w:r>
      <w:r w:rsidRPr="00660421">
        <w:rPr>
          <w:rFonts w:cs="Arial"/>
          <w:szCs w:val="17"/>
        </w:rPr>
        <w:t xml:space="preserve">) </w:t>
      </w:r>
      <w:r w:rsidR="00067D69" w:rsidRPr="00660421">
        <w:rPr>
          <w:rFonts w:cs="Arial"/>
          <w:szCs w:val="17"/>
        </w:rPr>
        <w:t>Поради различия в практиките и методологията на отчитане</w:t>
      </w:r>
      <w:r w:rsidR="005A68F9" w:rsidRPr="00660421">
        <w:rPr>
          <w:rFonts w:cs="Arial"/>
          <w:szCs w:val="17"/>
        </w:rPr>
        <w:t xml:space="preserve"> е необходимо</w:t>
      </w:r>
      <w:r w:rsidR="00067D69" w:rsidRPr="00660421">
        <w:rPr>
          <w:rFonts w:cs="Arial"/>
          <w:szCs w:val="17"/>
        </w:rPr>
        <w:t xml:space="preserve"> внимание при сравнение на</w:t>
      </w:r>
      <w:bookmarkStart w:id="4" w:name="_GoBack"/>
      <w:bookmarkEnd w:id="4"/>
      <w:r w:rsidR="00067D69" w:rsidRPr="00FE0B76">
        <w:rPr>
          <w:rFonts w:cs="Arial"/>
          <w:szCs w:val="17"/>
        </w:rPr>
        <w:t xml:space="preserve"> държавите.</w:t>
      </w:r>
    </w:p>
    <w:p w:rsidR="006832A5" w:rsidRPr="00FE0B76" w:rsidRDefault="006832A5" w:rsidP="00FE0B76">
      <w:pPr>
        <w:pStyle w:val="newsNotes"/>
        <w:spacing w:line="240" w:lineRule="auto"/>
        <w:rPr>
          <w:rFonts w:cs="Arial"/>
          <w:szCs w:val="17"/>
        </w:rPr>
      </w:pPr>
      <w:r w:rsidRPr="00FE0B76">
        <w:rPr>
          <w:rFonts w:cs="Arial"/>
          <w:szCs w:val="17"/>
        </w:rPr>
        <w:t>(</w:t>
      </w:r>
      <w:r w:rsidRPr="00FE0B76">
        <w:rPr>
          <w:rFonts w:cs="Arial"/>
          <w:szCs w:val="17"/>
          <w:vertAlign w:val="superscript"/>
        </w:rPr>
        <w:t>3</w:t>
      </w:r>
      <w:r w:rsidRPr="00FE0B76">
        <w:rPr>
          <w:rFonts w:cs="Arial"/>
          <w:szCs w:val="17"/>
        </w:rPr>
        <w:t xml:space="preserve">) </w:t>
      </w:r>
      <w:hyperlink r:id="rId12" w:history="1">
        <w:r w:rsidR="006131A8" w:rsidRPr="00FE0B76">
          <w:rPr>
            <w:rStyle w:val="Hyperlink"/>
            <w:rFonts w:cs="Arial"/>
            <w:szCs w:val="17"/>
            <w:lang w:val="en-GB"/>
          </w:rPr>
          <w:t>www</w:t>
        </w:r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eurosurveillance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r w:rsidR="006131A8" w:rsidRPr="00FE0B76">
          <w:rPr>
            <w:rStyle w:val="Hyperlink"/>
            <w:rFonts w:cs="Arial"/>
            <w:szCs w:val="17"/>
            <w:lang w:val="en-GB"/>
          </w:rPr>
          <w:t>org</w:t>
        </w:r>
        <w:r w:rsidR="006131A8" w:rsidRPr="00FE0B76">
          <w:rPr>
            <w:rStyle w:val="Hyperlink"/>
            <w:rFonts w:cs="Arial"/>
            <w:szCs w:val="17"/>
          </w:rPr>
          <w:t>/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ViewArticle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aspx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?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ArticleId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=20648</w:t>
        </w:r>
      </w:hyperlink>
    </w:p>
    <w:p w:rsidR="006832A5" w:rsidRPr="00FE0B76" w:rsidRDefault="006832A5" w:rsidP="00FE0B76">
      <w:pPr>
        <w:pStyle w:val="newsNotes"/>
        <w:spacing w:line="240" w:lineRule="auto"/>
        <w:rPr>
          <w:rFonts w:cs="Arial"/>
          <w:szCs w:val="17"/>
        </w:rPr>
      </w:pPr>
      <w:r w:rsidRPr="00FE0B76">
        <w:rPr>
          <w:rFonts w:cs="Arial"/>
          <w:szCs w:val="17"/>
        </w:rPr>
        <w:t>(</w:t>
      </w:r>
      <w:r w:rsidRPr="00FE0B76">
        <w:rPr>
          <w:rFonts w:cs="Arial"/>
          <w:szCs w:val="17"/>
          <w:vertAlign w:val="superscript"/>
        </w:rPr>
        <w:t>4</w:t>
      </w:r>
      <w:r w:rsidRPr="00FE0B76">
        <w:rPr>
          <w:rFonts w:cs="Arial"/>
          <w:szCs w:val="17"/>
        </w:rPr>
        <w:t xml:space="preserve">) </w:t>
      </w:r>
      <w:hyperlink r:id="rId13" w:history="1">
        <w:r w:rsidR="006131A8" w:rsidRPr="00FE0B76">
          <w:rPr>
            <w:rStyle w:val="Hyperlink"/>
            <w:rFonts w:cs="Arial"/>
            <w:szCs w:val="17"/>
            <w:lang w:val="en-GB"/>
          </w:rPr>
          <w:t>www</w:t>
        </w:r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emcdda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europa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/</w:t>
        </w:r>
        <w:r w:rsidR="006131A8" w:rsidRPr="00FE0B76">
          <w:rPr>
            <w:rStyle w:val="Hyperlink"/>
            <w:rFonts w:cs="Arial"/>
            <w:szCs w:val="17"/>
            <w:lang w:val="en-GB"/>
          </w:rPr>
          <w:t>publications</w:t>
        </w:r>
        <w:r w:rsidR="006131A8" w:rsidRPr="00FE0B76">
          <w:rPr>
            <w:rStyle w:val="Hyperlink"/>
            <w:rFonts w:cs="Arial"/>
            <w:szCs w:val="17"/>
          </w:rPr>
          <w:t>/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emcdda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-</w:t>
        </w:r>
        <w:r w:rsidR="006131A8" w:rsidRPr="00FE0B76">
          <w:rPr>
            <w:rStyle w:val="Hyperlink"/>
            <w:rFonts w:cs="Arial"/>
            <w:szCs w:val="17"/>
            <w:lang w:val="en-GB"/>
          </w:rPr>
          <w:t>papers</w:t>
        </w:r>
        <w:r w:rsidR="006131A8" w:rsidRPr="00FE0B76">
          <w:rPr>
            <w:rStyle w:val="Hyperlink"/>
            <w:rFonts w:cs="Arial"/>
            <w:szCs w:val="17"/>
          </w:rPr>
          <w:t>/</w:t>
        </w:r>
        <w:r w:rsidR="006131A8" w:rsidRPr="00FE0B76">
          <w:rPr>
            <w:rStyle w:val="Hyperlink"/>
            <w:rFonts w:cs="Arial"/>
            <w:szCs w:val="17"/>
            <w:lang w:val="en-GB"/>
          </w:rPr>
          <w:t>exploring</w:t>
        </w:r>
        <w:r w:rsidR="006131A8" w:rsidRPr="00FE0B76">
          <w:rPr>
            <w:rStyle w:val="Hyperlink"/>
            <w:rFonts w:cs="Arial"/>
            <w:szCs w:val="17"/>
          </w:rPr>
          <w:t>-</w:t>
        </w:r>
        <w:r w:rsidR="006131A8" w:rsidRPr="00FE0B76">
          <w:rPr>
            <w:rStyle w:val="Hyperlink"/>
            <w:rFonts w:cs="Arial"/>
            <w:szCs w:val="17"/>
            <w:lang w:val="en-GB"/>
          </w:rPr>
          <w:t>methamphetamine</w:t>
        </w:r>
        <w:r w:rsidR="006131A8" w:rsidRPr="00FE0B76">
          <w:rPr>
            <w:rStyle w:val="Hyperlink"/>
            <w:rFonts w:cs="Arial"/>
            <w:szCs w:val="17"/>
          </w:rPr>
          <w:t>-</w:t>
        </w:r>
        <w:r w:rsidR="006131A8" w:rsidRPr="00FE0B76">
          <w:rPr>
            <w:rStyle w:val="Hyperlink"/>
            <w:rFonts w:cs="Arial"/>
            <w:szCs w:val="17"/>
            <w:lang w:val="en-GB"/>
          </w:rPr>
          <w:t>trends</w:t>
        </w:r>
        <w:r w:rsidR="006131A8" w:rsidRPr="00FE0B76">
          <w:rPr>
            <w:rStyle w:val="Hyperlink"/>
            <w:rFonts w:cs="Arial"/>
            <w:szCs w:val="17"/>
          </w:rPr>
          <w:t>-</w:t>
        </w:r>
        <w:r w:rsidR="006131A8" w:rsidRPr="00FE0B76">
          <w:rPr>
            <w:rStyle w:val="Hyperlink"/>
            <w:rFonts w:cs="Arial"/>
            <w:szCs w:val="17"/>
            <w:lang w:val="en-GB"/>
          </w:rPr>
          <w:t>in</w:t>
        </w:r>
        <w:r w:rsidR="006131A8" w:rsidRPr="00FE0B76">
          <w:rPr>
            <w:rStyle w:val="Hyperlink"/>
            <w:rFonts w:cs="Arial"/>
            <w:szCs w:val="17"/>
          </w:rPr>
          <w:t>-</w:t>
        </w:r>
        <w:r w:rsidR="006131A8" w:rsidRPr="00FE0B76">
          <w:rPr>
            <w:rStyle w:val="Hyperlink"/>
            <w:rFonts w:cs="Arial"/>
            <w:szCs w:val="17"/>
            <w:lang w:val="en-GB"/>
          </w:rPr>
          <w:t>Europe</w:t>
        </w:r>
      </w:hyperlink>
    </w:p>
    <w:p w:rsidR="006131A8" w:rsidRPr="00FE0B76" w:rsidRDefault="006832A5" w:rsidP="00FE0B76">
      <w:pPr>
        <w:pStyle w:val="newsNotes"/>
        <w:spacing w:line="240" w:lineRule="auto"/>
        <w:rPr>
          <w:rFonts w:cs="Arial"/>
          <w:szCs w:val="17"/>
        </w:rPr>
      </w:pPr>
      <w:r w:rsidRPr="00FE0B76">
        <w:rPr>
          <w:rFonts w:cs="Arial"/>
          <w:szCs w:val="17"/>
        </w:rPr>
        <w:t>(</w:t>
      </w:r>
      <w:r w:rsidRPr="00FE0B76">
        <w:rPr>
          <w:rFonts w:cs="Arial"/>
          <w:szCs w:val="17"/>
          <w:vertAlign w:val="superscript"/>
        </w:rPr>
        <w:t>5</w:t>
      </w:r>
      <w:r w:rsidRPr="00FE0B76">
        <w:rPr>
          <w:rFonts w:cs="Arial"/>
          <w:szCs w:val="17"/>
        </w:rPr>
        <w:t xml:space="preserve">) </w:t>
      </w:r>
      <w:hyperlink r:id="rId14" w:history="1">
        <w:r w:rsidR="006131A8" w:rsidRPr="00FE0B76">
          <w:rPr>
            <w:rStyle w:val="Hyperlink"/>
            <w:rFonts w:cs="Arial"/>
            <w:szCs w:val="17"/>
            <w:lang w:val="en-GB"/>
          </w:rPr>
          <w:t>www</w:t>
        </w:r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emcdda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europa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/</w:t>
        </w:r>
        <w:r w:rsidR="006131A8" w:rsidRPr="00FE0B76">
          <w:rPr>
            <w:rStyle w:val="Hyperlink"/>
            <w:rFonts w:cs="Arial"/>
            <w:szCs w:val="17"/>
            <w:lang w:val="en-GB"/>
          </w:rPr>
          <w:t>news</w:t>
        </w:r>
        <w:r w:rsidR="006131A8" w:rsidRPr="00FE0B76">
          <w:rPr>
            <w:rStyle w:val="Hyperlink"/>
            <w:rFonts w:cs="Arial"/>
            <w:szCs w:val="17"/>
          </w:rPr>
          <w:t>/2014/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europol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-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emcdda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1</w:t>
        </w:r>
      </w:hyperlink>
    </w:p>
    <w:p w:rsidR="006131A8" w:rsidRPr="00FE0B76" w:rsidRDefault="006832A5" w:rsidP="00FE0B76">
      <w:pPr>
        <w:pStyle w:val="newsNotes"/>
        <w:spacing w:line="240" w:lineRule="auto"/>
        <w:rPr>
          <w:rFonts w:cs="Arial"/>
          <w:szCs w:val="17"/>
        </w:rPr>
      </w:pPr>
      <w:r w:rsidRPr="00FE0B76">
        <w:rPr>
          <w:rFonts w:cs="Arial"/>
          <w:szCs w:val="17"/>
        </w:rPr>
        <w:t>(</w:t>
      </w:r>
      <w:r w:rsidRPr="00FE0B76">
        <w:rPr>
          <w:rFonts w:cs="Arial"/>
          <w:szCs w:val="17"/>
          <w:vertAlign w:val="superscript"/>
        </w:rPr>
        <w:t>6</w:t>
      </w:r>
      <w:r w:rsidRPr="00FE0B76">
        <w:rPr>
          <w:rFonts w:cs="Arial"/>
          <w:szCs w:val="17"/>
        </w:rPr>
        <w:t xml:space="preserve">) </w:t>
      </w:r>
      <w:hyperlink r:id="rId15" w:history="1">
        <w:r w:rsidR="006131A8" w:rsidRPr="00FE0B76">
          <w:rPr>
            <w:rStyle w:val="Hyperlink"/>
            <w:rFonts w:cs="Arial"/>
            <w:szCs w:val="17"/>
            <w:lang w:val="en-GB"/>
          </w:rPr>
          <w:t>www</w:t>
        </w:r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emcdda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europa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/</w:t>
        </w:r>
        <w:r w:rsidR="006131A8" w:rsidRPr="00FE0B76">
          <w:rPr>
            <w:rStyle w:val="Hyperlink"/>
            <w:rFonts w:cs="Arial"/>
            <w:szCs w:val="17"/>
            <w:lang w:val="en-GB"/>
          </w:rPr>
          <w:t>publications</w:t>
        </w:r>
        <w:r w:rsidR="006131A8" w:rsidRPr="00FE0B76">
          <w:rPr>
            <w:rStyle w:val="Hyperlink"/>
            <w:rFonts w:cs="Arial"/>
            <w:szCs w:val="17"/>
          </w:rPr>
          <w:t>/</w:t>
        </w:r>
        <w:r w:rsidR="006131A8" w:rsidRPr="00FE0B76">
          <w:rPr>
            <w:rStyle w:val="Hyperlink"/>
            <w:rFonts w:cs="Arial"/>
            <w:szCs w:val="17"/>
            <w:lang w:val="en-GB"/>
          </w:rPr>
          <w:t>implementation</w:t>
        </w:r>
        <w:r w:rsidR="006131A8" w:rsidRPr="00FE0B76">
          <w:rPr>
            <w:rStyle w:val="Hyperlink"/>
            <w:rFonts w:cs="Arial"/>
            <w:szCs w:val="17"/>
          </w:rPr>
          <w:t>-</w:t>
        </w:r>
        <w:r w:rsidR="006131A8" w:rsidRPr="00FE0B76">
          <w:rPr>
            <w:rStyle w:val="Hyperlink"/>
            <w:rFonts w:cs="Arial"/>
            <w:szCs w:val="17"/>
            <w:lang w:val="en-GB"/>
          </w:rPr>
          <w:t>reports</w:t>
        </w:r>
        <w:r w:rsidR="006131A8" w:rsidRPr="00FE0B76">
          <w:rPr>
            <w:rStyle w:val="Hyperlink"/>
            <w:rFonts w:cs="Arial"/>
            <w:szCs w:val="17"/>
          </w:rPr>
          <w:t>/2013</w:t>
        </w:r>
      </w:hyperlink>
    </w:p>
    <w:p w:rsidR="006131A8" w:rsidRPr="00FE0B76" w:rsidRDefault="006832A5" w:rsidP="00FE0B76">
      <w:pPr>
        <w:pStyle w:val="newsNotes"/>
        <w:spacing w:line="240" w:lineRule="auto"/>
        <w:rPr>
          <w:rFonts w:cs="Arial"/>
          <w:szCs w:val="17"/>
        </w:rPr>
      </w:pPr>
      <w:r w:rsidRPr="00FE0B76">
        <w:rPr>
          <w:rFonts w:cs="Arial"/>
          <w:szCs w:val="17"/>
        </w:rPr>
        <w:t>(</w:t>
      </w:r>
      <w:r w:rsidRPr="00FE0B76">
        <w:rPr>
          <w:rFonts w:cs="Arial"/>
          <w:szCs w:val="17"/>
          <w:vertAlign w:val="superscript"/>
        </w:rPr>
        <w:t>7</w:t>
      </w:r>
      <w:r w:rsidRPr="00FE0B76">
        <w:rPr>
          <w:rFonts w:cs="Arial"/>
          <w:szCs w:val="17"/>
        </w:rPr>
        <w:t xml:space="preserve">) </w:t>
      </w:r>
      <w:hyperlink r:id="rId16" w:history="1">
        <w:r w:rsidR="006131A8" w:rsidRPr="00FE0B76">
          <w:rPr>
            <w:rStyle w:val="Hyperlink"/>
            <w:rFonts w:cs="Arial"/>
            <w:szCs w:val="17"/>
            <w:lang w:val="en-GB"/>
          </w:rPr>
          <w:t>http</w:t>
        </w:r>
        <w:r w:rsidR="006131A8" w:rsidRPr="00FE0B76">
          <w:rPr>
            <w:rStyle w:val="Hyperlink"/>
            <w:rFonts w:cs="Arial"/>
            <w:szCs w:val="17"/>
          </w:rPr>
          <w:t>://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ec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europa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.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eu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/</w:t>
        </w:r>
        <w:r w:rsidR="006131A8" w:rsidRPr="00FE0B76">
          <w:rPr>
            <w:rStyle w:val="Hyperlink"/>
            <w:rFonts w:cs="Arial"/>
            <w:szCs w:val="17"/>
            <w:lang w:val="en-GB"/>
          </w:rPr>
          <w:t>public</w:t>
        </w:r>
        <w:r w:rsidR="006131A8" w:rsidRPr="00FE0B76">
          <w:rPr>
            <w:rStyle w:val="Hyperlink"/>
            <w:rFonts w:cs="Arial"/>
            <w:szCs w:val="17"/>
          </w:rPr>
          <w:t>_</w:t>
        </w:r>
        <w:r w:rsidR="006131A8" w:rsidRPr="00FE0B76">
          <w:rPr>
            <w:rStyle w:val="Hyperlink"/>
            <w:rFonts w:cs="Arial"/>
            <w:szCs w:val="17"/>
            <w:lang w:val="en-GB"/>
          </w:rPr>
          <w:t>opinion</w:t>
        </w:r>
        <w:r w:rsidR="006131A8" w:rsidRPr="00FE0B76">
          <w:rPr>
            <w:rStyle w:val="Hyperlink"/>
            <w:rFonts w:cs="Arial"/>
            <w:szCs w:val="17"/>
          </w:rPr>
          <w:t>/</w:t>
        </w:r>
        <w:r w:rsidR="006131A8" w:rsidRPr="00FE0B76">
          <w:rPr>
            <w:rStyle w:val="Hyperlink"/>
            <w:rFonts w:cs="Arial"/>
            <w:szCs w:val="17"/>
            <w:lang w:val="en-GB"/>
          </w:rPr>
          <w:t>flash</w:t>
        </w:r>
        <w:r w:rsidR="006131A8" w:rsidRPr="00FE0B76">
          <w:rPr>
            <w:rStyle w:val="Hyperlink"/>
            <w:rFonts w:cs="Arial"/>
            <w:szCs w:val="17"/>
          </w:rPr>
          <w:t>/</w:t>
        </w:r>
        <w:proofErr w:type="spellStart"/>
        <w:r w:rsidR="006131A8" w:rsidRPr="00FE0B76">
          <w:rPr>
            <w:rStyle w:val="Hyperlink"/>
            <w:rFonts w:cs="Arial"/>
            <w:szCs w:val="17"/>
            <w:lang w:val="en-GB"/>
          </w:rPr>
          <w:t>fl</w:t>
        </w:r>
        <w:proofErr w:type="spellEnd"/>
        <w:r w:rsidR="006131A8" w:rsidRPr="00FE0B76">
          <w:rPr>
            <w:rStyle w:val="Hyperlink"/>
            <w:rFonts w:cs="Arial"/>
            <w:szCs w:val="17"/>
          </w:rPr>
          <w:t>_330_</w:t>
        </w:r>
        <w:r w:rsidR="006131A8" w:rsidRPr="00FE0B76">
          <w:rPr>
            <w:rStyle w:val="Hyperlink"/>
            <w:rFonts w:cs="Arial"/>
            <w:szCs w:val="17"/>
            <w:lang w:val="en-GB"/>
          </w:rPr>
          <w:t>en</w:t>
        </w:r>
        <w:r w:rsidR="006131A8" w:rsidRPr="00FE0B76">
          <w:rPr>
            <w:rStyle w:val="Hyperlink"/>
            <w:rFonts w:cs="Arial"/>
            <w:szCs w:val="17"/>
          </w:rPr>
          <w:t>.</w:t>
        </w:r>
        <w:r w:rsidR="006131A8" w:rsidRPr="00FE0B76">
          <w:rPr>
            <w:rStyle w:val="Hyperlink"/>
            <w:rFonts w:cs="Arial"/>
            <w:szCs w:val="17"/>
            <w:lang w:val="en-GB"/>
          </w:rPr>
          <w:t>pdf</w:t>
        </w:r>
      </w:hyperlink>
    </w:p>
    <w:p w:rsidR="006832A5" w:rsidRPr="00660421" w:rsidRDefault="006832A5" w:rsidP="007F0D31">
      <w:pPr>
        <w:pStyle w:val="newsNotes"/>
      </w:pPr>
    </w:p>
    <w:p w:rsidR="00FE0B76" w:rsidRPr="00660421" w:rsidRDefault="00FE0B76" w:rsidP="007F0D31">
      <w:pPr>
        <w:pStyle w:val="newsNotes"/>
      </w:pPr>
    </w:p>
    <w:p w:rsidR="00FE0B76" w:rsidRPr="00660421" w:rsidRDefault="00FE0B76" w:rsidP="007F0D31">
      <w:pPr>
        <w:pStyle w:val="newsNotes"/>
      </w:pPr>
    </w:p>
    <w:sectPr w:rsidR="00FE0B76" w:rsidRPr="00660421" w:rsidSect="00E81F3D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9A" w:rsidRDefault="0022309A" w:rsidP="009A28FB">
      <w:pPr>
        <w:spacing w:after="0" w:line="240" w:lineRule="auto"/>
      </w:pPr>
      <w:r>
        <w:separator/>
      </w:r>
    </w:p>
  </w:endnote>
  <w:endnote w:type="continuationSeparator" w:id="0">
    <w:p w:rsidR="0022309A" w:rsidRDefault="0022309A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1"/>
      <w:gridCol w:w="2477"/>
    </w:tblGrid>
    <w:tr w:rsidR="006A6A73" w:rsidTr="00D37865">
      <w:tc>
        <w:tcPr>
          <w:tcW w:w="1444" w:type="dxa"/>
        </w:tcPr>
        <w:p w:rsidR="006A6A73" w:rsidRDefault="006A6A73" w:rsidP="00D37865">
          <w:pPr>
            <w:pStyle w:val="newsCoordinates"/>
          </w:pPr>
          <w:r w:rsidRPr="006C0688">
            <w:rPr>
              <w:noProof/>
              <w:lang w:eastAsia="en-GB"/>
            </w:rPr>
            <w:t>www.emcdda.europa.eu/edr2014</w:t>
          </w:r>
        </w:p>
      </w:tc>
      <w:tc>
        <w:tcPr>
          <w:tcW w:w="3294" w:type="dxa"/>
          <w:vAlign w:val="bottom"/>
        </w:tcPr>
        <w:p w:rsidR="006A6A73" w:rsidRDefault="006A6A73" w:rsidP="00BF1E3B">
          <w:pPr>
            <w:pStyle w:val="newsReference"/>
            <w:jc w:val="right"/>
          </w:pPr>
        </w:p>
      </w:tc>
    </w:tr>
  </w:tbl>
  <w:p w:rsidR="006A6A73" w:rsidRDefault="006A6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A6A73" w:rsidTr="00E90E98">
      <w:tc>
        <w:tcPr>
          <w:tcW w:w="7196" w:type="dxa"/>
        </w:tcPr>
        <w:p w:rsidR="006A6A73" w:rsidRDefault="006A6A73" w:rsidP="00E90E98">
          <w:pPr>
            <w:pStyle w:val="newsCoordinates"/>
          </w:pPr>
          <w:r w:rsidRPr="00075735">
            <w:t>Лице за контакт: Kathy Robertson, връзки с медиите</w:t>
          </w:r>
          <w:r w:rsidR="00660421">
            <w:rPr>
              <w:noProof/>
              <w:lang w:val="en-US" w:eastAsia="zh-CN"/>
            </w:rPr>
            <w:pict>
              <v:line id="Straight Connector 4" o:spid="_x0000_s2049" style="position:absolute;left:0;text-align:left;z-index:-251651072;visibility:visible;mso-position-horizontal-relative:page;mso-position-vertical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<w10:wrap anchorx="page" anchory="page"/>
              </v:line>
            </w:pict>
          </w:r>
        </w:p>
        <w:p w:rsidR="006A6A73" w:rsidRDefault="006A6A73" w:rsidP="00E90E98">
          <w:pPr>
            <w:pStyle w:val="newsCoordinates"/>
          </w:pPr>
          <w:r w:rsidRPr="00075735">
            <w:t>Praça Europa 1, Cais do Sodré, 1249-289 Лисабон, Португалия</w:t>
          </w:r>
          <w:r>
            <w:t xml:space="preserve"> </w:t>
          </w:r>
        </w:p>
        <w:p w:rsidR="006A6A73" w:rsidRDefault="006A6A73" w:rsidP="00075735">
          <w:pPr>
            <w:pStyle w:val="newsCoordinates"/>
          </w:pPr>
          <w:r w:rsidRPr="00075735">
            <w:t>Тел. (351) 211 21 02 00</w:t>
          </w:r>
          <w:r>
            <w:t xml:space="preserve">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A6A73" w:rsidRDefault="006A6A73" w:rsidP="00075735">
          <w:pPr>
            <w:pStyle w:val="newsReference"/>
            <w:jc w:val="right"/>
          </w:pPr>
          <w:r w:rsidRPr="00075735">
            <w:t>BG — N°</w:t>
          </w:r>
          <w:r>
            <w:t>3/2014</w:t>
          </w:r>
        </w:p>
      </w:tc>
    </w:tr>
  </w:tbl>
  <w:p w:rsidR="006A6A73" w:rsidRDefault="006A6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9A" w:rsidRDefault="0022309A" w:rsidP="009A28FB">
      <w:pPr>
        <w:spacing w:after="0" w:line="240" w:lineRule="auto"/>
      </w:pPr>
      <w:r>
        <w:separator/>
      </w:r>
    </w:p>
  </w:footnote>
  <w:footnote w:type="continuationSeparator" w:id="0">
    <w:p w:rsidR="0022309A" w:rsidRDefault="0022309A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513"/>
      <w:gridCol w:w="2977"/>
    </w:tblGrid>
    <w:tr w:rsidR="006A6A73" w:rsidTr="00053469">
      <w:tc>
        <w:tcPr>
          <w:tcW w:w="7513" w:type="dxa"/>
        </w:tcPr>
        <w:p w:rsidR="006A6A73" w:rsidRDefault="00660421" w:rsidP="000F6F23">
          <w:pPr>
            <w:pStyle w:val="newsEmbargo"/>
          </w:pPr>
          <w:r>
            <w:rPr>
              <w:noProof/>
              <w:lang w:val="en-US" w:eastAsia="zh-CN"/>
            </w:rPr>
            <w:pict>
              <v:line id="Straight Connector 11" o:spid="_x0000_s2051" style="position:absolute;left:0;text-align:left;z-index:-251655168;visibility:visible;mso-position-horizontal-relative:page;mso-position-vertical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<w10:wrap anchorx="page" anchory="page"/>
              </v:line>
            </w:pict>
          </w:r>
          <w:r w:rsidR="006A6A73">
            <w:rPr>
              <w:noProof/>
              <w:lang w:eastAsia="zh-CN"/>
            </w:rPr>
            <w:t>Европейски доклад за наркотиците 2014 г.</w:t>
          </w:r>
          <w:r w:rsidR="006A6A73" w:rsidRPr="00CC4FDA">
            <w:rPr>
              <w:noProof/>
              <w:lang w:eastAsia="en-GB"/>
            </w:rPr>
            <w:t xml:space="preserve"> </w:t>
          </w:r>
          <w:r w:rsidR="006A6A73" w:rsidRPr="00CC4FDA">
            <w:rPr>
              <w:noProof/>
              <w:sz w:val="18"/>
              <w:lang w:eastAsia="en-GB"/>
            </w:rPr>
            <w:t>I</w:t>
          </w:r>
          <w:r w:rsidR="006A6A73" w:rsidRPr="00CC4FDA">
            <w:rPr>
              <w:noProof/>
              <w:lang w:eastAsia="en-GB"/>
            </w:rPr>
            <w:t xml:space="preserve"> </w:t>
          </w:r>
          <w:r w:rsidR="006A6A73" w:rsidRPr="00FE0B76">
            <w:rPr>
              <w:b/>
              <w:noProof/>
              <w:color w:val="FF0000"/>
              <w:lang w:eastAsia="en-GB"/>
            </w:rPr>
            <w:t>ЕМБАРГО 10:00 ч. западноевропейско време/Лисабон</w:t>
          </w:r>
        </w:p>
      </w:tc>
      <w:tc>
        <w:tcPr>
          <w:tcW w:w="2977" w:type="dxa"/>
          <w:vAlign w:val="bottom"/>
        </w:tcPr>
        <w:p w:rsidR="006A6A73" w:rsidRDefault="006A6A73" w:rsidP="00BF1E3B">
          <w:pPr>
            <w:pStyle w:val="newsReference"/>
            <w:jc w:val="right"/>
          </w:pPr>
          <w:r>
            <w:t>27.5.2014 г.</w:t>
          </w:r>
        </w:p>
      </w:tc>
    </w:tr>
  </w:tbl>
  <w:p w:rsidR="006A6A73" w:rsidRDefault="006A6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250"/>
    <w:rsid w:val="00013594"/>
    <w:rsid w:val="00014E8E"/>
    <w:rsid w:val="000174A9"/>
    <w:rsid w:val="00024E98"/>
    <w:rsid w:val="00024F14"/>
    <w:rsid w:val="00025768"/>
    <w:rsid w:val="00036DAA"/>
    <w:rsid w:val="00042487"/>
    <w:rsid w:val="00042562"/>
    <w:rsid w:val="00053469"/>
    <w:rsid w:val="000535B7"/>
    <w:rsid w:val="000542FE"/>
    <w:rsid w:val="000558AF"/>
    <w:rsid w:val="00061523"/>
    <w:rsid w:val="00061F64"/>
    <w:rsid w:val="00067D69"/>
    <w:rsid w:val="00067DD3"/>
    <w:rsid w:val="00071837"/>
    <w:rsid w:val="00073A21"/>
    <w:rsid w:val="00075735"/>
    <w:rsid w:val="000852DC"/>
    <w:rsid w:val="000A5C59"/>
    <w:rsid w:val="000B3066"/>
    <w:rsid w:val="000C6200"/>
    <w:rsid w:val="000D282F"/>
    <w:rsid w:val="000E1AAB"/>
    <w:rsid w:val="000E436D"/>
    <w:rsid w:val="000F6F23"/>
    <w:rsid w:val="00100574"/>
    <w:rsid w:val="00105BFC"/>
    <w:rsid w:val="001066D2"/>
    <w:rsid w:val="00107C96"/>
    <w:rsid w:val="00120A2E"/>
    <w:rsid w:val="0012219B"/>
    <w:rsid w:val="00122F10"/>
    <w:rsid w:val="00153B97"/>
    <w:rsid w:val="00156D61"/>
    <w:rsid w:val="00160348"/>
    <w:rsid w:val="00171D88"/>
    <w:rsid w:val="0017713E"/>
    <w:rsid w:val="001800D0"/>
    <w:rsid w:val="00194152"/>
    <w:rsid w:val="00195073"/>
    <w:rsid w:val="001A094D"/>
    <w:rsid w:val="001A3338"/>
    <w:rsid w:val="001A550E"/>
    <w:rsid w:val="001B37B7"/>
    <w:rsid w:val="001C0987"/>
    <w:rsid w:val="001C3E92"/>
    <w:rsid w:val="001C508D"/>
    <w:rsid w:val="001C5B87"/>
    <w:rsid w:val="001C795A"/>
    <w:rsid w:val="001D1A03"/>
    <w:rsid w:val="001D4961"/>
    <w:rsid w:val="001D59D1"/>
    <w:rsid w:val="001D5C26"/>
    <w:rsid w:val="001E57C3"/>
    <w:rsid w:val="001E6F66"/>
    <w:rsid w:val="001E7615"/>
    <w:rsid w:val="001F398F"/>
    <w:rsid w:val="001F48EA"/>
    <w:rsid w:val="001F70B4"/>
    <w:rsid w:val="00207983"/>
    <w:rsid w:val="00220638"/>
    <w:rsid w:val="0022309A"/>
    <w:rsid w:val="00223753"/>
    <w:rsid w:val="00245561"/>
    <w:rsid w:val="002557B0"/>
    <w:rsid w:val="002566B3"/>
    <w:rsid w:val="00264439"/>
    <w:rsid w:val="002646E4"/>
    <w:rsid w:val="00264A53"/>
    <w:rsid w:val="002711CC"/>
    <w:rsid w:val="0027252D"/>
    <w:rsid w:val="002779F8"/>
    <w:rsid w:val="00280980"/>
    <w:rsid w:val="0028141E"/>
    <w:rsid w:val="0028702A"/>
    <w:rsid w:val="00291DA8"/>
    <w:rsid w:val="002948E2"/>
    <w:rsid w:val="00294C85"/>
    <w:rsid w:val="00296147"/>
    <w:rsid w:val="002A5C04"/>
    <w:rsid w:val="002A5DC8"/>
    <w:rsid w:val="002A61F7"/>
    <w:rsid w:val="002B05CE"/>
    <w:rsid w:val="002B1301"/>
    <w:rsid w:val="002B1517"/>
    <w:rsid w:val="002B45AC"/>
    <w:rsid w:val="002C3354"/>
    <w:rsid w:val="002F4183"/>
    <w:rsid w:val="0030780D"/>
    <w:rsid w:val="003131A0"/>
    <w:rsid w:val="00313988"/>
    <w:rsid w:val="0031482B"/>
    <w:rsid w:val="00322370"/>
    <w:rsid w:val="003267DB"/>
    <w:rsid w:val="00327D98"/>
    <w:rsid w:val="0033158E"/>
    <w:rsid w:val="00340C5D"/>
    <w:rsid w:val="00350C78"/>
    <w:rsid w:val="003554C2"/>
    <w:rsid w:val="00357AC3"/>
    <w:rsid w:val="0036121D"/>
    <w:rsid w:val="00377E3D"/>
    <w:rsid w:val="00387D02"/>
    <w:rsid w:val="00387EC5"/>
    <w:rsid w:val="003926B0"/>
    <w:rsid w:val="003963AE"/>
    <w:rsid w:val="003B41B1"/>
    <w:rsid w:val="003C0395"/>
    <w:rsid w:val="003C25FE"/>
    <w:rsid w:val="003C5119"/>
    <w:rsid w:val="003D096E"/>
    <w:rsid w:val="003D6F82"/>
    <w:rsid w:val="003E293D"/>
    <w:rsid w:val="003E3CDC"/>
    <w:rsid w:val="004002C4"/>
    <w:rsid w:val="00402C63"/>
    <w:rsid w:val="0041097C"/>
    <w:rsid w:val="004137B0"/>
    <w:rsid w:val="004221D3"/>
    <w:rsid w:val="00431DDF"/>
    <w:rsid w:val="00441086"/>
    <w:rsid w:val="0044111C"/>
    <w:rsid w:val="004425AF"/>
    <w:rsid w:val="00442A01"/>
    <w:rsid w:val="00445080"/>
    <w:rsid w:val="0045468D"/>
    <w:rsid w:val="00460F6C"/>
    <w:rsid w:val="0046360E"/>
    <w:rsid w:val="0046643E"/>
    <w:rsid w:val="00467693"/>
    <w:rsid w:val="004721C5"/>
    <w:rsid w:val="00473F24"/>
    <w:rsid w:val="00476D96"/>
    <w:rsid w:val="00483EA6"/>
    <w:rsid w:val="004847FB"/>
    <w:rsid w:val="00485D21"/>
    <w:rsid w:val="00487FD5"/>
    <w:rsid w:val="00497BE1"/>
    <w:rsid w:val="004A03C7"/>
    <w:rsid w:val="004B251F"/>
    <w:rsid w:val="004C3028"/>
    <w:rsid w:val="004C56DC"/>
    <w:rsid w:val="004D00EA"/>
    <w:rsid w:val="004D6E0C"/>
    <w:rsid w:val="004F0863"/>
    <w:rsid w:val="00520988"/>
    <w:rsid w:val="00520EF1"/>
    <w:rsid w:val="00527BF7"/>
    <w:rsid w:val="00536E76"/>
    <w:rsid w:val="0053712E"/>
    <w:rsid w:val="00542CEE"/>
    <w:rsid w:val="00561FEF"/>
    <w:rsid w:val="00566BFD"/>
    <w:rsid w:val="005746FD"/>
    <w:rsid w:val="00577911"/>
    <w:rsid w:val="00583201"/>
    <w:rsid w:val="00586EE5"/>
    <w:rsid w:val="005925B9"/>
    <w:rsid w:val="005A0DC8"/>
    <w:rsid w:val="005A38C4"/>
    <w:rsid w:val="005A68F9"/>
    <w:rsid w:val="005B05A0"/>
    <w:rsid w:val="005B0882"/>
    <w:rsid w:val="005B1AD7"/>
    <w:rsid w:val="005B1B63"/>
    <w:rsid w:val="005B651B"/>
    <w:rsid w:val="005C3843"/>
    <w:rsid w:val="005C4033"/>
    <w:rsid w:val="005C5A0E"/>
    <w:rsid w:val="005D4AE8"/>
    <w:rsid w:val="005F737E"/>
    <w:rsid w:val="005F7A2A"/>
    <w:rsid w:val="006048AB"/>
    <w:rsid w:val="00611418"/>
    <w:rsid w:val="006116D9"/>
    <w:rsid w:val="00612C8B"/>
    <w:rsid w:val="006131A8"/>
    <w:rsid w:val="00616BC9"/>
    <w:rsid w:val="00623A55"/>
    <w:rsid w:val="006250B9"/>
    <w:rsid w:val="0063214D"/>
    <w:rsid w:val="0063677C"/>
    <w:rsid w:val="0064364B"/>
    <w:rsid w:val="00656299"/>
    <w:rsid w:val="00660421"/>
    <w:rsid w:val="00666A63"/>
    <w:rsid w:val="00672A6D"/>
    <w:rsid w:val="0067393F"/>
    <w:rsid w:val="00673A1C"/>
    <w:rsid w:val="006832A5"/>
    <w:rsid w:val="00690B08"/>
    <w:rsid w:val="006A169E"/>
    <w:rsid w:val="006A6A73"/>
    <w:rsid w:val="006B1D6D"/>
    <w:rsid w:val="006B4903"/>
    <w:rsid w:val="006B7A6C"/>
    <w:rsid w:val="006C0981"/>
    <w:rsid w:val="006D13D1"/>
    <w:rsid w:val="006D1687"/>
    <w:rsid w:val="006D4042"/>
    <w:rsid w:val="006D50B5"/>
    <w:rsid w:val="006E239C"/>
    <w:rsid w:val="006E2B5B"/>
    <w:rsid w:val="006E7257"/>
    <w:rsid w:val="0071094C"/>
    <w:rsid w:val="007159E3"/>
    <w:rsid w:val="00715CB2"/>
    <w:rsid w:val="00720375"/>
    <w:rsid w:val="007238E3"/>
    <w:rsid w:val="0072670E"/>
    <w:rsid w:val="00730132"/>
    <w:rsid w:val="0073054A"/>
    <w:rsid w:val="007315D6"/>
    <w:rsid w:val="007335E6"/>
    <w:rsid w:val="00734860"/>
    <w:rsid w:val="00735E47"/>
    <w:rsid w:val="0076201F"/>
    <w:rsid w:val="00762CFE"/>
    <w:rsid w:val="00763B2F"/>
    <w:rsid w:val="00770FCF"/>
    <w:rsid w:val="00773814"/>
    <w:rsid w:val="007738AF"/>
    <w:rsid w:val="00775DA4"/>
    <w:rsid w:val="0078267F"/>
    <w:rsid w:val="00786410"/>
    <w:rsid w:val="0079114A"/>
    <w:rsid w:val="00791F09"/>
    <w:rsid w:val="007920E3"/>
    <w:rsid w:val="007B0E03"/>
    <w:rsid w:val="007B1CCD"/>
    <w:rsid w:val="007C0D82"/>
    <w:rsid w:val="007D1F28"/>
    <w:rsid w:val="007D3EBD"/>
    <w:rsid w:val="007D6469"/>
    <w:rsid w:val="007E0601"/>
    <w:rsid w:val="007F004E"/>
    <w:rsid w:val="007F0D31"/>
    <w:rsid w:val="007F7ACD"/>
    <w:rsid w:val="00801B55"/>
    <w:rsid w:val="00813FB5"/>
    <w:rsid w:val="00822FF7"/>
    <w:rsid w:val="00825035"/>
    <w:rsid w:val="00841E86"/>
    <w:rsid w:val="00851EBC"/>
    <w:rsid w:val="00855F32"/>
    <w:rsid w:val="00857320"/>
    <w:rsid w:val="00873ACC"/>
    <w:rsid w:val="00874D70"/>
    <w:rsid w:val="00880250"/>
    <w:rsid w:val="00881730"/>
    <w:rsid w:val="008901B0"/>
    <w:rsid w:val="00890A94"/>
    <w:rsid w:val="00891ABA"/>
    <w:rsid w:val="008A1579"/>
    <w:rsid w:val="008B0B2D"/>
    <w:rsid w:val="008C1172"/>
    <w:rsid w:val="008C7E62"/>
    <w:rsid w:val="008D0786"/>
    <w:rsid w:val="008D2558"/>
    <w:rsid w:val="008D54B3"/>
    <w:rsid w:val="008F177B"/>
    <w:rsid w:val="008F399E"/>
    <w:rsid w:val="008F408F"/>
    <w:rsid w:val="008F737A"/>
    <w:rsid w:val="00902300"/>
    <w:rsid w:val="00905B2F"/>
    <w:rsid w:val="00907156"/>
    <w:rsid w:val="00907793"/>
    <w:rsid w:val="00907A24"/>
    <w:rsid w:val="0093263D"/>
    <w:rsid w:val="0093563B"/>
    <w:rsid w:val="009435C2"/>
    <w:rsid w:val="00955F0C"/>
    <w:rsid w:val="00956824"/>
    <w:rsid w:val="00961E77"/>
    <w:rsid w:val="00972842"/>
    <w:rsid w:val="00973E99"/>
    <w:rsid w:val="00974A27"/>
    <w:rsid w:val="00976151"/>
    <w:rsid w:val="009816D1"/>
    <w:rsid w:val="00983DB2"/>
    <w:rsid w:val="009870DF"/>
    <w:rsid w:val="0099454F"/>
    <w:rsid w:val="00994B89"/>
    <w:rsid w:val="00995979"/>
    <w:rsid w:val="009A1888"/>
    <w:rsid w:val="009A28FB"/>
    <w:rsid w:val="009B7BA2"/>
    <w:rsid w:val="009D2787"/>
    <w:rsid w:val="009D6255"/>
    <w:rsid w:val="009E2DB9"/>
    <w:rsid w:val="009F4D89"/>
    <w:rsid w:val="00A01FF7"/>
    <w:rsid w:val="00A073EF"/>
    <w:rsid w:val="00A0788A"/>
    <w:rsid w:val="00A161D9"/>
    <w:rsid w:val="00A171F2"/>
    <w:rsid w:val="00A25356"/>
    <w:rsid w:val="00A311EF"/>
    <w:rsid w:val="00A3254D"/>
    <w:rsid w:val="00A36BE5"/>
    <w:rsid w:val="00A42373"/>
    <w:rsid w:val="00A661D6"/>
    <w:rsid w:val="00A661E2"/>
    <w:rsid w:val="00A74225"/>
    <w:rsid w:val="00A7769B"/>
    <w:rsid w:val="00A856B7"/>
    <w:rsid w:val="00A85A78"/>
    <w:rsid w:val="00A87B8E"/>
    <w:rsid w:val="00A9099C"/>
    <w:rsid w:val="00A912E2"/>
    <w:rsid w:val="00A97CBA"/>
    <w:rsid w:val="00AA0A2A"/>
    <w:rsid w:val="00AB3D6B"/>
    <w:rsid w:val="00AC145E"/>
    <w:rsid w:val="00AC36A7"/>
    <w:rsid w:val="00AD0685"/>
    <w:rsid w:val="00AD460D"/>
    <w:rsid w:val="00AD7BFC"/>
    <w:rsid w:val="00AE093C"/>
    <w:rsid w:val="00AE1738"/>
    <w:rsid w:val="00AE2BFA"/>
    <w:rsid w:val="00AE5ADD"/>
    <w:rsid w:val="00AF13B3"/>
    <w:rsid w:val="00AF259D"/>
    <w:rsid w:val="00AF3DA4"/>
    <w:rsid w:val="00AF3FE8"/>
    <w:rsid w:val="00AF5637"/>
    <w:rsid w:val="00AF6FAD"/>
    <w:rsid w:val="00B0268B"/>
    <w:rsid w:val="00B04F7F"/>
    <w:rsid w:val="00B06443"/>
    <w:rsid w:val="00B11B73"/>
    <w:rsid w:val="00B15159"/>
    <w:rsid w:val="00B16AE7"/>
    <w:rsid w:val="00B2214D"/>
    <w:rsid w:val="00B26816"/>
    <w:rsid w:val="00B272F1"/>
    <w:rsid w:val="00B31B9D"/>
    <w:rsid w:val="00B44AB3"/>
    <w:rsid w:val="00B4738B"/>
    <w:rsid w:val="00B51E08"/>
    <w:rsid w:val="00B57464"/>
    <w:rsid w:val="00B61036"/>
    <w:rsid w:val="00B72DD3"/>
    <w:rsid w:val="00B7335C"/>
    <w:rsid w:val="00B76597"/>
    <w:rsid w:val="00B90D58"/>
    <w:rsid w:val="00B9325E"/>
    <w:rsid w:val="00B95566"/>
    <w:rsid w:val="00B97BC5"/>
    <w:rsid w:val="00BB3C2D"/>
    <w:rsid w:val="00BB60CF"/>
    <w:rsid w:val="00BD5D6C"/>
    <w:rsid w:val="00BE3D86"/>
    <w:rsid w:val="00BF1E3B"/>
    <w:rsid w:val="00BF46EB"/>
    <w:rsid w:val="00C07BF2"/>
    <w:rsid w:val="00C10F10"/>
    <w:rsid w:val="00C133F4"/>
    <w:rsid w:val="00C26E8E"/>
    <w:rsid w:val="00C36BC1"/>
    <w:rsid w:val="00C466CF"/>
    <w:rsid w:val="00C628C4"/>
    <w:rsid w:val="00C63254"/>
    <w:rsid w:val="00C71C41"/>
    <w:rsid w:val="00C827FA"/>
    <w:rsid w:val="00C85A2A"/>
    <w:rsid w:val="00C874C0"/>
    <w:rsid w:val="00C91838"/>
    <w:rsid w:val="00C92BAF"/>
    <w:rsid w:val="00C97946"/>
    <w:rsid w:val="00CA0E28"/>
    <w:rsid w:val="00CA10EF"/>
    <w:rsid w:val="00CA2FF5"/>
    <w:rsid w:val="00CB0ED8"/>
    <w:rsid w:val="00CB1704"/>
    <w:rsid w:val="00CB1858"/>
    <w:rsid w:val="00CB25A4"/>
    <w:rsid w:val="00CB49DA"/>
    <w:rsid w:val="00CC4FDA"/>
    <w:rsid w:val="00CC6A8B"/>
    <w:rsid w:val="00CE3124"/>
    <w:rsid w:val="00CE48A2"/>
    <w:rsid w:val="00CF616D"/>
    <w:rsid w:val="00D01335"/>
    <w:rsid w:val="00D02362"/>
    <w:rsid w:val="00D03EC6"/>
    <w:rsid w:val="00D100A4"/>
    <w:rsid w:val="00D10EA7"/>
    <w:rsid w:val="00D120B5"/>
    <w:rsid w:val="00D23274"/>
    <w:rsid w:val="00D2398A"/>
    <w:rsid w:val="00D24DB7"/>
    <w:rsid w:val="00D25E6C"/>
    <w:rsid w:val="00D2630F"/>
    <w:rsid w:val="00D3312B"/>
    <w:rsid w:val="00D368F4"/>
    <w:rsid w:val="00D37865"/>
    <w:rsid w:val="00D44880"/>
    <w:rsid w:val="00D52EA9"/>
    <w:rsid w:val="00D53C45"/>
    <w:rsid w:val="00D55095"/>
    <w:rsid w:val="00D57367"/>
    <w:rsid w:val="00D63719"/>
    <w:rsid w:val="00D63DA7"/>
    <w:rsid w:val="00D64D91"/>
    <w:rsid w:val="00D75492"/>
    <w:rsid w:val="00D84AE3"/>
    <w:rsid w:val="00D85E08"/>
    <w:rsid w:val="00D92A34"/>
    <w:rsid w:val="00D92CD4"/>
    <w:rsid w:val="00D96319"/>
    <w:rsid w:val="00DA267C"/>
    <w:rsid w:val="00DA289D"/>
    <w:rsid w:val="00DA7178"/>
    <w:rsid w:val="00DB5072"/>
    <w:rsid w:val="00DB6F2E"/>
    <w:rsid w:val="00DC1210"/>
    <w:rsid w:val="00DC2752"/>
    <w:rsid w:val="00DC5CAF"/>
    <w:rsid w:val="00DD3502"/>
    <w:rsid w:val="00DD4696"/>
    <w:rsid w:val="00DE094C"/>
    <w:rsid w:val="00DE4932"/>
    <w:rsid w:val="00DE5737"/>
    <w:rsid w:val="00DF19C0"/>
    <w:rsid w:val="00DF2DB0"/>
    <w:rsid w:val="00E02BE5"/>
    <w:rsid w:val="00E03A45"/>
    <w:rsid w:val="00E16D0D"/>
    <w:rsid w:val="00E259BF"/>
    <w:rsid w:val="00E322DB"/>
    <w:rsid w:val="00E32DB1"/>
    <w:rsid w:val="00E34266"/>
    <w:rsid w:val="00E57C9D"/>
    <w:rsid w:val="00E61273"/>
    <w:rsid w:val="00E65913"/>
    <w:rsid w:val="00E66CCD"/>
    <w:rsid w:val="00E66DE7"/>
    <w:rsid w:val="00E77CA6"/>
    <w:rsid w:val="00E811C5"/>
    <w:rsid w:val="00E81F3D"/>
    <w:rsid w:val="00E83FC3"/>
    <w:rsid w:val="00E84EB5"/>
    <w:rsid w:val="00E8581D"/>
    <w:rsid w:val="00E9054B"/>
    <w:rsid w:val="00E90E98"/>
    <w:rsid w:val="00E92680"/>
    <w:rsid w:val="00E94E8C"/>
    <w:rsid w:val="00EA1A70"/>
    <w:rsid w:val="00EA75A9"/>
    <w:rsid w:val="00EB0F32"/>
    <w:rsid w:val="00EB2505"/>
    <w:rsid w:val="00EB264C"/>
    <w:rsid w:val="00EB3264"/>
    <w:rsid w:val="00EB41AA"/>
    <w:rsid w:val="00EB7A73"/>
    <w:rsid w:val="00EE23CC"/>
    <w:rsid w:val="00EE25EF"/>
    <w:rsid w:val="00EF486F"/>
    <w:rsid w:val="00EF76AA"/>
    <w:rsid w:val="00F06CDE"/>
    <w:rsid w:val="00F1782C"/>
    <w:rsid w:val="00F17D1B"/>
    <w:rsid w:val="00F2073D"/>
    <w:rsid w:val="00F21CA9"/>
    <w:rsid w:val="00F24096"/>
    <w:rsid w:val="00F35FCA"/>
    <w:rsid w:val="00F414EF"/>
    <w:rsid w:val="00F47542"/>
    <w:rsid w:val="00F519E2"/>
    <w:rsid w:val="00F62A8E"/>
    <w:rsid w:val="00F72DEB"/>
    <w:rsid w:val="00F73FBB"/>
    <w:rsid w:val="00F74E80"/>
    <w:rsid w:val="00F91F58"/>
    <w:rsid w:val="00F93D2D"/>
    <w:rsid w:val="00FA1093"/>
    <w:rsid w:val="00FB0438"/>
    <w:rsid w:val="00FB17EF"/>
    <w:rsid w:val="00FB351B"/>
    <w:rsid w:val="00FB37FA"/>
    <w:rsid w:val="00FB680C"/>
    <w:rsid w:val="00FC0187"/>
    <w:rsid w:val="00FC26E0"/>
    <w:rsid w:val="00FC3A80"/>
    <w:rsid w:val="00FC655C"/>
    <w:rsid w:val="00FD072D"/>
    <w:rsid w:val="00FD188C"/>
    <w:rsid w:val="00FD32CC"/>
    <w:rsid w:val="00FD5EF8"/>
    <w:rsid w:val="00FE0B76"/>
    <w:rsid w:val="00FE3721"/>
    <w:rsid w:val="00FE4250"/>
    <w:rsid w:val="00FE4789"/>
    <w:rsid w:val="00FE712A"/>
    <w:rsid w:val="00FE7674"/>
    <w:rsid w:val="00FF2FAD"/>
    <w:rsid w:val="00FF5F3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B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FE0B76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aliases w:val="Verzeichnis 1 RTX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E84EB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7F0D31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075735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075735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075735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075735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F0D31"/>
    <w:rPr>
      <w:rFonts w:ascii="Arial" w:hAnsi="Arial"/>
      <w:color w:val="000000" w:themeColor="text1"/>
      <w:sz w:val="20"/>
      <w:lang w:val="bg-BG"/>
    </w:rPr>
  </w:style>
  <w:style w:type="character" w:customStyle="1" w:styleId="newsNotesChar">
    <w:name w:val="newsNotes Char"/>
    <w:basedOn w:val="newsContentChar"/>
    <w:link w:val="newsNotes"/>
    <w:rsid w:val="00075735"/>
    <w:rPr>
      <w:rFonts w:ascii="Arial" w:hAnsi="Arial"/>
      <w:color w:val="000000" w:themeColor="text1"/>
      <w:sz w:val="17"/>
      <w:lang w:val="bg-BG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80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250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250"/>
    <w:rPr>
      <w:b/>
      <w:bCs/>
      <w:sz w:val="20"/>
      <w:szCs w:val="20"/>
      <w:lang w:val="bg-BG"/>
    </w:rPr>
  </w:style>
  <w:style w:type="character" w:customStyle="1" w:styleId="st">
    <w:name w:val="st"/>
    <w:basedOn w:val="DefaultParagraphFont"/>
    <w:rsid w:val="00FD072D"/>
  </w:style>
  <w:style w:type="character" w:styleId="Emphasis">
    <w:name w:val="Emphasis"/>
    <w:basedOn w:val="DefaultParagraphFont"/>
    <w:uiPriority w:val="20"/>
    <w:qFormat/>
    <w:rsid w:val="00FD07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7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858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publications/emcdda-papers/exploring-methamphetamine-trends-in-Europ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surveillance.org/ViewArticle.aspx?ArticleId=2064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c.europa.eu/public_opinion/flash/fl_330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dda.europa.eu/publications/implementation-reports/2013" TargetMode="External"/><Relationship Id="rId10" Type="http://schemas.openxmlformats.org/officeDocument/2006/relationships/hyperlink" Target="http://www.emcdda.europa.eu/edr20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4/europol-emcdda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s\Desktop\14EU-0029\news-release-BG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93DC-DF2E-4327-8A37-8C4A5E78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news-release-BG-1</Template>
  <TotalTime>197</TotalTime>
  <Pages>6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BG</vt:lpstr>
    </vt:vector>
  </TitlesOfParts>
  <Manager>EMCDDA</Manager>
  <Company>Translation Centre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BG</dc:title>
  <dc:subject>News release BG</dc:subject>
  <dc:creator>Translation Centre</dc:creator>
  <cp:lastModifiedBy>Kathryn Robertson</cp:lastModifiedBy>
  <cp:revision>8</cp:revision>
  <cp:lastPrinted>2014-05-20T14:22:00Z</cp:lastPrinted>
  <dcterms:created xsi:type="dcterms:W3CDTF">2014-05-19T05:45:00Z</dcterms:created>
  <dcterms:modified xsi:type="dcterms:W3CDTF">2014-05-20T15:17:00Z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BG</vt:lpwstr>
  </property>
</Properties>
</file>