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43BD4">
            <w:r>
              <w:rPr>
                <w:noProof/>
                <w:lang w:eastAsia="en-GB"/>
              </w:rPr>
              <w:drawing>
                <wp:inline distT="0" distB="0" distL="0" distR="0" wp14:anchorId="2C600349" wp14:editId="7A6AE254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43BD4"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2669" w:type="pct"/>
          </w:tcPr>
          <w:p w:rsidR="00EE23CC" w:rsidRDefault="00E43BD4" w:rsidP="00E43BD4">
            <w:pPr>
              <w:tabs>
                <w:tab w:val="left" w:pos="1538"/>
              </w:tabs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0D3248E" wp14:editId="5F2E12CE">
                  <wp:extent cx="2232657" cy="4583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iction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937" cy="4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8374000" wp14:editId="3A9F0310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812" w:rsidRPr="007F3426" w:rsidRDefault="00697812" w:rsidP="007F3426">
      <w:pPr>
        <w:pStyle w:val="newsTitle"/>
        <w:rPr>
          <w:b/>
        </w:rPr>
      </w:pPr>
      <w:r w:rsidRPr="007F3426">
        <w:t>wastewater</w:t>
      </w:r>
      <w:r w:rsidR="007F3426" w:rsidRPr="007F3426">
        <w:t xml:space="preserve"> analysis</w:t>
      </w:r>
      <w:r w:rsidRPr="007F3426">
        <w:t xml:space="preserve"> — </w:t>
      </w:r>
      <w:r w:rsidR="007F3426" w:rsidRPr="007F3426">
        <w:t>a new source of monitoring illicit drug use in europe</w:t>
      </w:r>
    </w:p>
    <w:p w:rsidR="00697812" w:rsidRPr="006F0D7C" w:rsidRDefault="007F3426" w:rsidP="00697812">
      <w:pPr>
        <w:pStyle w:val="newsSubTitle"/>
      </w:pPr>
      <w:r>
        <w:t xml:space="preserve">Largest multi-city study on drug wastewater analysis released today </w:t>
      </w:r>
    </w:p>
    <w:p w:rsidR="00304821" w:rsidRPr="00682A9D" w:rsidRDefault="00791F09" w:rsidP="00483572">
      <w:pPr>
        <w:pStyle w:val="newsContent"/>
        <w:rPr>
          <w:sz w:val="20"/>
          <w:szCs w:val="20"/>
          <w:lang w:val="en-GB"/>
        </w:rPr>
      </w:pPr>
      <w:r w:rsidRPr="00483572">
        <w:rPr>
          <w:sz w:val="20"/>
          <w:szCs w:val="20"/>
          <w:lang w:val="en-GB"/>
        </w:rPr>
        <w:t>(27.5.2014, LISBON</w:t>
      </w:r>
      <w:r w:rsidR="00483572">
        <w:rPr>
          <w:sz w:val="20"/>
          <w:szCs w:val="20"/>
          <w:lang w:val="en-GB"/>
        </w:rPr>
        <w:t xml:space="preserve"> </w:t>
      </w:r>
      <w:r w:rsidR="00611108" w:rsidRPr="00483572">
        <w:rPr>
          <w:b/>
          <w:color w:val="FF0000"/>
          <w:sz w:val="20"/>
          <w:szCs w:val="20"/>
          <w:lang w:val="en-GB"/>
        </w:rPr>
        <w:t>EMBARGO 10.00 WET</w:t>
      </w:r>
      <w:r w:rsidRPr="00483572">
        <w:rPr>
          <w:sz w:val="20"/>
          <w:szCs w:val="20"/>
          <w:lang w:val="en-GB"/>
        </w:rPr>
        <w:t>)</w:t>
      </w:r>
      <w:r w:rsidR="002557B0" w:rsidRPr="00483572">
        <w:rPr>
          <w:sz w:val="20"/>
          <w:szCs w:val="20"/>
          <w:lang w:val="en-GB"/>
        </w:rPr>
        <w:t xml:space="preserve"> </w:t>
      </w:r>
      <w:r w:rsidR="00B518E6" w:rsidRPr="00483572">
        <w:rPr>
          <w:sz w:val="20"/>
          <w:szCs w:val="20"/>
          <w:lang w:val="en-GB"/>
        </w:rPr>
        <w:t>The findings of the largest European project to date in the emerging science of wastewater analysis (WWA)</w:t>
      </w:r>
      <w:r w:rsidR="0097138D" w:rsidRPr="00483572">
        <w:rPr>
          <w:sz w:val="20"/>
          <w:szCs w:val="20"/>
          <w:lang w:val="en-GB"/>
        </w:rPr>
        <w:t xml:space="preserve"> are</w:t>
      </w:r>
      <w:r w:rsidR="00B518E6" w:rsidRPr="00483572">
        <w:rPr>
          <w:sz w:val="20"/>
          <w:szCs w:val="20"/>
          <w:lang w:val="en-GB"/>
        </w:rPr>
        <w:t xml:space="preserve"> released today in an article publi</w:t>
      </w:r>
      <w:r w:rsidR="00B119D6" w:rsidRPr="00483572">
        <w:rPr>
          <w:sz w:val="20"/>
          <w:szCs w:val="20"/>
          <w:lang w:val="en-GB"/>
        </w:rPr>
        <w:t>shed</w:t>
      </w:r>
      <w:r w:rsidR="00DE21D5" w:rsidRPr="00483572">
        <w:rPr>
          <w:sz w:val="20"/>
          <w:szCs w:val="20"/>
          <w:lang w:val="en-GB"/>
        </w:rPr>
        <w:t xml:space="preserve"> in</w:t>
      </w:r>
      <w:r w:rsidR="00B119D6" w:rsidRPr="00483572">
        <w:rPr>
          <w:sz w:val="20"/>
          <w:szCs w:val="20"/>
          <w:lang w:val="en-GB"/>
        </w:rPr>
        <w:t xml:space="preserve"> </w:t>
      </w:r>
      <w:r w:rsidR="00B518E6" w:rsidRPr="00483572">
        <w:rPr>
          <w:b/>
          <w:i/>
          <w:sz w:val="20"/>
          <w:szCs w:val="20"/>
          <w:lang w:val="en-GB"/>
        </w:rPr>
        <w:t>Addiction</w:t>
      </w:r>
      <w:r w:rsidR="006819C3" w:rsidRPr="00483572">
        <w:rPr>
          <w:i/>
          <w:sz w:val="20"/>
          <w:szCs w:val="20"/>
          <w:lang w:val="en-GB"/>
        </w:rPr>
        <w:t xml:space="preserve"> </w:t>
      </w:r>
      <w:r w:rsidR="006819C3" w:rsidRPr="00483572">
        <w:rPr>
          <w:sz w:val="20"/>
          <w:szCs w:val="20"/>
          <w:lang w:val="en-GB"/>
        </w:rPr>
        <w:t>(</w:t>
      </w:r>
      <w:r w:rsidR="006819C3" w:rsidRPr="00483572">
        <w:rPr>
          <w:sz w:val="20"/>
          <w:szCs w:val="20"/>
          <w:vertAlign w:val="superscript"/>
          <w:lang w:val="en-GB"/>
        </w:rPr>
        <w:t>1</w:t>
      </w:r>
      <w:r w:rsidR="006819C3" w:rsidRPr="00483572">
        <w:rPr>
          <w:sz w:val="20"/>
          <w:szCs w:val="20"/>
          <w:lang w:val="en-GB"/>
        </w:rPr>
        <w:t>).</w:t>
      </w:r>
      <w:r w:rsidR="0097138D" w:rsidRPr="00483572">
        <w:rPr>
          <w:sz w:val="20"/>
          <w:szCs w:val="20"/>
          <w:lang w:val="en-GB"/>
        </w:rPr>
        <w:t xml:space="preserve"> </w:t>
      </w:r>
      <w:r w:rsidR="006819C3" w:rsidRPr="00682A9D">
        <w:rPr>
          <w:sz w:val="20"/>
          <w:szCs w:val="20"/>
          <w:lang w:val="en-GB"/>
        </w:rPr>
        <w:t xml:space="preserve">The </w:t>
      </w:r>
      <w:r w:rsidR="00DE21D5" w:rsidRPr="00682A9D">
        <w:rPr>
          <w:sz w:val="20"/>
          <w:szCs w:val="20"/>
          <w:lang w:val="en-GB"/>
        </w:rPr>
        <w:t xml:space="preserve">project </w:t>
      </w:r>
      <w:r w:rsidR="006819C3" w:rsidRPr="00682A9D">
        <w:rPr>
          <w:sz w:val="20"/>
          <w:szCs w:val="20"/>
          <w:lang w:val="en-GB"/>
        </w:rPr>
        <w:t xml:space="preserve">in question — </w:t>
      </w:r>
      <w:r w:rsidR="00DE21D5" w:rsidRPr="00682A9D">
        <w:rPr>
          <w:sz w:val="20"/>
          <w:szCs w:val="20"/>
          <w:lang w:val="en-GB"/>
        </w:rPr>
        <w:t xml:space="preserve">steered by the Europe-wide </w:t>
      </w:r>
      <w:r w:rsidR="006819C3" w:rsidRPr="00682A9D">
        <w:rPr>
          <w:b/>
          <w:sz w:val="20"/>
          <w:szCs w:val="20"/>
          <w:lang w:val="en-GB"/>
        </w:rPr>
        <w:t>SCORE</w:t>
      </w:r>
      <w:r w:rsidR="006819C3" w:rsidRPr="00682A9D">
        <w:rPr>
          <w:sz w:val="20"/>
          <w:szCs w:val="20"/>
          <w:lang w:val="en-GB"/>
        </w:rPr>
        <w:t xml:space="preserve"> network</w:t>
      </w:r>
      <w:r w:rsidR="00B119D6" w:rsidRPr="00682A9D">
        <w:rPr>
          <w:sz w:val="20"/>
          <w:szCs w:val="20"/>
          <w:lang w:val="en-GB"/>
        </w:rPr>
        <w:t xml:space="preserve"> </w:t>
      </w:r>
      <w:r w:rsidR="00DE21D5" w:rsidRPr="00682A9D">
        <w:rPr>
          <w:sz w:val="20"/>
          <w:szCs w:val="20"/>
          <w:lang w:val="en-GB"/>
        </w:rPr>
        <w:t>(</w:t>
      </w:r>
      <w:r w:rsidR="00DE21D5" w:rsidRPr="00682A9D">
        <w:rPr>
          <w:sz w:val="20"/>
          <w:szCs w:val="20"/>
          <w:vertAlign w:val="superscript"/>
          <w:lang w:val="en-GB"/>
        </w:rPr>
        <w:t>2</w:t>
      </w:r>
      <w:r w:rsidR="00DE21D5" w:rsidRPr="00682A9D">
        <w:rPr>
          <w:sz w:val="20"/>
          <w:szCs w:val="20"/>
          <w:lang w:val="en-GB"/>
        </w:rPr>
        <w:t xml:space="preserve">) </w:t>
      </w:r>
      <w:r w:rsidR="0097138D" w:rsidRPr="00682A9D">
        <w:rPr>
          <w:sz w:val="20"/>
          <w:szCs w:val="20"/>
          <w:lang w:val="en-GB"/>
        </w:rPr>
        <w:t xml:space="preserve">— </w:t>
      </w:r>
      <w:r w:rsidR="00DE21D5" w:rsidRPr="00682A9D">
        <w:rPr>
          <w:sz w:val="20"/>
          <w:szCs w:val="20"/>
          <w:lang w:val="en-GB"/>
        </w:rPr>
        <w:t xml:space="preserve">analysed </w:t>
      </w:r>
      <w:r w:rsidR="00585A4F" w:rsidRPr="00682A9D">
        <w:rPr>
          <w:sz w:val="20"/>
          <w:szCs w:val="20"/>
          <w:lang w:val="en-GB"/>
        </w:rPr>
        <w:t>wastewater</w:t>
      </w:r>
      <w:r w:rsidR="00DE21D5" w:rsidRPr="00682A9D">
        <w:rPr>
          <w:sz w:val="20"/>
          <w:szCs w:val="20"/>
          <w:lang w:val="en-GB"/>
        </w:rPr>
        <w:t xml:space="preserve"> in </w:t>
      </w:r>
      <w:r w:rsidR="00B119D6" w:rsidRPr="00682A9D">
        <w:rPr>
          <w:sz w:val="20"/>
          <w:szCs w:val="20"/>
          <w:lang w:val="en-GB"/>
        </w:rPr>
        <w:t xml:space="preserve">over 40 </w:t>
      </w:r>
      <w:r w:rsidR="00DE21D5" w:rsidRPr="00682A9D">
        <w:rPr>
          <w:sz w:val="20"/>
          <w:szCs w:val="20"/>
          <w:lang w:val="en-GB"/>
        </w:rPr>
        <w:t xml:space="preserve">European cities </w:t>
      </w:r>
      <w:r w:rsidR="0097138D" w:rsidRPr="00682A9D">
        <w:rPr>
          <w:sz w:val="20"/>
          <w:szCs w:val="20"/>
          <w:lang w:val="en-GB"/>
        </w:rPr>
        <w:t xml:space="preserve">to </w:t>
      </w:r>
      <w:r w:rsidR="006B66D0" w:rsidRPr="00682A9D">
        <w:rPr>
          <w:sz w:val="20"/>
          <w:szCs w:val="20"/>
          <w:lang w:val="en-GB"/>
        </w:rPr>
        <w:t xml:space="preserve">explore </w:t>
      </w:r>
      <w:r w:rsidR="0097138D" w:rsidRPr="00682A9D">
        <w:rPr>
          <w:sz w:val="20"/>
          <w:szCs w:val="20"/>
          <w:lang w:val="en-GB"/>
        </w:rPr>
        <w:t>the drug-taking habits of those who live in them</w:t>
      </w:r>
      <w:r w:rsidR="00DE21D5" w:rsidRPr="00682A9D">
        <w:rPr>
          <w:sz w:val="20"/>
          <w:szCs w:val="20"/>
          <w:lang w:val="en-GB"/>
        </w:rPr>
        <w:t>.</w:t>
      </w:r>
      <w:r w:rsidR="006B66D0" w:rsidRPr="00682A9D">
        <w:rPr>
          <w:sz w:val="20"/>
          <w:szCs w:val="20"/>
          <w:lang w:val="en-GB"/>
        </w:rPr>
        <w:t xml:space="preserve"> </w:t>
      </w:r>
      <w:r w:rsidR="00BC4B87" w:rsidRPr="00682A9D">
        <w:rPr>
          <w:sz w:val="20"/>
          <w:szCs w:val="20"/>
          <w:lang w:val="en-GB"/>
        </w:rPr>
        <w:t>Its conclusions</w:t>
      </w:r>
      <w:r w:rsidR="006F3E36" w:rsidRPr="00682A9D">
        <w:rPr>
          <w:sz w:val="20"/>
          <w:szCs w:val="20"/>
          <w:lang w:val="en-GB"/>
        </w:rPr>
        <w:t xml:space="preserve"> are taken up in the </w:t>
      </w:r>
      <w:r w:rsidR="00611108" w:rsidRPr="00682A9D">
        <w:rPr>
          <w:b/>
          <w:i/>
          <w:sz w:val="20"/>
          <w:szCs w:val="20"/>
          <w:lang w:val="en-GB"/>
        </w:rPr>
        <w:t>European Drug Report 2014</w:t>
      </w:r>
      <w:r w:rsidR="006F3E36" w:rsidRPr="00682A9D">
        <w:rPr>
          <w:sz w:val="20"/>
          <w:szCs w:val="20"/>
          <w:lang w:val="en-GB"/>
        </w:rPr>
        <w:t xml:space="preserve">, launched by the </w:t>
      </w:r>
      <w:r w:rsidR="006F3E36" w:rsidRPr="00682A9D">
        <w:rPr>
          <w:b/>
          <w:sz w:val="20"/>
          <w:szCs w:val="20"/>
          <w:lang w:val="en-GB"/>
        </w:rPr>
        <w:t>EU drugs agency (EMCDDA)</w:t>
      </w:r>
      <w:r w:rsidR="006F3E36" w:rsidRPr="00682A9D">
        <w:rPr>
          <w:sz w:val="20"/>
          <w:szCs w:val="20"/>
          <w:lang w:val="en-GB"/>
        </w:rPr>
        <w:t xml:space="preserve"> today, as well as in an </w:t>
      </w:r>
      <w:r w:rsidR="00B119D6" w:rsidRPr="00682A9D">
        <w:rPr>
          <w:sz w:val="20"/>
          <w:szCs w:val="20"/>
          <w:lang w:val="en-GB"/>
        </w:rPr>
        <w:t xml:space="preserve">online </w:t>
      </w:r>
      <w:r w:rsidR="006B66D0" w:rsidRPr="00682A9D">
        <w:rPr>
          <w:sz w:val="20"/>
          <w:szCs w:val="20"/>
          <w:lang w:val="en-GB"/>
        </w:rPr>
        <w:t>intera</w:t>
      </w:r>
      <w:r w:rsidR="00B119D6" w:rsidRPr="00682A9D">
        <w:rPr>
          <w:sz w:val="20"/>
          <w:szCs w:val="20"/>
          <w:lang w:val="en-GB"/>
        </w:rPr>
        <w:t>ctive</w:t>
      </w:r>
      <w:r w:rsidR="00E65AFA" w:rsidRPr="00682A9D">
        <w:rPr>
          <w:sz w:val="20"/>
          <w:szCs w:val="20"/>
          <w:lang w:val="en-GB"/>
        </w:rPr>
        <w:t xml:space="preserve"> analysis </w:t>
      </w:r>
      <w:r w:rsidR="006F3E36" w:rsidRPr="00682A9D">
        <w:rPr>
          <w:sz w:val="20"/>
          <w:szCs w:val="20"/>
          <w:lang w:val="en-GB"/>
        </w:rPr>
        <w:t xml:space="preserve">by the agency dedicated </w:t>
      </w:r>
      <w:r w:rsidR="00712761" w:rsidRPr="00682A9D">
        <w:rPr>
          <w:sz w:val="20"/>
          <w:szCs w:val="20"/>
          <w:lang w:val="en-GB"/>
        </w:rPr>
        <w:t xml:space="preserve">to </w:t>
      </w:r>
      <w:r w:rsidR="006F3E36" w:rsidRPr="00682A9D">
        <w:rPr>
          <w:sz w:val="20"/>
          <w:szCs w:val="20"/>
          <w:lang w:val="en-GB"/>
        </w:rPr>
        <w:t>th</w:t>
      </w:r>
      <w:r w:rsidR="00712761" w:rsidRPr="00682A9D">
        <w:rPr>
          <w:sz w:val="20"/>
          <w:szCs w:val="20"/>
          <w:lang w:val="en-GB"/>
        </w:rPr>
        <w:t>e</w:t>
      </w:r>
      <w:r w:rsidR="006F3E36" w:rsidRPr="00682A9D">
        <w:rPr>
          <w:sz w:val="20"/>
          <w:szCs w:val="20"/>
          <w:lang w:val="en-GB"/>
        </w:rPr>
        <w:t xml:space="preserve"> </w:t>
      </w:r>
      <w:r w:rsidR="006B66D0" w:rsidRPr="00682A9D">
        <w:rPr>
          <w:sz w:val="20"/>
          <w:szCs w:val="20"/>
          <w:lang w:val="en-GB"/>
        </w:rPr>
        <w:t>issue</w:t>
      </w:r>
      <w:r w:rsidR="00BC4B87" w:rsidRPr="00682A9D">
        <w:rPr>
          <w:sz w:val="20"/>
          <w:szCs w:val="20"/>
          <w:lang w:val="en-GB"/>
        </w:rPr>
        <w:t xml:space="preserve"> </w:t>
      </w:r>
      <w:r w:rsidR="00161DE8" w:rsidRPr="00682A9D">
        <w:rPr>
          <w:sz w:val="20"/>
          <w:szCs w:val="20"/>
          <w:lang w:val="en-GB"/>
        </w:rPr>
        <w:t>(</w:t>
      </w:r>
      <w:r w:rsidR="006F3E36" w:rsidRPr="00682A9D">
        <w:rPr>
          <w:b/>
          <w:sz w:val="20"/>
          <w:szCs w:val="20"/>
          <w:lang w:val="en-GB"/>
        </w:rPr>
        <w:t xml:space="preserve">Perspectives </w:t>
      </w:r>
      <w:r w:rsidR="00611108" w:rsidRPr="00682A9D">
        <w:rPr>
          <w:b/>
          <w:sz w:val="20"/>
          <w:szCs w:val="20"/>
          <w:lang w:val="en-GB"/>
        </w:rPr>
        <w:t>on drugs</w:t>
      </w:r>
      <w:r w:rsidR="00161DE8" w:rsidRPr="00682A9D">
        <w:rPr>
          <w:sz w:val="20"/>
          <w:szCs w:val="20"/>
          <w:lang w:val="en-GB"/>
        </w:rPr>
        <w:t>)</w:t>
      </w:r>
      <w:r w:rsidR="006B66D0" w:rsidRPr="00682A9D">
        <w:rPr>
          <w:sz w:val="20"/>
          <w:szCs w:val="20"/>
          <w:lang w:val="en-GB"/>
        </w:rPr>
        <w:t xml:space="preserve"> (</w:t>
      </w:r>
      <w:r w:rsidR="006B66D0" w:rsidRPr="00682A9D">
        <w:rPr>
          <w:sz w:val="20"/>
          <w:szCs w:val="20"/>
          <w:vertAlign w:val="superscript"/>
          <w:lang w:val="en-GB"/>
        </w:rPr>
        <w:t>3</w:t>
      </w:r>
      <w:r w:rsidR="006B66D0" w:rsidRPr="00682A9D">
        <w:rPr>
          <w:sz w:val="20"/>
          <w:szCs w:val="20"/>
          <w:lang w:val="en-GB"/>
        </w:rPr>
        <w:t xml:space="preserve">). </w:t>
      </w:r>
    </w:p>
    <w:p w:rsidR="00304821" w:rsidRPr="00682A9D" w:rsidRDefault="00304821" w:rsidP="00483572">
      <w:pPr>
        <w:pStyle w:val="newsContent"/>
        <w:rPr>
          <w:sz w:val="20"/>
          <w:szCs w:val="20"/>
          <w:lang w:val="en-GB"/>
        </w:rPr>
      </w:pPr>
    </w:p>
    <w:p w:rsidR="006B66D0" w:rsidRPr="00682A9D" w:rsidRDefault="00304821" w:rsidP="00483572">
      <w:pPr>
        <w:pStyle w:val="newsContent"/>
        <w:rPr>
          <w:sz w:val="20"/>
          <w:szCs w:val="20"/>
          <w:lang w:val="en-GB"/>
        </w:rPr>
      </w:pPr>
      <w:r w:rsidRPr="00682A9D">
        <w:rPr>
          <w:sz w:val="20"/>
          <w:szCs w:val="20"/>
          <w:lang w:val="en-GB"/>
        </w:rPr>
        <w:t xml:space="preserve">The purpose of the </w:t>
      </w:r>
      <w:r w:rsidR="00BC7EAF" w:rsidRPr="00682A9D">
        <w:rPr>
          <w:b/>
          <w:sz w:val="20"/>
          <w:szCs w:val="20"/>
          <w:lang w:val="en-GB"/>
        </w:rPr>
        <w:t>SCORE</w:t>
      </w:r>
      <w:r w:rsidR="00BC7EAF" w:rsidRPr="00682A9D">
        <w:rPr>
          <w:sz w:val="20"/>
          <w:szCs w:val="20"/>
          <w:lang w:val="en-GB"/>
        </w:rPr>
        <w:t xml:space="preserve"> </w:t>
      </w:r>
      <w:r w:rsidRPr="00682A9D">
        <w:rPr>
          <w:sz w:val="20"/>
          <w:szCs w:val="20"/>
          <w:lang w:val="en-GB"/>
        </w:rPr>
        <w:t xml:space="preserve">study was to assess geographical differences and temporal changes in illicit drug use </w:t>
      </w:r>
      <w:r w:rsidR="00B75F96" w:rsidRPr="00682A9D">
        <w:rPr>
          <w:sz w:val="20"/>
          <w:szCs w:val="20"/>
          <w:lang w:val="en-GB"/>
        </w:rPr>
        <w:t xml:space="preserve">in metropolitan settings </w:t>
      </w:r>
      <w:r w:rsidRPr="00682A9D">
        <w:rPr>
          <w:sz w:val="20"/>
          <w:szCs w:val="20"/>
          <w:lang w:val="en-GB"/>
        </w:rPr>
        <w:t>across the region. It is the first</w:t>
      </w:r>
      <w:r w:rsidR="008358F4" w:rsidRPr="00682A9D">
        <w:rPr>
          <w:sz w:val="20"/>
          <w:szCs w:val="20"/>
          <w:lang w:val="en-GB"/>
        </w:rPr>
        <w:t>,</w:t>
      </w:r>
      <w:r w:rsidRPr="00682A9D">
        <w:rPr>
          <w:sz w:val="20"/>
          <w:szCs w:val="20"/>
          <w:lang w:val="en-GB"/>
        </w:rPr>
        <w:t xml:space="preserve"> </w:t>
      </w:r>
      <w:r w:rsidR="00B75F96" w:rsidRPr="00682A9D">
        <w:rPr>
          <w:sz w:val="20"/>
          <w:szCs w:val="20"/>
          <w:lang w:val="en-GB"/>
        </w:rPr>
        <w:t>and most extensive</w:t>
      </w:r>
      <w:r w:rsidR="008358F4" w:rsidRPr="00682A9D">
        <w:rPr>
          <w:sz w:val="20"/>
          <w:szCs w:val="20"/>
          <w:lang w:val="en-GB"/>
        </w:rPr>
        <w:t>,</w:t>
      </w:r>
      <w:r w:rsidR="00B75F96" w:rsidRPr="00682A9D">
        <w:rPr>
          <w:sz w:val="20"/>
          <w:szCs w:val="20"/>
          <w:lang w:val="en-GB"/>
        </w:rPr>
        <w:t xml:space="preserve"> </w:t>
      </w:r>
      <w:r w:rsidRPr="00682A9D">
        <w:rPr>
          <w:sz w:val="20"/>
          <w:szCs w:val="20"/>
          <w:lang w:val="en-GB"/>
        </w:rPr>
        <w:t xml:space="preserve">WWA application </w:t>
      </w:r>
      <w:r w:rsidR="00585A4F" w:rsidRPr="00682A9D">
        <w:rPr>
          <w:sz w:val="20"/>
          <w:szCs w:val="20"/>
          <w:lang w:val="en-GB"/>
        </w:rPr>
        <w:t xml:space="preserve">to date, </w:t>
      </w:r>
      <w:r w:rsidR="00B75F96" w:rsidRPr="00682A9D">
        <w:rPr>
          <w:sz w:val="20"/>
          <w:szCs w:val="20"/>
          <w:lang w:val="en-GB"/>
        </w:rPr>
        <w:t xml:space="preserve">covering </w:t>
      </w:r>
      <w:r w:rsidRPr="00682A9D">
        <w:rPr>
          <w:sz w:val="20"/>
          <w:szCs w:val="20"/>
          <w:lang w:val="en-GB"/>
        </w:rPr>
        <w:t>multiple countries, over consecutive years (2011–13) and according to a fixed protocol.</w:t>
      </w:r>
    </w:p>
    <w:p w:rsidR="00304821" w:rsidRPr="00682A9D" w:rsidRDefault="00304821" w:rsidP="00483572">
      <w:pPr>
        <w:pStyle w:val="newsContent"/>
        <w:rPr>
          <w:sz w:val="20"/>
          <w:szCs w:val="20"/>
          <w:lang w:val="en-GB"/>
        </w:rPr>
      </w:pPr>
    </w:p>
    <w:p w:rsidR="00585A4F" w:rsidRPr="00682A9D" w:rsidRDefault="00304821" w:rsidP="00483572">
      <w:pPr>
        <w:pStyle w:val="newsContent"/>
        <w:rPr>
          <w:sz w:val="20"/>
          <w:szCs w:val="20"/>
          <w:lang w:val="en-GB"/>
        </w:rPr>
      </w:pPr>
      <w:r w:rsidRPr="00483572">
        <w:rPr>
          <w:sz w:val="20"/>
          <w:szCs w:val="20"/>
          <w:lang w:val="en-GB"/>
        </w:rPr>
        <w:t xml:space="preserve">Wastewater analysis is a rapidly developing </w:t>
      </w:r>
      <w:r w:rsidR="006F7A4B" w:rsidRPr="00483572">
        <w:rPr>
          <w:sz w:val="20"/>
          <w:szCs w:val="20"/>
          <w:lang w:val="en-GB"/>
        </w:rPr>
        <w:t xml:space="preserve">and novel </w:t>
      </w:r>
      <w:r w:rsidRPr="00483572">
        <w:rPr>
          <w:sz w:val="20"/>
          <w:szCs w:val="20"/>
          <w:lang w:val="en-GB"/>
        </w:rPr>
        <w:t>scientific discipline with the potential for monitoring near-real-time</w:t>
      </w:r>
      <w:r w:rsidR="00483572" w:rsidRPr="00483572">
        <w:rPr>
          <w:sz w:val="20"/>
          <w:szCs w:val="20"/>
          <w:lang w:val="en-GB"/>
        </w:rPr>
        <w:t xml:space="preserve">, </w:t>
      </w:r>
      <w:r w:rsidRPr="00483572">
        <w:rPr>
          <w:sz w:val="20"/>
          <w:szCs w:val="20"/>
          <w:lang w:val="en-GB"/>
        </w:rPr>
        <w:t xml:space="preserve">population-level trends in illicit drug use. </w:t>
      </w:r>
      <w:r w:rsidRPr="00682A9D">
        <w:rPr>
          <w:sz w:val="20"/>
          <w:szCs w:val="20"/>
          <w:lang w:val="en-GB"/>
        </w:rPr>
        <w:t xml:space="preserve">By sampling a known source of wastewater, such as a sewage influent to a wastewater treatment plant (WWTP), scientists can now estimate the quantity of drugs used in a community by measuring the levels of illicit drugs and their metabolites excreted in urine. </w:t>
      </w:r>
    </w:p>
    <w:p w:rsidR="0097138D" w:rsidRPr="00682A9D" w:rsidRDefault="0097138D" w:rsidP="00483572">
      <w:pPr>
        <w:pStyle w:val="newsContent"/>
        <w:rPr>
          <w:sz w:val="20"/>
          <w:szCs w:val="20"/>
          <w:lang w:val="en-GB"/>
        </w:rPr>
      </w:pPr>
      <w:r w:rsidRPr="00682A9D">
        <w:rPr>
          <w:sz w:val="20"/>
          <w:szCs w:val="20"/>
          <w:lang w:val="en-GB"/>
        </w:rPr>
        <w:t xml:space="preserve"> </w:t>
      </w:r>
    </w:p>
    <w:p w:rsidR="00304821" w:rsidRPr="00483572" w:rsidRDefault="00304821" w:rsidP="00585A4F">
      <w:pPr>
        <w:pStyle w:val="CommentText"/>
        <w:spacing w:after="0" w:line="260" w:lineRule="exact"/>
        <w:rPr>
          <w:rFonts w:ascii="Arial" w:hAnsi="Arial" w:cs="Arial"/>
        </w:rPr>
      </w:pPr>
      <w:r w:rsidRPr="00483572">
        <w:rPr>
          <w:rFonts w:ascii="Arial" w:hAnsi="Arial" w:cs="Arial"/>
        </w:rPr>
        <w:t>From London to Nicosia and Stockholm to Lisbon, the study analysed daily wastewater samples in the catchment areas of WWTPs over a one-week period in April 2012</w:t>
      </w:r>
      <w:r w:rsidR="00E562BF" w:rsidRPr="00483572">
        <w:rPr>
          <w:rFonts w:ascii="Arial" w:hAnsi="Arial" w:cs="Arial"/>
        </w:rPr>
        <w:t xml:space="preserve"> and </w:t>
      </w:r>
      <w:r w:rsidR="00585A4F" w:rsidRPr="00483572">
        <w:rPr>
          <w:rFonts w:ascii="Arial" w:hAnsi="Arial" w:cs="Arial"/>
        </w:rPr>
        <w:t xml:space="preserve">in </w:t>
      </w:r>
      <w:r w:rsidRPr="00483572">
        <w:rPr>
          <w:rFonts w:ascii="Arial" w:hAnsi="Arial" w:cs="Arial"/>
        </w:rPr>
        <w:t xml:space="preserve">March 2013. </w:t>
      </w:r>
      <w:r w:rsidR="00585A4F" w:rsidRPr="00483572">
        <w:rPr>
          <w:rFonts w:ascii="Arial" w:hAnsi="Arial" w:cs="Arial"/>
        </w:rPr>
        <w:t xml:space="preserve">In 2012, the study involved 23 cities in 11 countries, while in 2013 it was broadened to 42 </w:t>
      </w:r>
      <w:r w:rsidR="008358F4" w:rsidRPr="00483572">
        <w:rPr>
          <w:rFonts w:ascii="Arial" w:hAnsi="Arial" w:cs="Arial"/>
        </w:rPr>
        <w:t>cities in 21 countries</w:t>
      </w:r>
      <w:r w:rsidR="00585A4F" w:rsidRPr="00483572">
        <w:rPr>
          <w:rFonts w:ascii="Arial" w:hAnsi="Arial" w:cs="Arial"/>
        </w:rPr>
        <w:t xml:space="preserve">. Data from a 2011 study (19 cities, 11 countries) were used for comparison. </w:t>
      </w:r>
      <w:r w:rsidRPr="00483572">
        <w:t xml:space="preserve"> </w:t>
      </w:r>
      <w:r w:rsidRPr="00483572">
        <w:rPr>
          <w:rFonts w:ascii="Arial" w:hAnsi="Arial" w:cs="Arial"/>
        </w:rPr>
        <w:t xml:space="preserve">Wastewater from approximately 8 million people was analysed for traces of five illicit drugs: amphetamine, cannabis, cocaine, ecstasy and methamphetamine. </w:t>
      </w:r>
    </w:p>
    <w:p w:rsidR="001E2FA2" w:rsidRPr="00682A9D" w:rsidRDefault="001E2FA2" w:rsidP="00483572">
      <w:pPr>
        <w:pStyle w:val="newsContent"/>
        <w:rPr>
          <w:sz w:val="20"/>
          <w:szCs w:val="20"/>
          <w:lang w:val="en-GB"/>
        </w:rPr>
      </w:pPr>
    </w:p>
    <w:p w:rsidR="006F3B2C" w:rsidRPr="00682A9D" w:rsidRDefault="00585A4F" w:rsidP="00483572">
      <w:pPr>
        <w:pStyle w:val="newsContent"/>
        <w:rPr>
          <w:sz w:val="20"/>
          <w:szCs w:val="20"/>
          <w:lang w:val="en-GB"/>
        </w:rPr>
      </w:pPr>
      <w:r w:rsidRPr="00682A9D">
        <w:rPr>
          <w:sz w:val="20"/>
          <w:szCs w:val="20"/>
          <w:lang w:val="en-GB"/>
        </w:rPr>
        <w:t>The WWA results provide a valuable snapshot of the drug flow through the cities involved, revealing marked regional variations in drug use patterns. Trace</w:t>
      </w:r>
      <w:r w:rsidR="00126E17" w:rsidRPr="00682A9D">
        <w:rPr>
          <w:sz w:val="20"/>
          <w:szCs w:val="20"/>
          <w:lang w:val="en-GB"/>
        </w:rPr>
        <w:t>s</w:t>
      </w:r>
      <w:r w:rsidRPr="00682A9D">
        <w:rPr>
          <w:sz w:val="20"/>
          <w:szCs w:val="20"/>
          <w:lang w:val="en-GB"/>
        </w:rPr>
        <w:t xml:space="preserve"> of cocaine, for example, </w:t>
      </w:r>
      <w:r w:rsidR="006F3B2C" w:rsidRPr="00682A9D">
        <w:rPr>
          <w:sz w:val="20"/>
          <w:szCs w:val="20"/>
          <w:lang w:val="en-GB"/>
        </w:rPr>
        <w:t>were higher in western and some southern ci</w:t>
      </w:r>
      <w:r w:rsidR="008306FC" w:rsidRPr="00682A9D">
        <w:rPr>
          <w:sz w:val="20"/>
          <w:szCs w:val="20"/>
          <w:lang w:val="en-GB"/>
        </w:rPr>
        <w:t>ties but</w:t>
      </w:r>
      <w:r w:rsidR="006F3B2C" w:rsidRPr="00682A9D">
        <w:rPr>
          <w:sz w:val="20"/>
          <w:szCs w:val="20"/>
          <w:lang w:val="en-GB"/>
        </w:rPr>
        <w:t xml:space="preserve"> lower in northern and eastern cities. Use of amphetamine</w:t>
      </w:r>
      <w:r w:rsidR="001A6B1E" w:rsidRPr="00682A9D">
        <w:rPr>
          <w:sz w:val="20"/>
          <w:szCs w:val="20"/>
          <w:lang w:val="en-GB"/>
        </w:rPr>
        <w:t xml:space="preserve">, while </w:t>
      </w:r>
      <w:r w:rsidR="00727CA6" w:rsidRPr="00682A9D">
        <w:rPr>
          <w:sz w:val="20"/>
          <w:szCs w:val="20"/>
          <w:lang w:val="en-GB"/>
        </w:rPr>
        <w:t xml:space="preserve">relatively </w:t>
      </w:r>
      <w:r w:rsidR="006F3B2C" w:rsidRPr="00682A9D">
        <w:rPr>
          <w:sz w:val="20"/>
          <w:szCs w:val="20"/>
          <w:lang w:val="en-GB"/>
        </w:rPr>
        <w:t xml:space="preserve">evenly distributed, </w:t>
      </w:r>
      <w:r w:rsidR="001A6B1E" w:rsidRPr="00682A9D">
        <w:rPr>
          <w:sz w:val="20"/>
          <w:szCs w:val="20"/>
          <w:lang w:val="en-GB"/>
        </w:rPr>
        <w:t xml:space="preserve">showed </w:t>
      </w:r>
      <w:r w:rsidR="006F3B2C" w:rsidRPr="00682A9D">
        <w:rPr>
          <w:sz w:val="20"/>
          <w:szCs w:val="20"/>
          <w:lang w:val="en-GB"/>
        </w:rPr>
        <w:t xml:space="preserve">the highest levels in the north and northwest of Europe. </w:t>
      </w:r>
      <w:r w:rsidR="001A6B1E" w:rsidRPr="00682A9D">
        <w:rPr>
          <w:sz w:val="20"/>
          <w:szCs w:val="20"/>
          <w:lang w:val="en-GB"/>
        </w:rPr>
        <w:t>M</w:t>
      </w:r>
      <w:r w:rsidR="006F3B2C" w:rsidRPr="00682A9D">
        <w:rPr>
          <w:sz w:val="20"/>
          <w:szCs w:val="20"/>
          <w:lang w:val="en-GB"/>
        </w:rPr>
        <w:t xml:space="preserve">ethamphetamine use, generally low and traditionally concentrated in the Czech Republic and Slovakia, </w:t>
      </w:r>
      <w:r w:rsidR="00727CA6" w:rsidRPr="00682A9D">
        <w:rPr>
          <w:sz w:val="20"/>
          <w:szCs w:val="20"/>
          <w:lang w:val="en-GB"/>
        </w:rPr>
        <w:t xml:space="preserve">now </w:t>
      </w:r>
      <w:r w:rsidR="001A6B1E" w:rsidRPr="00682A9D">
        <w:rPr>
          <w:sz w:val="20"/>
          <w:szCs w:val="20"/>
          <w:lang w:val="en-GB"/>
        </w:rPr>
        <w:t xml:space="preserve">appears to be </w:t>
      </w:r>
      <w:r w:rsidR="006F3B2C" w:rsidRPr="00682A9D">
        <w:rPr>
          <w:sz w:val="20"/>
          <w:szCs w:val="20"/>
          <w:lang w:val="en-GB"/>
        </w:rPr>
        <w:t xml:space="preserve">present in </w:t>
      </w:r>
      <w:r w:rsidR="00974852" w:rsidRPr="00682A9D">
        <w:rPr>
          <w:sz w:val="20"/>
          <w:szCs w:val="20"/>
          <w:lang w:val="en-GB"/>
        </w:rPr>
        <w:t xml:space="preserve">the </w:t>
      </w:r>
      <w:r w:rsidR="006F3B2C" w:rsidRPr="00682A9D">
        <w:rPr>
          <w:sz w:val="20"/>
          <w:szCs w:val="20"/>
          <w:lang w:val="en-GB"/>
        </w:rPr>
        <w:t>east</w:t>
      </w:r>
      <w:r w:rsidR="00974852" w:rsidRPr="00682A9D">
        <w:rPr>
          <w:sz w:val="20"/>
          <w:szCs w:val="20"/>
          <w:lang w:val="en-GB"/>
        </w:rPr>
        <w:t xml:space="preserve"> of </w:t>
      </w:r>
      <w:r w:rsidR="006F3B2C" w:rsidRPr="00682A9D">
        <w:rPr>
          <w:sz w:val="20"/>
          <w:szCs w:val="20"/>
          <w:lang w:val="en-GB"/>
        </w:rPr>
        <w:t>Germany and northern Europe.</w:t>
      </w:r>
      <w:r w:rsidR="002D1569" w:rsidRPr="00682A9D">
        <w:rPr>
          <w:sz w:val="20"/>
          <w:szCs w:val="20"/>
          <w:lang w:val="en-GB"/>
        </w:rPr>
        <w:t xml:space="preserve"> </w:t>
      </w:r>
      <w:r w:rsidR="0080360C" w:rsidRPr="00682A9D">
        <w:rPr>
          <w:sz w:val="20"/>
          <w:szCs w:val="20"/>
          <w:lang w:val="en-GB"/>
        </w:rPr>
        <w:t>And w</w:t>
      </w:r>
      <w:r w:rsidR="002D1569" w:rsidRPr="00682A9D">
        <w:rPr>
          <w:sz w:val="20"/>
          <w:szCs w:val="20"/>
          <w:lang w:val="en-GB"/>
        </w:rPr>
        <w:t xml:space="preserve">hen weekly patterns of drug use were examined, cocaine and ecstasy levels rose sharply at weekends in most cities, while </w:t>
      </w:r>
      <w:r w:rsidRPr="00682A9D">
        <w:rPr>
          <w:sz w:val="20"/>
          <w:szCs w:val="20"/>
          <w:lang w:val="en-GB"/>
        </w:rPr>
        <w:t xml:space="preserve">methamphetamine and </w:t>
      </w:r>
      <w:r w:rsidR="002D1569" w:rsidRPr="00682A9D">
        <w:rPr>
          <w:sz w:val="20"/>
          <w:szCs w:val="20"/>
          <w:lang w:val="en-GB"/>
        </w:rPr>
        <w:t>cannabis use appeared to be more evenly distributed throughout the week.</w:t>
      </w:r>
    </w:p>
    <w:p w:rsidR="002D1569" w:rsidRPr="00682A9D" w:rsidRDefault="002D1569" w:rsidP="00483572">
      <w:pPr>
        <w:pStyle w:val="newsContent"/>
        <w:rPr>
          <w:sz w:val="20"/>
          <w:szCs w:val="20"/>
          <w:lang w:val="en-GB"/>
        </w:rPr>
      </w:pPr>
    </w:p>
    <w:p w:rsidR="007D0DB8" w:rsidRDefault="00B75F96" w:rsidP="00483572">
      <w:pPr>
        <w:pStyle w:val="newsContent"/>
        <w:rPr>
          <w:lang w:val="en-GB"/>
        </w:rPr>
      </w:pPr>
      <w:r w:rsidRPr="00682A9D">
        <w:rPr>
          <w:sz w:val="20"/>
          <w:szCs w:val="20"/>
          <w:lang w:val="en-GB"/>
        </w:rPr>
        <w:t xml:space="preserve">‘Wastewater analysis provides the possibility to collect and report measurements more quickly and regularly than is the current norm for national surveys’, </w:t>
      </w:r>
      <w:r w:rsidR="00DE7465" w:rsidRPr="00682A9D">
        <w:rPr>
          <w:sz w:val="20"/>
          <w:szCs w:val="20"/>
          <w:lang w:val="en-GB"/>
        </w:rPr>
        <w:t xml:space="preserve">concludes the </w:t>
      </w:r>
      <w:r w:rsidRPr="00682A9D">
        <w:rPr>
          <w:sz w:val="20"/>
          <w:szCs w:val="20"/>
          <w:lang w:val="en-GB"/>
        </w:rPr>
        <w:t xml:space="preserve">report. </w:t>
      </w:r>
      <w:r w:rsidR="007D0DB8" w:rsidRPr="00682A9D">
        <w:rPr>
          <w:sz w:val="20"/>
          <w:szCs w:val="20"/>
          <w:lang w:val="en-GB"/>
        </w:rPr>
        <w:t>If used more routinely as a complement</w:t>
      </w:r>
      <w:r w:rsidR="0080360C" w:rsidRPr="00682A9D">
        <w:rPr>
          <w:sz w:val="20"/>
          <w:szCs w:val="20"/>
          <w:lang w:val="en-GB"/>
        </w:rPr>
        <w:t xml:space="preserve"> to</w:t>
      </w:r>
      <w:r w:rsidR="007D0DB8" w:rsidRPr="00682A9D">
        <w:rPr>
          <w:sz w:val="20"/>
          <w:szCs w:val="20"/>
          <w:lang w:val="en-GB"/>
        </w:rPr>
        <w:t xml:space="preserve"> </w:t>
      </w:r>
      <w:r w:rsidR="00585A4F" w:rsidRPr="00682A9D">
        <w:rPr>
          <w:sz w:val="20"/>
          <w:szCs w:val="20"/>
          <w:lang w:val="en-GB"/>
        </w:rPr>
        <w:t>other</w:t>
      </w:r>
      <w:r w:rsidR="007D0DB8" w:rsidRPr="00682A9D">
        <w:rPr>
          <w:sz w:val="20"/>
          <w:szCs w:val="20"/>
          <w:lang w:val="en-GB"/>
        </w:rPr>
        <w:t xml:space="preserve"> European drug surveillance methods, it has the clear potential to shed extra light on </w:t>
      </w:r>
      <w:r w:rsidR="007D0DB8" w:rsidRPr="00483572">
        <w:rPr>
          <w:sz w:val="20"/>
          <w:szCs w:val="20"/>
          <w:lang w:val="en"/>
        </w:rPr>
        <w:t>drug use trends in Europe</w:t>
      </w:r>
      <w:r w:rsidR="0080360C" w:rsidRPr="00483572">
        <w:rPr>
          <w:sz w:val="20"/>
          <w:szCs w:val="20"/>
          <w:lang w:val="en"/>
        </w:rPr>
        <w:t xml:space="preserve">, including </w:t>
      </w:r>
      <w:r w:rsidR="008358F4" w:rsidRPr="00483572">
        <w:rPr>
          <w:sz w:val="20"/>
          <w:szCs w:val="20"/>
          <w:lang w:val="en"/>
        </w:rPr>
        <w:t xml:space="preserve">the </w:t>
      </w:r>
      <w:r w:rsidR="0080360C" w:rsidRPr="00483572">
        <w:rPr>
          <w:sz w:val="20"/>
          <w:szCs w:val="20"/>
          <w:lang w:val="en"/>
        </w:rPr>
        <w:t>use of new psychoactive substances</w:t>
      </w:r>
      <w:r w:rsidR="007D0DB8" w:rsidRPr="00682A9D">
        <w:rPr>
          <w:sz w:val="20"/>
          <w:szCs w:val="20"/>
          <w:lang w:val="en-GB"/>
        </w:rPr>
        <w:t>.</w:t>
      </w:r>
      <w:r w:rsidRPr="00682A9D">
        <w:rPr>
          <w:sz w:val="20"/>
          <w:szCs w:val="20"/>
          <w:lang w:val="en-GB"/>
        </w:rPr>
        <w:t xml:space="preserve"> </w:t>
      </w:r>
    </w:p>
    <w:p w:rsidR="006F3B2C" w:rsidRPr="00682A9D" w:rsidRDefault="006F3B2C" w:rsidP="00483572">
      <w:pPr>
        <w:pStyle w:val="newsContent"/>
        <w:rPr>
          <w:lang w:val="en-GB"/>
        </w:rPr>
      </w:pPr>
    </w:p>
    <w:p w:rsidR="008B11B1" w:rsidRPr="00483572" w:rsidRDefault="00BC7EAF" w:rsidP="00390C85">
      <w:pPr>
        <w:pStyle w:val="newsContent"/>
        <w:spacing w:line="240" w:lineRule="auto"/>
        <w:rPr>
          <w:lang w:val="en-GB"/>
        </w:rPr>
      </w:pPr>
      <w:r w:rsidRPr="00483572">
        <w:t>(</w:t>
      </w:r>
      <w:r w:rsidRPr="00483572">
        <w:rPr>
          <w:rStyle w:val="newsNotesNumberChar"/>
          <w:sz w:val="16"/>
          <w:szCs w:val="16"/>
        </w:rPr>
        <w:t>1</w:t>
      </w:r>
      <w:r w:rsidRPr="00483572">
        <w:t>)</w:t>
      </w:r>
      <w:r w:rsidR="00483572" w:rsidRPr="00483572">
        <w:t xml:space="preserve"> Ort C, van Nuijs ALN, Berset J-D, </w:t>
      </w:r>
      <w:r w:rsidR="00483572" w:rsidRPr="00483572">
        <w:rPr>
          <w:i/>
        </w:rPr>
        <w:t>et al</w:t>
      </w:r>
      <w:r w:rsidR="00483572" w:rsidRPr="00483572">
        <w:t xml:space="preserve">. </w:t>
      </w:r>
      <w:r w:rsidR="00483572" w:rsidRPr="00483572">
        <w:rPr>
          <w:lang w:val="en-GB"/>
        </w:rPr>
        <w:t>‘Spatial differences and temporal changes in illicit drug use in Europe quant</w:t>
      </w:r>
      <w:r w:rsidR="002F238D">
        <w:rPr>
          <w:lang w:val="en-GB"/>
        </w:rPr>
        <w:t>ified by wastewater analysis’, </w:t>
      </w:r>
      <w:r w:rsidR="00483572" w:rsidRPr="00483572">
        <w:rPr>
          <w:i/>
          <w:iCs/>
          <w:lang w:val="en-GB"/>
        </w:rPr>
        <w:t>Addiction</w:t>
      </w:r>
      <w:r w:rsidR="00483572" w:rsidRPr="00483572">
        <w:rPr>
          <w:lang w:val="en-GB"/>
        </w:rPr>
        <w:t xml:space="preserve"> 109: doi: 10.1111/add.12570</w:t>
      </w:r>
      <w:r w:rsidR="00682A9D">
        <w:rPr>
          <w:lang w:val="en-GB"/>
        </w:rPr>
        <w:t xml:space="preserve"> </w:t>
      </w:r>
      <w:hyperlink r:id="rId11" w:history="1">
        <w:r w:rsidR="00682A9D" w:rsidRPr="00367369">
          <w:rPr>
            <w:rStyle w:val="Hyperlink"/>
            <w:sz w:val="16"/>
            <w:lang w:val="en-GB"/>
          </w:rPr>
          <w:t>www.addictionjournal.org</w:t>
        </w:r>
      </w:hyperlink>
    </w:p>
    <w:p w:rsidR="008B11B1" w:rsidRPr="00483572" w:rsidRDefault="00BC7EAF" w:rsidP="00390C85">
      <w:pPr>
        <w:pStyle w:val="newsContent"/>
        <w:spacing w:line="240" w:lineRule="auto"/>
        <w:rPr>
          <w:lang w:val="en-GB"/>
        </w:rPr>
      </w:pPr>
      <w:r w:rsidRPr="00483572">
        <w:rPr>
          <w:lang w:val="en-GB"/>
        </w:rPr>
        <w:t>(</w:t>
      </w:r>
      <w:r w:rsidRPr="00483572">
        <w:rPr>
          <w:rStyle w:val="newsNotesNumberChar"/>
          <w:sz w:val="16"/>
          <w:szCs w:val="16"/>
          <w:lang w:val="en-GB"/>
        </w:rPr>
        <w:t>2</w:t>
      </w:r>
      <w:r w:rsidRPr="00483572">
        <w:rPr>
          <w:lang w:val="en-GB"/>
        </w:rPr>
        <w:t xml:space="preserve">) </w:t>
      </w:r>
      <w:r w:rsidR="008B11B1" w:rsidRPr="00483572">
        <w:rPr>
          <w:lang w:val="en-GB"/>
        </w:rPr>
        <w:t xml:space="preserve">The Sewage analysis CORE group (SCORE) </w:t>
      </w:r>
      <w:hyperlink r:id="rId12" w:history="1">
        <w:r w:rsidR="008B11B1" w:rsidRPr="00483572">
          <w:rPr>
            <w:rStyle w:val="Hyperlink"/>
            <w:sz w:val="16"/>
            <w:lang w:val="en-GB"/>
          </w:rPr>
          <w:t>www.niva.no/SCORE</w:t>
        </w:r>
      </w:hyperlink>
    </w:p>
    <w:p w:rsidR="002C23FF" w:rsidRPr="00712761" w:rsidRDefault="00BC7EAF" w:rsidP="00390C85">
      <w:pPr>
        <w:spacing w:after="0" w:line="240" w:lineRule="auto"/>
        <w:rPr>
          <w:rStyle w:val="Hyperlink"/>
          <w:rFonts w:cs="Arial"/>
          <w:sz w:val="16"/>
          <w:szCs w:val="16"/>
        </w:rPr>
      </w:pPr>
      <w:r w:rsidRPr="00712761">
        <w:rPr>
          <w:rFonts w:ascii="Arial" w:hAnsi="Arial" w:cs="Arial"/>
          <w:sz w:val="16"/>
          <w:szCs w:val="16"/>
        </w:rPr>
        <w:t>(</w:t>
      </w:r>
      <w:r w:rsidRPr="00712761">
        <w:rPr>
          <w:rFonts w:ascii="Arial" w:hAnsi="Arial" w:cs="Arial"/>
          <w:sz w:val="16"/>
          <w:szCs w:val="16"/>
          <w:vertAlign w:val="superscript"/>
        </w:rPr>
        <w:t>3</w:t>
      </w:r>
      <w:r w:rsidRPr="00712761">
        <w:rPr>
          <w:rFonts w:ascii="Arial" w:hAnsi="Arial" w:cs="Arial"/>
          <w:sz w:val="16"/>
          <w:szCs w:val="16"/>
        </w:rPr>
        <w:t>) See</w:t>
      </w:r>
      <w:r w:rsidR="00611108" w:rsidRPr="00712761">
        <w:rPr>
          <w:rFonts w:ascii="Arial" w:hAnsi="Arial" w:cs="Arial"/>
          <w:sz w:val="16"/>
          <w:szCs w:val="16"/>
        </w:rPr>
        <w:t xml:space="preserve"> Figure 2.4 in the European Drug Report and Perspectives on drugs at </w:t>
      </w:r>
      <w:hyperlink r:id="rId13" w:history="1">
        <w:r w:rsidRPr="00712761">
          <w:rPr>
            <w:rStyle w:val="Hyperlink"/>
            <w:rFonts w:cs="Arial"/>
            <w:sz w:val="16"/>
            <w:szCs w:val="16"/>
          </w:rPr>
          <w:t>www.emcdda.europa.eu/edr2014</w:t>
        </w:r>
      </w:hyperlink>
      <w:r w:rsidRPr="00712761">
        <w:rPr>
          <w:rStyle w:val="Hyperlink"/>
          <w:rFonts w:cs="Arial"/>
          <w:sz w:val="16"/>
          <w:szCs w:val="16"/>
        </w:rPr>
        <w:t xml:space="preserve"> </w:t>
      </w:r>
    </w:p>
    <w:sectPr w:rsidR="002C23FF" w:rsidRPr="00712761" w:rsidSect="004835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644" w:right="1133" w:bottom="113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08" w:rsidRDefault="00611108" w:rsidP="009A28FB">
      <w:pPr>
        <w:spacing w:after="0" w:line="240" w:lineRule="auto"/>
      </w:pPr>
      <w:r>
        <w:separator/>
      </w:r>
    </w:p>
  </w:endnote>
  <w:endnote w:type="continuationSeparator" w:id="0">
    <w:p w:rsidR="00611108" w:rsidRDefault="0061110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D2" w:rsidRDefault="009A3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611108" w:rsidTr="00D37865">
      <w:tc>
        <w:tcPr>
          <w:tcW w:w="1444" w:type="dxa"/>
        </w:tcPr>
        <w:p w:rsidR="00611108" w:rsidRDefault="00611108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80BED25" wp14:editId="5C959C0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611108" w:rsidRDefault="00611108" w:rsidP="00BF1E3B">
          <w:pPr>
            <w:pStyle w:val="newsReference"/>
            <w:jc w:val="right"/>
          </w:pPr>
        </w:p>
      </w:tc>
    </w:tr>
  </w:tbl>
  <w:p w:rsidR="00611108" w:rsidRDefault="00611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11108" w:rsidTr="00772692">
      <w:tc>
        <w:tcPr>
          <w:tcW w:w="7196" w:type="dxa"/>
        </w:tcPr>
        <w:p w:rsidR="00611108" w:rsidRPr="00B518E6" w:rsidRDefault="00611108" w:rsidP="00772692">
          <w:pPr>
            <w:pStyle w:val="newsCoordinates"/>
            <w:rPr>
              <w:lang w:val="pt-PT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C644CCB" wp14:editId="3EE2ED46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B518E6">
            <w:rPr>
              <w:lang w:val="pt-PT"/>
            </w:rPr>
            <w:t xml:space="preserve">Contact: Kathy Robertson, Media relations </w:t>
          </w:r>
        </w:p>
        <w:p w:rsidR="00611108" w:rsidRPr="00B518E6" w:rsidRDefault="00611108" w:rsidP="00772692">
          <w:pPr>
            <w:pStyle w:val="newsCoordinates"/>
            <w:rPr>
              <w:lang w:val="pt-PT"/>
            </w:rPr>
          </w:pPr>
          <w:r w:rsidRPr="00B518E6">
            <w:rPr>
              <w:lang w:val="pt-PT"/>
            </w:rPr>
            <w:t xml:space="preserve">Praça Europa 1, Cais do Sodré, 1249-289 Lisbon, Portugal </w:t>
          </w:r>
        </w:p>
        <w:p w:rsidR="00611108" w:rsidRDefault="00611108" w:rsidP="00772692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  <w:bookmarkStart w:id="0" w:name="_GoBack"/>
          <w:bookmarkEnd w:id="0"/>
        </w:p>
      </w:tc>
      <w:tc>
        <w:tcPr>
          <w:tcW w:w="3294" w:type="dxa"/>
          <w:vAlign w:val="bottom"/>
        </w:tcPr>
        <w:p w:rsidR="00611108" w:rsidRDefault="00611108" w:rsidP="00FB4147">
          <w:pPr>
            <w:pStyle w:val="newsReference"/>
            <w:jc w:val="right"/>
          </w:pPr>
          <w:r>
            <w:t>EN — No 5/2014</w:t>
          </w:r>
        </w:p>
      </w:tc>
    </w:tr>
  </w:tbl>
  <w:p w:rsidR="00611108" w:rsidRDefault="00611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08" w:rsidRDefault="00611108" w:rsidP="009A28FB">
      <w:pPr>
        <w:spacing w:after="0" w:line="240" w:lineRule="auto"/>
      </w:pPr>
      <w:r>
        <w:separator/>
      </w:r>
    </w:p>
  </w:footnote>
  <w:footnote w:type="continuationSeparator" w:id="0">
    <w:p w:rsidR="00611108" w:rsidRDefault="0061110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D2" w:rsidRDefault="009A3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11108" w:rsidTr="00BF1E3B">
      <w:tc>
        <w:tcPr>
          <w:tcW w:w="7196" w:type="dxa"/>
        </w:tcPr>
        <w:p w:rsidR="00611108" w:rsidRDefault="00611108" w:rsidP="00206780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F3AD3A3" wp14:editId="3ED60A3A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Wastewater analysis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611108" w:rsidRDefault="00611108" w:rsidP="00206780">
          <w:pPr>
            <w:pStyle w:val="newsReference"/>
            <w:jc w:val="right"/>
          </w:pPr>
          <w:r>
            <w:t>27</w:t>
          </w:r>
          <w:r w:rsidRPr="00CC4FDA">
            <w:t>.</w:t>
          </w:r>
          <w:r>
            <w:t>5</w:t>
          </w:r>
          <w:r w:rsidRPr="00CC4FDA">
            <w:t>.201</w:t>
          </w:r>
          <w:r>
            <w:t>4</w:t>
          </w:r>
        </w:p>
      </w:tc>
    </w:tr>
  </w:tbl>
  <w:p w:rsidR="00611108" w:rsidRDefault="00611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D2" w:rsidRDefault="009A3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2"/>
    <w:rsid w:val="00007ADA"/>
    <w:rsid w:val="00014E8E"/>
    <w:rsid w:val="00036DAA"/>
    <w:rsid w:val="000535B7"/>
    <w:rsid w:val="00067DD3"/>
    <w:rsid w:val="000740FF"/>
    <w:rsid w:val="000C6200"/>
    <w:rsid w:val="000D2CA6"/>
    <w:rsid w:val="00101CAC"/>
    <w:rsid w:val="00105BFC"/>
    <w:rsid w:val="00107C96"/>
    <w:rsid w:val="00126E17"/>
    <w:rsid w:val="00140C13"/>
    <w:rsid w:val="00161DE8"/>
    <w:rsid w:val="0017713E"/>
    <w:rsid w:val="001800D0"/>
    <w:rsid w:val="00190909"/>
    <w:rsid w:val="001A3338"/>
    <w:rsid w:val="001A6B1E"/>
    <w:rsid w:val="001C795A"/>
    <w:rsid w:val="001D5C26"/>
    <w:rsid w:val="001E2FA2"/>
    <w:rsid w:val="001F70B4"/>
    <w:rsid w:val="00206780"/>
    <w:rsid w:val="00223753"/>
    <w:rsid w:val="00236112"/>
    <w:rsid w:val="002557B0"/>
    <w:rsid w:val="002646E4"/>
    <w:rsid w:val="0027252D"/>
    <w:rsid w:val="0028141E"/>
    <w:rsid w:val="002948E2"/>
    <w:rsid w:val="002A2C6B"/>
    <w:rsid w:val="002A61F7"/>
    <w:rsid w:val="002B05CE"/>
    <w:rsid w:val="002B45AC"/>
    <w:rsid w:val="002C23FF"/>
    <w:rsid w:val="002D1569"/>
    <w:rsid w:val="002F238D"/>
    <w:rsid w:val="00304821"/>
    <w:rsid w:val="00313EFA"/>
    <w:rsid w:val="0033158E"/>
    <w:rsid w:val="0036121D"/>
    <w:rsid w:val="00387D02"/>
    <w:rsid w:val="00390C85"/>
    <w:rsid w:val="003B41B1"/>
    <w:rsid w:val="003C0395"/>
    <w:rsid w:val="003C4FD7"/>
    <w:rsid w:val="004137B0"/>
    <w:rsid w:val="004221D3"/>
    <w:rsid w:val="00434469"/>
    <w:rsid w:val="0044111C"/>
    <w:rsid w:val="00445080"/>
    <w:rsid w:val="0045468D"/>
    <w:rsid w:val="00465AF9"/>
    <w:rsid w:val="00483572"/>
    <w:rsid w:val="004847FB"/>
    <w:rsid w:val="004B565C"/>
    <w:rsid w:val="004C3028"/>
    <w:rsid w:val="004D6E0C"/>
    <w:rsid w:val="00511D23"/>
    <w:rsid w:val="00520EF1"/>
    <w:rsid w:val="00542CEE"/>
    <w:rsid w:val="00585A4F"/>
    <w:rsid w:val="005A0DC8"/>
    <w:rsid w:val="005B05A0"/>
    <w:rsid w:val="005B0882"/>
    <w:rsid w:val="005B1B63"/>
    <w:rsid w:val="005C4033"/>
    <w:rsid w:val="00611108"/>
    <w:rsid w:val="006116D9"/>
    <w:rsid w:val="00623A55"/>
    <w:rsid w:val="0063677C"/>
    <w:rsid w:val="00666A63"/>
    <w:rsid w:val="006819C3"/>
    <w:rsid w:val="00682A9D"/>
    <w:rsid w:val="00697812"/>
    <w:rsid w:val="006979FF"/>
    <w:rsid w:val="006B66D0"/>
    <w:rsid w:val="006C795C"/>
    <w:rsid w:val="006F3B2C"/>
    <w:rsid w:val="006F3E36"/>
    <w:rsid w:val="006F7A4B"/>
    <w:rsid w:val="00712761"/>
    <w:rsid w:val="00727CA6"/>
    <w:rsid w:val="00730132"/>
    <w:rsid w:val="00760421"/>
    <w:rsid w:val="00772692"/>
    <w:rsid w:val="00773814"/>
    <w:rsid w:val="00791F09"/>
    <w:rsid w:val="007B0E03"/>
    <w:rsid w:val="007B1CCD"/>
    <w:rsid w:val="007D0DB8"/>
    <w:rsid w:val="007F3426"/>
    <w:rsid w:val="0080360C"/>
    <w:rsid w:val="00813FB5"/>
    <w:rsid w:val="008306FC"/>
    <w:rsid w:val="008358F4"/>
    <w:rsid w:val="00841E86"/>
    <w:rsid w:val="008538E9"/>
    <w:rsid w:val="00881730"/>
    <w:rsid w:val="008B11B1"/>
    <w:rsid w:val="008C1172"/>
    <w:rsid w:val="008D3427"/>
    <w:rsid w:val="008D54B3"/>
    <w:rsid w:val="008F177B"/>
    <w:rsid w:val="008F399E"/>
    <w:rsid w:val="00902300"/>
    <w:rsid w:val="00933A62"/>
    <w:rsid w:val="00955F0C"/>
    <w:rsid w:val="0097138D"/>
    <w:rsid w:val="00974852"/>
    <w:rsid w:val="00974A27"/>
    <w:rsid w:val="00984D56"/>
    <w:rsid w:val="009A28FB"/>
    <w:rsid w:val="009A3ED2"/>
    <w:rsid w:val="009C0656"/>
    <w:rsid w:val="009D6255"/>
    <w:rsid w:val="00A0742D"/>
    <w:rsid w:val="00A0788A"/>
    <w:rsid w:val="00A311EF"/>
    <w:rsid w:val="00A3254D"/>
    <w:rsid w:val="00A661E2"/>
    <w:rsid w:val="00A8203A"/>
    <w:rsid w:val="00A856B7"/>
    <w:rsid w:val="00AB4597"/>
    <w:rsid w:val="00AD7BFC"/>
    <w:rsid w:val="00AE093C"/>
    <w:rsid w:val="00AE1738"/>
    <w:rsid w:val="00AE3FFF"/>
    <w:rsid w:val="00AE53E3"/>
    <w:rsid w:val="00AF13B3"/>
    <w:rsid w:val="00AF259D"/>
    <w:rsid w:val="00B119D6"/>
    <w:rsid w:val="00B11B73"/>
    <w:rsid w:val="00B272F1"/>
    <w:rsid w:val="00B377A1"/>
    <w:rsid w:val="00B518E6"/>
    <w:rsid w:val="00B51E08"/>
    <w:rsid w:val="00B57464"/>
    <w:rsid w:val="00B61036"/>
    <w:rsid w:val="00B72DD3"/>
    <w:rsid w:val="00B7335C"/>
    <w:rsid w:val="00B75F96"/>
    <w:rsid w:val="00B97BC5"/>
    <w:rsid w:val="00BB60CF"/>
    <w:rsid w:val="00BC4B87"/>
    <w:rsid w:val="00BC7EAF"/>
    <w:rsid w:val="00BF1E3B"/>
    <w:rsid w:val="00C36BC1"/>
    <w:rsid w:val="00C55003"/>
    <w:rsid w:val="00C628C4"/>
    <w:rsid w:val="00C63254"/>
    <w:rsid w:val="00C82E14"/>
    <w:rsid w:val="00C874C0"/>
    <w:rsid w:val="00CA2FF5"/>
    <w:rsid w:val="00CB23A9"/>
    <w:rsid w:val="00CB25B4"/>
    <w:rsid w:val="00CB49DA"/>
    <w:rsid w:val="00CC4FDA"/>
    <w:rsid w:val="00CC6A8B"/>
    <w:rsid w:val="00CE4629"/>
    <w:rsid w:val="00CE6319"/>
    <w:rsid w:val="00CF283C"/>
    <w:rsid w:val="00D01335"/>
    <w:rsid w:val="00D03EC6"/>
    <w:rsid w:val="00D210BE"/>
    <w:rsid w:val="00D3312B"/>
    <w:rsid w:val="00D37865"/>
    <w:rsid w:val="00D57367"/>
    <w:rsid w:val="00D76F84"/>
    <w:rsid w:val="00D84AE3"/>
    <w:rsid w:val="00D92A34"/>
    <w:rsid w:val="00DE21D5"/>
    <w:rsid w:val="00DE7465"/>
    <w:rsid w:val="00E43BD4"/>
    <w:rsid w:val="00E562BF"/>
    <w:rsid w:val="00E57C9D"/>
    <w:rsid w:val="00E65AFA"/>
    <w:rsid w:val="00E66CCD"/>
    <w:rsid w:val="00E81F3D"/>
    <w:rsid w:val="00E83FC3"/>
    <w:rsid w:val="00EE23CC"/>
    <w:rsid w:val="00F06CDE"/>
    <w:rsid w:val="00F21CA9"/>
    <w:rsid w:val="00F24096"/>
    <w:rsid w:val="00F414EF"/>
    <w:rsid w:val="00F47542"/>
    <w:rsid w:val="00F54054"/>
    <w:rsid w:val="00FB351B"/>
    <w:rsid w:val="00FB4147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F3426"/>
    <w:pPr>
      <w:tabs>
        <w:tab w:val="left" w:pos="5205"/>
      </w:tabs>
      <w:spacing w:before="360" w:after="112" w:line="26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83572"/>
    <w:pPr>
      <w:spacing w:after="0" w:line="260" w:lineRule="exact"/>
      <w:ind w:right="-144"/>
    </w:pPr>
    <w:rPr>
      <w:rFonts w:ascii="Arial" w:hAnsi="Arial" w:cs="Arial"/>
      <w:color w:val="000000" w:themeColor="text1"/>
      <w:sz w:val="16"/>
      <w:szCs w:val="16"/>
      <w:lang w:val="nl-NL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D0DB8"/>
    <w:pPr>
      <w:spacing w:line="220" w:lineRule="exact"/>
    </w:pPr>
    <w:rPr>
      <w:color w:val="auto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83572"/>
    <w:rPr>
      <w:rFonts w:ascii="Arial" w:hAnsi="Arial" w:cs="Arial"/>
      <w:color w:val="000000" w:themeColor="text1"/>
      <w:sz w:val="16"/>
      <w:szCs w:val="16"/>
      <w:lang w:val="nl-NL"/>
    </w:rPr>
  </w:style>
  <w:style w:type="character" w:customStyle="1" w:styleId="newsNotesChar">
    <w:name w:val="newsNotes Char"/>
    <w:basedOn w:val="newsContentChar"/>
    <w:link w:val="newsNotes"/>
    <w:rsid w:val="007D0DB8"/>
    <w:rPr>
      <w:rFonts w:ascii="Arial" w:hAnsi="Arial" w:cs="Arial"/>
      <w:color w:val="000000" w:themeColor="text1"/>
      <w:sz w:val="16"/>
      <w:szCs w:val="16"/>
      <w:lang w:val="nl-N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D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C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F3426"/>
    <w:pPr>
      <w:tabs>
        <w:tab w:val="left" w:pos="5205"/>
      </w:tabs>
      <w:spacing w:before="360" w:after="112" w:line="26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83572"/>
    <w:pPr>
      <w:spacing w:after="0" w:line="260" w:lineRule="exact"/>
      <w:ind w:right="-144"/>
    </w:pPr>
    <w:rPr>
      <w:rFonts w:ascii="Arial" w:hAnsi="Arial" w:cs="Arial"/>
      <w:color w:val="000000" w:themeColor="text1"/>
      <w:sz w:val="16"/>
      <w:szCs w:val="16"/>
      <w:lang w:val="nl-NL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D0DB8"/>
    <w:pPr>
      <w:spacing w:line="220" w:lineRule="exact"/>
    </w:pPr>
    <w:rPr>
      <w:color w:val="auto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83572"/>
    <w:rPr>
      <w:rFonts w:ascii="Arial" w:hAnsi="Arial" w:cs="Arial"/>
      <w:color w:val="000000" w:themeColor="text1"/>
      <w:sz w:val="16"/>
      <w:szCs w:val="16"/>
      <w:lang w:val="nl-NL"/>
    </w:rPr>
  </w:style>
  <w:style w:type="character" w:customStyle="1" w:styleId="newsNotesChar">
    <w:name w:val="newsNotes Char"/>
    <w:basedOn w:val="newsContentChar"/>
    <w:link w:val="newsNotes"/>
    <w:rsid w:val="007D0DB8"/>
    <w:rPr>
      <w:rFonts w:ascii="Arial" w:hAnsi="Arial" w:cs="Arial"/>
      <w:color w:val="000000" w:themeColor="text1"/>
      <w:sz w:val="16"/>
      <w:szCs w:val="16"/>
      <w:lang w:val="nl-N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D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edr2014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iva.no/SCO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dictionjourn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0BCA-61C9-405D-8125-506AD403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25</cp:revision>
  <cp:lastPrinted>2014-05-12T16:02:00Z</cp:lastPrinted>
  <dcterms:created xsi:type="dcterms:W3CDTF">2014-04-11T09:38:00Z</dcterms:created>
  <dcterms:modified xsi:type="dcterms:W3CDTF">2014-05-19T09:01:00Z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