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047"/>
        <w:gridCol w:w="5778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B1229" w:rsidP="00EE23CC">
            <w:r>
              <w:rPr>
                <w:noProof/>
                <w:lang w:val="en-GB" w:eastAsia="en-GB" w:bidi="ar-SA"/>
              </w:rPr>
              <w:drawing>
                <wp:inline distT="0" distB="0" distL="0" distR="0" wp14:anchorId="0D4434BE" wp14:editId="0CA814B3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EB1229" w:rsidP="001F70B4">
            <w:r>
              <w:rPr>
                <w:noProof/>
                <w:lang w:val="en-GB" w:eastAsia="en-GB" w:bidi="ar-SA"/>
              </w:rPr>
              <w:drawing>
                <wp:inline distT="0" distB="0" distL="0" distR="0" wp14:anchorId="2E0B750E" wp14:editId="089678F3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324FD3" w:rsidRDefault="00324FD3" w:rsidP="00324FD3">
      <w:pPr>
        <w:pStyle w:val="newsTitle"/>
        <w:rPr>
          <w:b/>
        </w:rPr>
      </w:pPr>
      <w:r w:rsidRPr="00186483">
        <w:t>EMCDDA</w:t>
      </w:r>
      <w:r w:rsidR="005506E0" w:rsidRPr="00324FD3">
        <w:t xml:space="preserve"> na Comissão dos Estupefacientes das Nações Unidas de 2015 — Viena</w:t>
      </w:r>
    </w:p>
    <w:p w:rsidR="00A16B77" w:rsidRPr="0066147A" w:rsidRDefault="00324FD3" w:rsidP="0066147A">
      <w:pPr>
        <w:pStyle w:val="newsSubTitle"/>
      </w:pPr>
      <w:r>
        <w:t xml:space="preserve">O Observatório </w:t>
      </w:r>
      <w:r w:rsidR="005506E0" w:rsidRPr="0066147A">
        <w:t xml:space="preserve">apresenta as últimas informações </w:t>
      </w:r>
      <w:r w:rsidR="0091137A">
        <w:t xml:space="preserve">disponíveis </w:t>
      </w:r>
      <w:r w:rsidR="005506E0" w:rsidRPr="0066147A">
        <w:t xml:space="preserve">sobre as «novas drogas» </w:t>
      </w:r>
      <w:r w:rsidR="0091137A">
        <w:t>reportadas pelo</w:t>
      </w:r>
      <w:r w:rsidR="005506E0" w:rsidRPr="0066147A">
        <w:t xml:space="preserve"> Sistema de Alerta Rápido da União Europeia </w:t>
      </w:r>
    </w:p>
    <w:p w:rsidR="00B258CD" w:rsidRDefault="00B92848" w:rsidP="00D069A8">
      <w:pPr>
        <w:pStyle w:val="newsContent"/>
      </w:pPr>
      <w:r>
        <w:t xml:space="preserve">(9.3.2015, LISBOA/VIENA) No ano passado, foram detetadas em média, na União Europeia, duas novas substâncias psicoativas (NSP ou «novas drogas») por semana, segundo informações hoje divulgadas pelo </w:t>
      </w:r>
      <w:r>
        <w:rPr>
          <w:b/>
        </w:rPr>
        <w:t>Observatório Europeu da Droga e da Toxicodependência (</w:t>
      </w:r>
      <w:r w:rsidR="00DB3C06">
        <w:rPr>
          <w:b/>
        </w:rPr>
        <w:t>EMCDDA</w:t>
      </w:r>
      <w:r>
        <w:rPr>
          <w:b/>
        </w:rPr>
        <w:t>)</w:t>
      </w:r>
      <w:r>
        <w:t>(</w:t>
      </w:r>
      <w:r>
        <w:rPr>
          <w:vertAlign w:val="superscript"/>
        </w:rPr>
        <w:t>1</w:t>
      </w:r>
      <w:r>
        <w:t xml:space="preserve">). No total, o </w:t>
      </w:r>
      <w:r>
        <w:rPr>
          <w:b/>
        </w:rPr>
        <w:t>Sistema de Alerta Rápido da UE</w:t>
      </w:r>
      <w:r>
        <w:t xml:space="preserve"> recebeu 101 notificações de novas substâncias em 2014 (81 em 2013), mantendo-se, assim, a tendência para o aumento do nú</w:t>
      </w:r>
      <w:r w:rsidR="006930CD">
        <w:t>mero de substâncias notificadas</w:t>
      </w:r>
      <w:r w:rsidR="00186483">
        <w:t xml:space="preserve"> </w:t>
      </w:r>
      <w:r w:rsidR="006930CD">
        <w:t>num único</w:t>
      </w:r>
      <w:r w:rsidRPr="005146EE">
        <w:t xml:space="preserve"> ano</w:t>
      </w:r>
      <w:r>
        <w:t> (</w:t>
      </w:r>
      <w:r>
        <w:rPr>
          <w:vertAlign w:val="superscript"/>
        </w:rPr>
        <w:t>2</w:t>
      </w:r>
      <w:r>
        <w:t xml:space="preserve">). A agência monitoriza agora mais de 450 substâncias, mais de metade das quais identificada </w:t>
      </w:r>
      <w:r w:rsidR="006930CD">
        <w:t xml:space="preserve">apenas </w:t>
      </w:r>
      <w:r>
        <w:t>nos últimos três anos</w:t>
      </w:r>
      <w:r w:rsidRPr="005146EE">
        <w:t>.</w:t>
      </w:r>
      <w:r>
        <w:t xml:space="preserve"> </w:t>
      </w:r>
    </w:p>
    <w:p w:rsidR="0074590D" w:rsidRDefault="00B258CD" w:rsidP="00D069A8">
      <w:pPr>
        <w:pStyle w:val="newsContent"/>
      </w:pPr>
      <w:r>
        <w:t>A data de publicação do relatório coincide com a abertura da 58.</w:t>
      </w:r>
      <w:r>
        <w:rPr>
          <w:vertAlign w:val="superscript"/>
        </w:rPr>
        <w:t>a</w:t>
      </w:r>
      <w:r>
        <w:t xml:space="preserve"> sessão da</w:t>
      </w:r>
      <w:r>
        <w:rPr>
          <w:b/>
        </w:rPr>
        <w:t xml:space="preserve"> Comissão de Estupefacientes</w:t>
      </w:r>
      <w:r>
        <w:t xml:space="preserve"> (CND) das </w:t>
      </w:r>
      <w:r>
        <w:rPr>
          <w:b/>
        </w:rPr>
        <w:t>Nações Unidas</w:t>
      </w:r>
      <w:r>
        <w:t xml:space="preserve">, na cidade de Viena, em que o </w:t>
      </w:r>
      <w:r w:rsidR="00DB3C06">
        <w:rPr>
          <w:b/>
        </w:rPr>
        <w:t>EMCDDA</w:t>
      </w:r>
      <w:r w:rsidR="00DB3C06">
        <w:t xml:space="preserve"> </w:t>
      </w:r>
      <w:r>
        <w:t xml:space="preserve">participa juntamente com a </w:t>
      </w:r>
      <w:r>
        <w:rPr>
          <w:b/>
        </w:rPr>
        <w:t>delegação da UE </w:t>
      </w:r>
      <w:r>
        <w:t>(</w:t>
      </w:r>
      <w:r>
        <w:rPr>
          <w:vertAlign w:val="superscript"/>
        </w:rPr>
        <w:t>3</w:t>
      </w:r>
      <w:r>
        <w:t xml:space="preserve">). O relatório baseia-se numa análise das informações relativas aos </w:t>
      </w:r>
      <w:r>
        <w:rPr>
          <w:b/>
        </w:rPr>
        <w:t xml:space="preserve">28 Estados-Membros da UE, Turquia </w:t>
      </w:r>
      <w:r>
        <w:t>e</w:t>
      </w:r>
      <w:r>
        <w:rPr>
          <w:b/>
        </w:rPr>
        <w:t xml:space="preserve"> Noruega</w:t>
      </w:r>
      <w:r>
        <w:t xml:space="preserve"> recolhidas pelo </w:t>
      </w:r>
      <w:r>
        <w:rPr>
          <w:b/>
        </w:rPr>
        <w:t>Sistema de Alerta Rápido</w:t>
      </w:r>
      <w:r>
        <w:t xml:space="preserve">. </w:t>
      </w:r>
    </w:p>
    <w:p w:rsidR="00A91B93" w:rsidRDefault="006D0D14" w:rsidP="00D069A8">
      <w:pPr>
        <w:pStyle w:val="newsContent"/>
      </w:pPr>
      <w:r>
        <w:t xml:space="preserve">Em 2014, a lista de substâncias notificadas revela novamente dois grupos predominantes, as </w:t>
      </w:r>
      <w:r>
        <w:rPr>
          <w:b/>
        </w:rPr>
        <w:t>catinonas sintéticas</w:t>
      </w:r>
      <w:r>
        <w:t xml:space="preserve"> (31 substâncias) e os </w:t>
      </w:r>
      <w:r>
        <w:rPr>
          <w:b/>
        </w:rPr>
        <w:t>canabinóides sintéticos</w:t>
      </w:r>
      <w:r>
        <w:t xml:space="preserve"> (30 substâncias ), vendidos, respetivamente, como substitutos legais das drogas estimulantes e da </w:t>
      </w:r>
      <w:r>
        <w:rPr>
          <w:i/>
        </w:rPr>
        <w:t>cannabis</w:t>
      </w:r>
      <w:r>
        <w:t xml:space="preserve">. Atualmente, estes são os dois maiores grupos monitorizados pelo </w:t>
      </w:r>
      <w:r w:rsidRPr="00324FD3">
        <w:rPr>
          <w:b/>
        </w:rPr>
        <w:t>Sistema de Alerta Rápido</w:t>
      </w:r>
      <w:r>
        <w:t xml:space="preserve"> e, em conjunto, representam quase dois terços das novas drogas notificadas em 2014.</w:t>
      </w:r>
    </w:p>
    <w:p w:rsidR="0077144F" w:rsidRDefault="00860810" w:rsidP="00D069A8">
      <w:pPr>
        <w:pStyle w:val="newsContent"/>
      </w:pPr>
      <w:r>
        <w:t xml:space="preserve">Os dados mais recentes relativos às apreensões </w:t>
      </w:r>
      <w:r w:rsidR="005146EE" w:rsidRPr="00186483">
        <w:t>sugerem</w:t>
      </w:r>
      <w:r w:rsidR="00324FD3" w:rsidRPr="00186483">
        <w:t xml:space="preserve"> um</w:t>
      </w:r>
      <w:r>
        <w:t xml:space="preserve"> crescimento do mercado das novas substâncias psicoativas, demonstrando que, entre 2008 e 2013, o número de apreensões aumentou sete vezes a nível europeu. Em 2013, foram notificadas na Europa quase 47 000 apreensões, correspondentes a mais de 3,1 toneladas destas substâncias, figurando os canabinóides sintéticos em primeiro lugar (21 000 apreensões</w:t>
      </w:r>
      <w:r w:rsidR="00324FD3">
        <w:t xml:space="preserve">; </w:t>
      </w:r>
      <w:r>
        <w:t>1,6 toneladas) e as catinonas sintéticas em segundo (11 000 apreensões</w:t>
      </w:r>
      <w:r w:rsidR="00324FD3">
        <w:t>;</w:t>
      </w:r>
      <w:r>
        <w:t xml:space="preserve"> 1</w:t>
      </w:r>
      <w:r w:rsidR="00DB3C06">
        <w:t>,</w:t>
      </w:r>
      <w:r>
        <w:t xml:space="preserve">1 toneladas). </w:t>
      </w:r>
      <w:r w:rsidR="00CC7274">
        <w:t xml:space="preserve">    </w:t>
      </w:r>
      <w:r>
        <w:t xml:space="preserve">Muitas das novas substâncias psicoativas são produzidas a granel por empresas químicas estabelecidas </w:t>
      </w:r>
      <w:r w:rsidR="002514B1">
        <w:t>fora da Europa</w:t>
      </w:r>
      <w:r>
        <w:t xml:space="preserve"> e depois transportadas por via aérea para a Europa, onde são processadas, embaladas e </w:t>
      </w:r>
      <w:bookmarkStart w:id="0" w:name="_GoBack"/>
      <w:bookmarkEnd w:id="0"/>
      <w:r>
        <w:t>vendidas aos consumidores.</w:t>
      </w:r>
    </w:p>
    <w:p w:rsidR="00890D95" w:rsidRDefault="00890D95" w:rsidP="00D069A8">
      <w:pPr>
        <w:pStyle w:val="newsContent"/>
      </w:pPr>
      <w:r>
        <w:t xml:space="preserve">Além de monitorizar as novas drogas que entram no mercado, o </w:t>
      </w:r>
      <w:r>
        <w:rPr>
          <w:b/>
        </w:rPr>
        <w:t>Sistema de Alerta Rápido</w:t>
      </w:r>
      <w:r>
        <w:t xml:space="preserve"> identifica os indícios de </w:t>
      </w:r>
      <w:r w:rsidR="0091137A">
        <w:t xml:space="preserve">riscos </w:t>
      </w:r>
      <w:r>
        <w:t xml:space="preserve">graves e aciona as respostas necessárias. Em 2014, a presença de </w:t>
      </w:r>
      <w:r w:rsidR="0091137A">
        <w:t xml:space="preserve">riscos </w:t>
      </w:r>
      <w:r>
        <w:t xml:space="preserve">graves, que exigiam medidas urgentes, levou à emissão de 16 alertas de saúde pública e o </w:t>
      </w:r>
      <w:r>
        <w:rPr>
          <w:b/>
        </w:rPr>
        <w:t>Comité Científico</w:t>
      </w:r>
      <w:r>
        <w:t xml:space="preserve"> alargado do </w:t>
      </w:r>
      <w:r w:rsidRPr="00324FD3">
        <w:rPr>
          <w:b/>
        </w:rPr>
        <w:t>Observatório</w:t>
      </w:r>
      <w:r>
        <w:t> (</w:t>
      </w:r>
      <w:r>
        <w:rPr>
          <w:vertAlign w:val="superscript"/>
        </w:rPr>
        <w:t>4</w:t>
      </w:r>
      <w:r>
        <w:t>) realizou seis avaliações de risco.</w:t>
      </w:r>
    </w:p>
    <w:p w:rsidR="00D069A8" w:rsidRDefault="00326D1D" w:rsidP="00675E32">
      <w:pPr>
        <w:pStyle w:val="newsContent"/>
      </w:pPr>
      <w:r>
        <w:t xml:space="preserve">Entre as preocupações de saúde pública destacadas no relatório figuram os novos opiáceos sintéticos — muitas vezes de grande potência e vendidos como heroína a consumidores desprevenidos —, que apresentam elevados riscos de </w:t>
      </w:r>
      <w:r>
        <w:rPr>
          <w:i/>
        </w:rPr>
        <w:t>overdose</w:t>
      </w:r>
      <w:r>
        <w:t xml:space="preserve">. Três dos cinco opiáceos notificados em 2014 </w:t>
      </w:r>
      <w:r w:rsidR="00DB3C06">
        <w:t>eram</w:t>
      </w:r>
      <w:r>
        <w:t xml:space="preserve"> fentanis, </w:t>
      </w:r>
      <w:r w:rsidR="006930CD">
        <w:t xml:space="preserve">uma </w:t>
      </w:r>
      <w:r w:rsidR="00DB3C06">
        <w:t xml:space="preserve">família de </w:t>
      </w:r>
      <w:r>
        <w:t>droga</w:t>
      </w:r>
      <w:r w:rsidRPr="00186483">
        <w:t>s</w:t>
      </w:r>
      <w:r>
        <w:t xml:space="preserve"> que já </w:t>
      </w:r>
      <w:r w:rsidR="0091137A">
        <w:t xml:space="preserve">causou </w:t>
      </w:r>
      <w:r>
        <w:t xml:space="preserve">centenas de mortes na </w:t>
      </w:r>
      <w:r>
        <w:rPr>
          <w:b/>
        </w:rPr>
        <w:t>Europa</w:t>
      </w:r>
      <w:r>
        <w:t xml:space="preserve"> e nos </w:t>
      </w:r>
      <w:r>
        <w:rPr>
          <w:b/>
        </w:rPr>
        <w:t>EUA</w:t>
      </w:r>
      <w:r>
        <w:t>.</w:t>
      </w:r>
    </w:p>
    <w:p w:rsidR="00326D1D" w:rsidRPr="00CF7113" w:rsidRDefault="00326D1D" w:rsidP="00326D1D">
      <w:pPr>
        <w:autoSpaceDE w:val="0"/>
        <w:autoSpaceDN w:val="0"/>
        <w:adjustRightInd w:val="0"/>
        <w:spacing w:after="260" w:line="260" w:lineRule="exact"/>
        <w:rPr>
          <w:rFonts w:ascii="Arial" w:eastAsia="SimSun" w:hAnsi="Arial" w:cs="Arial"/>
          <w:sz w:val="20"/>
          <w:szCs w:val="20"/>
        </w:rPr>
      </w:pPr>
      <w:r w:rsidRPr="00186483">
        <w:rPr>
          <w:rFonts w:ascii="Arial" w:hAnsi="Arial" w:cs="Arial"/>
        </w:rPr>
        <w:t>O</w:t>
      </w:r>
      <w:r>
        <w:t xml:space="preserve"> </w:t>
      </w:r>
      <w:r>
        <w:rPr>
          <w:rFonts w:ascii="Arial" w:hAnsi="Arial"/>
          <w:b/>
          <w:sz w:val="20"/>
        </w:rPr>
        <w:t xml:space="preserve">Diretor do </w:t>
      </w:r>
      <w:r w:rsidR="00324FD3">
        <w:rPr>
          <w:rFonts w:ascii="Arial" w:hAnsi="Arial"/>
          <w:b/>
          <w:sz w:val="20"/>
        </w:rPr>
        <w:t>Observatório</w:t>
      </w:r>
      <w:r>
        <w:t xml:space="preserve">, </w:t>
      </w:r>
      <w:r>
        <w:rPr>
          <w:rFonts w:ascii="Arial" w:hAnsi="Arial"/>
          <w:b/>
          <w:sz w:val="20"/>
        </w:rPr>
        <w:t>Wolfgang Götz</w:t>
      </w:r>
      <w:r>
        <w:t xml:space="preserve">, </w:t>
      </w:r>
      <w:r w:rsidR="00DB3C06" w:rsidRPr="00324FD3">
        <w:rPr>
          <w:rFonts w:ascii="Arial" w:hAnsi="Arial" w:cs="Arial"/>
        </w:rPr>
        <w:t>afirma</w:t>
      </w:r>
      <w:r>
        <w:t>:</w:t>
      </w:r>
      <w:r>
        <w:rPr>
          <w:rFonts w:ascii="Arial" w:hAnsi="Arial"/>
          <w:sz w:val="20"/>
        </w:rPr>
        <w:t xml:space="preserve"> «As novas substâncias psicoativas podem </w:t>
      </w:r>
      <w:r w:rsidR="00DB3C06">
        <w:rPr>
          <w:rFonts w:ascii="Arial" w:hAnsi="Arial"/>
          <w:sz w:val="20"/>
        </w:rPr>
        <w:t xml:space="preserve">passar </w:t>
      </w:r>
      <w:r>
        <w:rPr>
          <w:rFonts w:ascii="Arial" w:hAnsi="Arial"/>
          <w:sz w:val="20"/>
        </w:rPr>
        <w:t>rapidamente</w:t>
      </w:r>
      <w:r w:rsidR="00DB3C06">
        <w:rPr>
          <w:rFonts w:ascii="Arial" w:hAnsi="Arial"/>
          <w:sz w:val="20"/>
        </w:rPr>
        <w:t xml:space="preserve"> da obscuridade </w:t>
      </w:r>
      <w:r w:rsidR="005D4B76">
        <w:rPr>
          <w:rFonts w:ascii="Arial" w:hAnsi="Arial"/>
          <w:sz w:val="20"/>
        </w:rPr>
        <w:t xml:space="preserve">a uma </w:t>
      </w:r>
      <w:r w:rsidR="00746A52">
        <w:rPr>
          <w:rFonts w:ascii="Arial" w:hAnsi="Arial"/>
          <w:sz w:val="20"/>
        </w:rPr>
        <w:t>notoriedade</w:t>
      </w:r>
      <w:r>
        <w:rPr>
          <w:rFonts w:ascii="Arial" w:hAnsi="Arial"/>
          <w:sz w:val="20"/>
        </w:rPr>
        <w:t xml:space="preserve"> </w:t>
      </w:r>
      <w:r w:rsidR="005D4B76">
        <w:rPr>
          <w:rFonts w:ascii="Arial" w:hAnsi="Arial"/>
          <w:sz w:val="20"/>
        </w:rPr>
        <w:t xml:space="preserve">dramática </w:t>
      </w:r>
      <w:r>
        <w:rPr>
          <w:rFonts w:ascii="Arial" w:hAnsi="Arial"/>
          <w:sz w:val="20"/>
        </w:rPr>
        <w:t>e causar enormes danos.</w:t>
      </w:r>
      <w:r>
        <w:rPr>
          <w:rFonts w:ascii="Arial" w:hAnsi="Arial"/>
          <w:color w:val="000000"/>
          <w:sz w:val="20"/>
        </w:rPr>
        <w:t xml:space="preserve"> Os dados hoje </w:t>
      </w:r>
      <w:r>
        <w:rPr>
          <w:rFonts w:ascii="Arial" w:hAnsi="Arial"/>
          <w:color w:val="000000"/>
          <w:sz w:val="20"/>
        </w:rPr>
        <w:lastRenderedPageBreak/>
        <w:t xml:space="preserve">apresentados indicam que o crescimento do mercado destas substâncias continuará a colocar sérios desafios à saúde pública e à política </w:t>
      </w:r>
      <w:r w:rsidR="00000961" w:rsidRPr="00883382">
        <w:rPr>
          <w:rFonts w:ascii="Arial" w:hAnsi="Arial"/>
          <w:color w:val="000000"/>
          <w:sz w:val="20"/>
        </w:rPr>
        <w:t>na área da</w:t>
      </w:r>
      <w:r w:rsidRPr="00883382">
        <w:rPr>
          <w:rFonts w:ascii="Arial" w:hAnsi="Arial"/>
          <w:color w:val="000000"/>
          <w:sz w:val="20"/>
        </w:rPr>
        <w:t xml:space="preserve"> droga, nos</w:t>
      </w:r>
      <w:r>
        <w:rPr>
          <w:rFonts w:ascii="Arial" w:hAnsi="Arial"/>
          <w:color w:val="000000"/>
          <w:sz w:val="20"/>
        </w:rPr>
        <w:t xml:space="preserve"> próximos anos. Esses desafios decorrem da rapidez com que as substâncias surgem, da facilidade com que são vendidas e da falta de informação sobre os efeitos e danos que causam. </w:t>
      </w:r>
      <w:r>
        <w:rPr>
          <w:rFonts w:ascii="Arial" w:hAnsi="Arial"/>
          <w:sz w:val="20"/>
        </w:rPr>
        <w:t>A existência de sistemas sólidos de alerta rápido a nível nacional e regional será fundamental para que os danos sejam detetados precocemente e as respostas necessárias de saúde pública acionadas sem demora</w:t>
      </w:r>
      <w:r>
        <w:rPr>
          <w:rFonts w:ascii="Arial" w:hAnsi="Arial"/>
          <w:color w:val="000000"/>
          <w:sz w:val="20"/>
        </w:rPr>
        <w:t>».</w:t>
      </w:r>
    </w:p>
    <w:p w:rsidR="0058673D" w:rsidRDefault="00CF7113" w:rsidP="009E5D69">
      <w:pPr>
        <w:pStyle w:val="newsContent"/>
        <w:spacing w:after="0" w:line="240" w:lineRule="auto"/>
        <w:rPr>
          <w:b/>
          <w:sz w:val="16"/>
        </w:rPr>
      </w:pPr>
      <w:r>
        <w:rPr>
          <w:b/>
          <w:sz w:val="16"/>
        </w:rPr>
        <w:t>Notas</w:t>
      </w:r>
    </w:p>
    <w:p w:rsidR="00324FD3" w:rsidRPr="00117713" w:rsidRDefault="00324FD3" w:rsidP="009E5D69">
      <w:pPr>
        <w:pStyle w:val="newsContent"/>
        <w:spacing w:after="0" w:line="240" w:lineRule="auto"/>
        <w:rPr>
          <w:b/>
          <w:sz w:val="16"/>
          <w:szCs w:val="16"/>
        </w:rPr>
      </w:pPr>
    </w:p>
    <w:p w:rsidR="000E5821" w:rsidRPr="00324FD3" w:rsidRDefault="00CF7113" w:rsidP="00473C87">
      <w:pPr>
        <w:pStyle w:val="newsContent"/>
        <w:spacing w:after="0" w:line="240" w:lineRule="auto"/>
        <w:rPr>
          <w:sz w:val="18"/>
          <w:szCs w:val="18"/>
        </w:rPr>
      </w:pPr>
      <w:r w:rsidRPr="00324FD3">
        <w:rPr>
          <w:sz w:val="18"/>
          <w:szCs w:val="18"/>
        </w:rPr>
        <w:t>(</w:t>
      </w:r>
      <w:r w:rsidRPr="00324FD3">
        <w:rPr>
          <w:sz w:val="18"/>
          <w:szCs w:val="18"/>
          <w:vertAlign w:val="superscript"/>
        </w:rPr>
        <w:t>1</w:t>
      </w:r>
      <w:r w:rsidRPr="00324FD3">
        <w:rPr>
          <w:sz w:val="18"/>
          <w:szCs w:val="18"/>
        </w:rPr>
        <w:t xml:space="preserve">) </w:t>
      </w:r>
      <w:r w:rsidRPr="005146EE">
        <w:rPr>
          <w:i/>
          <w:sz w:val="18"/>
          <w:szCs w:val="18"/>
        </w:rPr>
        <w:t>An update from the EU Early Warning System</w:t>
      </w:r>
      <w:r w:rsidRPr="00324FD3">
        <w:rPr>
          <w:i/>
          <w:sz w:val="18"/>
          <w:szCs w:val="18"/>
        </w:rPr>
        <w:t xml:space="preserve">, </w:t>
      </w:r>
      <w:r w:rsidRPr="00324FD3">
        <w:rPr>
          <w:sz w:val="18"/>
          <w:szCs w:val="18"/>
        </w:rPr>
        <w:t xml:space="preserve">disponível em </w:t>
      </w:r>
      <w:hyperlink r:id="rId11" w:history="1">
        <w:r w:rsidR="00324FD3" w:rsidRPr="00324FD3">
          <w:rPr>
            <w:rStyle w:val="Hyperlink"/>
            <w:sz w:val="18"/>
            <w:szCs w:val="18"/>
          </w:rPr>
          <w:t>www.emcdda.europa.eu//publications/2015/new-psychoactive-substances</w:t>
        </w:r>
      </w:hyperlink>
      <w:r w:rsidRPr="00324FD3">
        <w:rPr>
          <w:sz w:val="18"/>
          <w:szCs w:val="18"/>
        </w:rPr>
        <w:t xml:space="preserve">  </w:t>
      </w:r>
      <w:r w:rsidR="00324FD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324FD3">
        <w:rPr>
          <w:sz w:val="18"/>
          <w:szCs w:val="18"/>
        </w:rPr>
        <w:t>(</w:t>
      </w:r>
      <w:r w:rsidRPr="00324FD3">
        <w:rPr>
          <w:sz w:val="18"/>
          <w:szCs w:val="18"/>
          <w:vertAlign w:val="superscript"/>
        </w:rPr>
        <w:t>2</w:t>
      </w:r>
      <w:r w:rsidRPr="00324FD3">
        <w:rPr>
          <w:sz w:val="18"/>
          <w:szCs w:val="18"/>
        </w:rPr>
        <w:t xml:space="preserve">) 74 em 2012, 49 em 2011, 41 em 2010. </w:t>
      </w:r>
      <w:r w:rsidR="0066147A" w:rsidRPr="00324FD3">
        <w:rPr>
          <w:sz w:val="18"/>
          <w:szCs w:val="18"/>
        </w:rPr>
        <w:t xml:space="preserve"> </w:t>
      </w:r>
      <w:r w:rsidR="00324FD3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324FD3">
        <w:rPr>
          <w:sz w:val="18"/>
          <w:szCs w:val="18"/>
        </w:rPr>
        <w:t>(</w:t>
      </w:r>
      <w:r w:rsidRPr="00324FD3">
        <w:rPr>
          <w:sz w:val="18"/>
          <w:szCs w:val="18"/>
          <w:vertAlign w:val="superscript"/>
        </w:rPr>
        <w:t>3</w:t>
      </w:r>
      <w:r w:rsidRPr="00324FD3">
        <w:rPr>
          <w:sz w:val="18"/>
          <w:szCs w:val="18"/>
        </w:rPr>
        <w:t xml:space="preserve">) </w:t>
      </w:r>
      <w:hyperlink r:id="rId12">
        <w:r w:rsidRPr="00324FD3">
          <w:rPr>
            <w:rStyle w:val="Hyperlink"/>
            <w:sz w:val="18"/>
            <w:szCs w:val="18"/>
          </w:rPr>
          <w:t>www.unodc.org/unodc/en/commissions/CND/session/58_Session_2015/CND-58-Session_Index.html</w:t>
        </w:r>
      </w:hyperlink>
      <w:r w:rsidRPr="00324FD3">
        <w:rPr>
          <w:sz w:val="18"/>
          <w:szCs w:val="18"/>
        </w:rPr>
        <w:t xml:space="preserve">  </w:t>
      </w:r>
      <w:r w:rsidR="00324FD3">
        <w:rPr>
          <w:sz w:val="18"/>
          <w:szCs w:val="18"/>
        </w:rPr>
        <w:t xml:space="preserve">                                      </w:t>
      </w:r>
      <w:r w:rsidRPr="00324FD3">
        <w:rPr>
          <w:sz w:val="18"/>
          <w:szCs w:val="18"/>
        </w:rPr>
        <w:t>(</w:t>
      </w:r>
      <w:r w:rsidRPr="00324FD3">
        <w:rPr>
          <w:sz w:val="18"/>
          <w:szCs w:val="18"/>
          <w:vertAlign w:val="superscript"/>
        </w:rPr>
        <w:t>4</w:t>
      </w:r>
      <w:r w:rsidRPr="00324FD3">
        <w:rPr>
          <w:sz w:val="18"/>
          <w:szCs w:val="18"/>
        </w:rPr>
        <w:t xml:space="preserve">) Composição do Comité que conta com peritos suplementares dos Estados-Membros da UE, Comissão Europeia, Europol e Agência Europeia de Medicamentos. As publicações relativas às avaliações de riscos estão disponíveis em: </w:t>
      </w:r>
      <w:hyperlink r:id="rId13">
        <w:r w:rsidRPr="00324FD3">
          <w:rPr>
            <w:rStyle w:val="Hyperlink"/>
            <w:sz w:val="18"/>
            <w:szCs w:val="18"/>
          </w:rPr>
          <w:t>www.emcdda.europa.eu/publications/risk-assessments</w:t>
        </w:r>
      </w:hyperlink>
      <w:r w:rsidRPr="00324FD3">
        <w:rPr>
          <w:sz w:val="18"/>
          <w:szCs w:val="18"/>
        </w:rPr>
        <w:t xml:space="preserve"> </w:t>
      </w:r>
    </w:p>
    <w:sectPr w:rsidR="000E5821" w:rsidRPr="00324FD3" w:rsidSect="00117713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418" w:right="1133" w:bottom="851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E8" w:rsidRDefault="007955E8" w:rsidP="009A28FB">
      <w:pPr>
        <w:spacing w:after="0" w:line="240" w:lineRule="auto"/>
      </w:pPr>
      <w:r>
        <w:separator/>
      </w:r>
    </w:p>
  </w:endnote>
  <w:endnote w:type="continuationSeparator" w:id="0">
    <w:p w:rsidR="007955E8" w:rsidRDefault="007955E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5A2D00A" wp14:editId="5213C116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727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Pr="00EF2538" w:rsidRDefault="0063677C" w:rsidP="003B00EE">
          <w:pPr>
            <w:pStyle w:val="newsCoordinates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7D1676A" wp14:editId="57791417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Contactos: Kathy Robertson, Relações </w:t>
          </w:r>
          <w:r>
            <w:rPr>
              <w:i/>
            </w:rPr>
            <w:t>media</w:t>
          </w:r>
          <w:r>
            <w:t xml:space="preserve"> </w:t>
          </w:r>
          <w:r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455E47" w:rsidRDefault="0063677C" w:rsidP="003B00EE">
          <w:pPr>
            <w:pStyle w:val="newsCoordinates"/>
          </w:pPr>
          <w:r>
            <w:t xml:space="preserve">Praça Europa 1, Cais do Sodré, 1249-289 Lisboa, Portugal </w:t>
          </w:r>
        </w:p>
        <w:p w:rsidR="0063677C" w:rsidRPr="00C02249" w:rsidRDefault="0063677C" w:rsidP="003B00EE">
          <w:pPr>
            <w:pStyle w:val="newsCoordinates"/>
          </w:pPr>
          <w:r>
            <w:t xml:space="preserve">Tel. (351) 211 21 02 00 </w:t>
          </w:r>
          <w:r>
            <w:rPr>
              <w:sz w:val="18"/>
            </w:rPr>
            <w:t xml:space="preserve">I </w:t>
          </w:r>
          <w:r>
            <w:t xml:space="preserve">press@emcdda.europa.eu </w:t>
          </w:r>
          <w:r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7B6F51" w:rsidP="008A10C6">
          <w:pPr>
            <w:pStyle w:val="newsReference"/>
            <w:jc w:val="right"/>
          </w:pPr>
          <w:r>
            <w:t>PT — N.º 1/2015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E8" w:rsidRDefault="007955E8" w:rsidP="009A28FB">
      <w:pPr>
        <w:spacing w:after="0" w:line="240" w:lineRule="auto"/>
      </w:pPr>
      <w:r>
        <w:separator/>
      </w:r>
    </w:p>
  </w:footnote>
  <w:footnote w:type="continuationSeparator" w:id="0">
    <w:p w:rsidR="007955E8" w:rsidRDefault="007955E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324FD3">
          <w:pPr>
            <w:pStyle w:val="newsEmbargo"/>
          </w:pPr>
          <w:r>
            <w:rPr>
              <w:noProof/>
              <w:lang w:val="en-GB" w:eastAsia="en-GB" w:bidi="ar-SA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AB67ED5" wp14:editId="662C6C45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  <w:r w:rsidR="00324FD3">
            <w:t>Ú</w:t>
          </w:r>
          <w:r w:rsidR="00324FD3" w:rsidRPr="0066147A">
            <w:t xml:space="preserve">ltimas informações </w:t>
          </w:r>
          <w:r>
            <w:t xml:space="preserve">do Sistema de Alerta Rápido da União Europeia </w:t>
          </w:r>
        </w:p>
      </w:tc>
      <w:tc>
        <w:tcPr>
          <w:tcW w:w="3294" w:type="dxa"/>
          <w:vAlign w:val="bottom"/>
        </w:tcPr>
        <w:p w:rsidR="00BF1E3B" w:rsidRDefault="00114F44" w:rsidP="00324FD3">
          <w:pPr>
            <w:pStyle w:val="newsReference"/>
            <w:jc w:val="right"/>
          </w:pPr>
          <w:r>
            <w:t>9.3.2015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1CE3"/>
    <w:multiLevelType w:val="hybridMultilevel"/>
    <w:tmpl w:val="03B6D122"/>
    <w:lvl w:ilvl="0" w:tplc="A782B8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AC2"/>
    <w:multiLevelType w:val="hybridMultilevel"/>
    <w:tmpl w:val="CC1C0AD6"/>
    <w:lvl w:ilvl="0" w:tplc="CC3E085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7"/>
    <w:rsid w:val="00000961"/>
    <w:rsid w:val="0001264B"/>
    <w:rsid w:val="00014E8E"/>
    <w:rsid w:val="00017E29"/>
    <w:rsid w:val="00027C48"/>
    <w:rsid w:val="00034F17"/>
    <w:rsid w:val="00036DAA"/>
    <w:rsid w:val="000504C4"/>
    <w:rsid w:val="000535B7"/>
    <w:rsid w:val="00067DD3"/>
    <w:rsid w:val="0008626C"/>
    <w:rsid w:val="000C55E2"/>
    <w:rsid w:val="000C6200"/>
    <w:rsid w:val="000E5821"/>
    <w:rsid w:val="00105BFC"/>
    <w:rsid w:val="00107C96"/>
    <w:rsid w:val="00114F44"/>
    <w:rsid w:val="00117713"/>
    <w:rsid w:val="00123396"/>
    <w:rsid w:val="00142037"/>
    <w:rsid w:val="00162B6A"/>
    <w:rsid w:val="00172A72"/>
    <w:rsid w:val="0017713E"/>
    <w:rsid w:val="001800D0"/>
    <w:rsid w:val="00186483"/>
    <w:rsid w:val="00187929"/>
    <w:rsid w:val="0019130A"/>
    <w:rsid w:val="001A1DFC"/>
    <w:rsid w:val="001A3338"/>
    <w:rsid w:val="001C795A"/>
    <w:rsid w:val="001D5C26"/>
    <w:rsid w:val="001F70B4"/>
    <w:rsid w:val="00223753"/>
    <w:rsid w:val="00241A24"/>
    <w:rsid w:val="002514B1"/>
    <w:rsid w:val="00253073"/>
    <w:rsid w:val="002557B0"/>
    <w:rsid w:val="002646E4"/>
    <w:rsid w:val="00264C84"/>
    <w:rsid w:val="0026793D"/>
    <w:rsid w:val="0027252D"/>
    <w:rsid w:val="0028141E"/>
    <w:rsid w:val="002948E2"/>
    <w:rsid w:val="00296A55"/>
    <w:rsid w:val="002A61F7"/>
    <w:rsid w:val="002B05CE"/>
    <w:rsid w:val="002B45AC"/>
    <w:rsid w:val="002E183E"/>
    <w:rsid w:val="002F4635"/>
    <w:rsid w:val="003036C1"/>
    <w:rsid w:val="00324FD3"/>
    <w:rsid w:val="00326D1D"/>
    <w:rsid w:val="0033158E"/>
    <w:rsid w:val="00354659"/>
    <w:rsid w:val="0036121D"/>
    <w:rsid w:val="00374AD4"/>
    <w:rsid w:val="00380ED6"/>
    <w:rsid w:val="003816C2"/>
    <w:rsid w:val="00387D02"/>
    <w:rsid w:val="003901FB"/>
    <w:rsid w:val="00394537"/>
    <w:rsid w:val="003B41B1"/>
    <w:rsid w:val="003C0395"/>
    <w:rsid w:val="003E4019"/>
    <w:rsid w:val="00410EAF"/>
    <w:rsid w:val="004137B0"/>
    <w:rsid w:val="00420D47"/>
    <w:rsid w:val="004221D3"/>
    <w:rsid w:val="00431D17"/>
    <w:rsid w:val="0044111C"/>
    <w:rsid w:val="00445080"/>
    <w:rsid w:val="0045468D"/>
    <w:rsid w:val="00455E47"/>
    <w:rsid w:val="00473C87"/>
    <w:rsid w:val="004847FB"/>
    <w:rsid w:val="00487571"/>
    <w:rsid w:val="004A2647"/>
    <w:rsid w:val="004C249A"/>
    <w:rsid w:val="004C3028"/>
    <w:rsid w:val="004C4E48"/>
    <w:rsid w:val="004C69D1"/>
    <w:rsid w:val="004D6E0C"/>
    <w:rsid w:val="004F7E64"/>
    <w:rsid w:val="00501C3B"/>
    <w:rsid w:val="005146EE"/>
    <w:rsid w:val="00520EF1"/>
    <w:rsid w:val="00542CEE"/>
    <w:rsid w:val="0054626E"/>
    <w:rsid w:val="005506E0"/>
    <w:rsid w:val="00573F11"/>
    <w:rsid w:val="00575AC6"/>
    <w:rsid w:val="0058673D"/>
    <w:rsid w:val="005A0DC8"/>
    <w:rsid w:val="005B05A0"/>
    <w:rsid w:val="005B0882"/>
    <w:rsid w:val="005B1B63"/>
    <w:rsid w:val="005B6E13"/>
    <w:rsid w:val="005B7C0E"/>
    <w:rsid w:val="005C4033"/>
    <w:rsid w:val="005D4B76"/>
    <w:rsid w:val="006116D9"/>
    <w:rsid w:val="006138EA"/>
    <w:rsid w:val="00623A55"/>
    <w:rsid w:val="0063677C"/>
    <w:rsid w:val="00656B61"/>
    <w:rsid w:val="0066147A"/>
    <w:rsid w:val="00666108"/>
    <w:rsid w:val="00666A63"/>
    <w:rsid w:val="00675E32"/>
    <w:rsid w:val="006930CD"/>
    <w:rsid w:val="006A49C6"/>
    <w:rsid w:val="006D0D14"/>
    <w:rsid w:val="006D5A13"/>
    <w:rsid w:val="006F3757"/>
    <w:rsid w:val="007076DE"/>
    <w:rsid w:val="00730132"/>
    <w:rsid w:val="0074590D"/>
    <w:rsid w:val="00746A52"/>
    <w:rsid w:val="0077144F"/>
    <w:rsid w:val="00773814"/>
    <w:rsid w:val="00786D35"/>
    <w:rsid w:val="00791F09"/>
    <w:rsid w:val="007955E8"/>
    <w:rsid w:val="007B026A"/>
    <w:rsid w:val="007B0E03"/>
    <w:rsid w:val="007B1CCD"/>
    <w:rsid w:val="007B4094"/>
    <w:rsid w:val="007B6F51"/>
    <w:rsid w:val="00813FB5"/>
    <w:rsid w:val="00841E86"/>
    <w:rsid w:val="00850992"/>
    <w:rsid w:val="00851CD6"/>
    <w:rsid w:val="00860810"/>
    <w:rsid w:val="00881730"/>
    <w:rsid w:val="00883382"/>
    <w:rsid w:val="00890D95"/>
    <w:rsid w:val="008A10C6"/>
    <w:rsid w:val="008A62A8"/>
    <w:rsid w:val="008C1172"/>
    <w:rsid w:val="008D54B3"/>
    <w:rsid w:val="008E5094"/>
    <w:rsid w:val="008F177B"/>
    <w:rsid w:val="008F399E"/>
    <w:rsid w:val="00902300"/>
    <w:rsid w:val="0091137A"/>
    <w:rsid w:val="00927B46"/>
    <w:rsid w:val="00937FCB"/>
    <w:rsid w:val="00955F0C"/>
    <w:rsid w:val="00974A27"/>
    <w:rsid w:val="0099769A"/>
    <w:rsid w:val="009A242E"/>
    <w:rsid w:val="009A28FB"/>
    <w:rsid w:val="009D6255"/>
    <w:rsid w:val="009E5D69"/>
    <w:rsid w:val="009F4FB0"/>
    <w:rsid w:val="00A0788A"/>
    <w:rsid w:val="00A16B77"/>
    <w:rsid w:val="00A311EF"/>
    <w:rsid w:val="00A3254D"/>
    <w:rsid w:val="00A33A6B"/>
    <w:rsid w:val="00A55302"/>
    <w:rsid w:val="00A661E2"/>
    <w:rsid w:val="00A75A14"/>
    <w:rsid w:val="00A837BC"/>
    <w:rsid w:val="00A8489C"/>
    <w:rsid w:val="00A856B7"/>
    <w:rsid w:val="00A866F3"/>
    <w:rsid w:val="00A91B93"/>
    <w:rsid w:val="00A9705B"/>
    <w:rsid w:val="00A97C2D"/>
    <w:rsid w:val="00AD0471"/>
    <w:rsid w:val="00AD7BFC"/>
    <w:rsid w:val="00AE093C"/>
    <w:rsid w:val="00AE1738"/>
    <w:rsid w:val="00AF13B3"/>
    <w:rsid w:val="00AF259D"/>
    <w:rsid w:val="00B11B73"/>
    <w:rsid w:val="00B25554"/>
    <w:rsid w:val="00B258CD"/>
    <w:rsid w:val="00B272F1"/>
    <w:rsid w:val="00B51E08"/>
    <w:rsid w:val="00B57464"/>
    <w:rsid w:val="00B61036"/>
    <w:rsid w:val="00B72DD3"/>
    <w:rsid w:val="00B7335C"/>
    <w:rsid w:val="00B92848"/>
    <w:rsid w:val="00B97BC5"/>
    <w:rsid w:val="00BB05FE"/>
    <w:rsid w:val="00BB60CF"/>
    <w:rsid w:val="00BC179A"/>
    <w:rsid w:val="00BF1E3B"/>
    <w:rsid w:val="00C02249"/>
    <w:rsid w:val="00C36BC1"/>
    <w:rsid w:val="00C61C85"/>
    <w:rsid w:val="00C628C4"/>
    <w:rsid w:val="00C63254"/>
    <w:rsid w:val="00C874C0"/>
    <w:rsid w:val="00C92969"/>
    <w:rsid w:val="00CA2FF5"/>
    <w:rsid w:val="00CB49DA"/>
    <w:rsid w:val="00CC1F19"/>
    <w:rsid w:val="00CC4FDA"/>
    <w:rsid w:val="00CC6A8B"/>
    <w:rsid w:val="00CC7274"/>
    <w:rsid w:val="00CD4BD0"/>
    <w:rsid w:val="00CE1F5C"/>
    <w:rsid w:val="00CF7113"/>
    <w:rsid w:val="00D01335"/>
    <w:rsid w:val="00D03EC6"/>
    <w:rsid w:val="00D069A8"/>
    <w:rsid w:val="00D309B4"/>
    <w:rsid w:val="00D32742"/>
    <w:rsid w:val="00D3312B"/>
    <w:rsid w:val="00D37865"/>
    <w:rsid w:val="00D57367"/>
    <w:rsid w:val="00D715D8"/>
    <w:rsid w:val="00D84AE3"/>
    <w:rsid w:val="00D92A34"/>
    <w:rsid w:val="00DB3C06"/>
    <w:rsid w:val="00E03346"/>
    <w:rsid w:val="00E321BA"/>
    <w:rsid w:val="00E57C9D"/>
    <w:rsid w:val="00E66CCD"/>
    <w:rsid w:val="00E81F3D"/>
    <w:rsid w:val="00E83FC3"/>
    <w:rsid w:val="00EA4B27"/>
    <w:rsid w:val="00EB1229"/>
    <w:rsid w:val="00EC5681"/>
    <w:rsid w:val="00EE23CC"/>
    <w:rsid w:val="00EF2538"/>
    <w:rsid w:val="00F06CDE"/>
    <w:rsid w:val="00F21CA9"/>
    <w:rsid w:val="00F24096"/>
    <w:rsid w:val="00F31EBE"/>
    <w:rsid w:val="00F379ED"/>
    <w:rsid w:val="00F414EF"/>
    <w:rsid w:val="00F47542"/>
    <w:rsid w:val="00FA4BA7"/>
    <w:rsid w:val="00FA4E91"/>
    <w:rsid w:val="00FB351B"/>
    <w:rsid w:val="00FC0187"/>
    <w:rsid w:val="00FE15C2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24FD3"/>
    <w:pPr>
      <w:tabs>
        <w:tab w:val="left" w:pos="5205"/>
      </w:tabs>
      <w:spacing w:before="200" w:after="112" w:line="22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6147A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D069A8"/>
    <w:pPr>
      <w:spacing w:after="260" w:line="260" w:lineRule="exact"/>
      <w:ind w:right="-284"/>
    </w:pPr>
    <w:rPr>
      <w:rFonts w:ascii="Arial" w:hAnsi="Arial" w:cs="Trivia Sans Book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D069A8"/>
    <w:rPr>
      <w:rFonts w:ascii="Arial" w:hAnsi="Arial" w:cs="Trivia Sans Book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20"/>
      <w:vertAlign w:val="superscript"/>
    </w:rPr>
  </w:style>
  <w:style w:type="paragraph" w:customStyle="1" w:styleId="Pa8">
    <w:name w:val="Pa8"/>
    <w:basedOn w:val="Normal"/>
    <w:next w:val="Normal"/>
    <w:uiPriority w:val="99"/>
    <w:rsid w:val="005B7C0E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customStyle="1" w:styleId="MaintextstyleBlack">
    <w:name w:val="*Main text style (Black)"/>
    <w:basedOn w:val="Normal"/>
    <w:rsid w:val="00B92848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24FD3"/>
    <w:pPr>
      <w:tabs>
        <w:tab w:val="left" w:pos="5205"/>
      </w:tabs>
      <w:spacing w:before="200" w:after="112" w:line="220" w:lineRule="exact"/>
    </w:pPr>
    <w:rPr>
      <w:rFonts w:ascii="Arial" w:hAnsi="Arial"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6147A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D069A8"/>
    <w:pPr>
      <w:spacing w:after="260" w:line="260" w:lineRule="exact"/>
      <w:ind w:right="-284"/>
    </w:pPr>
    <w:rPr>
      <w:rFonts w:ascii="Arial" w:hAnsi="Arial" w:cs="Trivia Sans Book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D069A8"/>
    <w:rPr>
      <w:rFonts w:ascii="Arial" w:hAnsi="Arial" w:cs="Trivia Sans Book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color w:val="000000" w:themeColor="text1"/>
      <w:sz w:val="17"/>
      <w:szCs w:val="20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color w:val="000000" w:themeColor="text1"/>
      <w:sz w:val="17"/>
      <w:szCs w:val="20"/>
      <w:vertAlign w:val="superscript"/>
    </w:rPr>
  </w:style>
  <w:style w:type="paragraph" w:customStyle="1" w:styleId="Pa8">
    <w:name w:val="Pa8"/>
    <w:basedOn w:val="Normal"/>
    <w:next w:val="Normal"/>
    <w:uiPriority w:val="99"/>
    <w:rsid w:val="005B7C0E"/>
    <w:pPr>
      <w:autoSpaceDE w:val="0"/>
      <w:autoSpaceDN w:val="0"/>
      <w:adjustRightInd w:val="0"/>
      <w:spacing w:after="0" w:line="171" w:lineRule="atLeast"/>
    </w:pPr>
    <w:rPr>
      <w:rFonts w:ascii="Trivia Sans Book" w:hAnsi="Trivia Sans Book"/>
      <w:sz w:val="24"/>
      <w:szCs w:val="24"/>
    </w:rPr>
  </w:style>
  <w:style w:type="paragraph" w:customStyle="1" w:styleId="MaintextstyleBlack">
    <w:name w:val="*Main text style (Black)"/>
    <w:basedOn w:val="Normal"/>
    <w:rsid w:val="00B92848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publications/risk-assessme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odc.org/unodc/en/commissions/CND/session/58_Session_2015/CND-58-Session_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/publications/2015/new-psychoactive-substan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1FA1-3247-4DAC-9F0C-815ABC6A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4281</Characters>
  <Application>Microsoft Office Word</Application>
  <DocSecurity>0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Translation Centre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5</cp:revision>
  <cp:lastPrinted>2015-03-06T12:14:00Z</cp:lastPrinted>
  <dcterms:created xsi:type="dcterms:W3CDTF">2015-03-09T11:24:00Z</dcterms:created>
  <dcterms:modified xsi:type="dcterms:W3CDTF">2015-03-09T13:07:00Z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