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5047"/>
        <w:gridCol w:w="5778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r>
              <w:rPr>
                <w:noProof/>
                <w:lang w:eastAsia="en-GB"/>
              </w:rPr>
              <w:drawing>
                <wp:inline distT="0" distB="0" distL="0" distR="0" wp14:anchorId="21EA49D6" wp14:editId="341F61E5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32FB6F26" wp14:editId="72E3E04A">
                  <wp:extent cx="7562850" cy="923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5506E0" w:rsidRDefault="005506E0" w:rsidP="00A837BC">
      <w:pPr>
        <w:pStyle w:val="newsTitle"/>
        <w:rPr>
          <w:b/>
        </w:rPr>
      </w:pPr>
      <w:r w:rsidRPr="005506E0">
        <w:t xml:space="preserve">EMCDDA at </w:t>
      </w:r>
      <w:r w:rsidR="006F3757">
        <w:t xml:space="preserve">2015 </w:t>
      </w:r>
      <w:r w:rsidRPr="005506E0">
        <w:t>U</w:t>
      </w:r>
      <w:r w:rsidR="00B258CD">
        <w:t xml:space="preserve">nited nations </w:t>
      </w:r>
      <w:r w:rsidRPr="005506E0">
        <w:t xml:space="preserve">Commission on narcotic </w:t>
      </w:r>
      <w:r w:rsidR="00142037" w:rsidRPr="005506E0">
        <w:t>DRUGS —</w:t>
      </w:r>
      <w:r w:rsidR="00142037">
        <w:t xml:space="preserve"> vienna</w:t>
      </w:r>
    </w:p>
    <w:p w:rsidR="00A16B77" w:rsidRPr="00FA4BA7" w:rsidRDefault="005506E0" w:rsidP="00FA4BA7">
      <w:pPr>
        <w:pStyle w:val="newsSubTitle"/>
      </w:pPr>
      <w:r>
        <w:rPr>
          <w:rFonts w:cs="Arial"/>
          <w:color w:val="000000"/>
        </w:rPr>
        <w:t xml:space="preserve">EMCDDA </w:t>
      </w:r>
      <w:r>
        <w:t xml:space="preserve">presents latest update </w:t>
      </w:r>
      <w:r w:rsidR="00A91B93">
        <w:t xml:space="preserve">on ‘new drugs’ </w:t>
      </w:r>
      <w:r w:rsidR="00CD4BD0">
        <w:t xml:space="preserve">from EU Early Warning System </w:t>
      </w:r>
    </w:p>
    <w:p w:rsidR="00B258CD" w:rsidRDefault="00B92848" w:rsidP="00D069A8">
      <w:pPr>
        <w:pStyle w:val="newsContent"/>
      </w:pPr>
      <w:r w:rsidRPr="00FA4BA7">
        <w:t>(</w:t>
      </w:r>
      <w:r w:rsidR="004C4E48">
        <w:t>9</w:t>
      </w:r>
      <w:r w:rsidRPr="00FA4BA7">
        <w:t>.</w:t>
      </w:r>
      <w:r w:rsidR="00656B61">
        <w:t>3</w:t>
      </w:r>
      <w:r w:rsidRPr="00FA4BA7">
        <w:t>.</w:t>
      </w:r>
      <w:r w:rsidRPr="00C61C85">
        <w:t>2015,</w:t>
      </w:r>
      <w:r>
        <w:t xml:space="preserve"> LISBON</w:t>
      </w:r>
      <w:r w:rsidR="005506E0">
        <w:t>/VIENNA</w:t>
      </w:r>
      <w:r>
        <w:t xml:space="preserve">) </w:t>
      </w:r>
      <w:r w:rsidR="00CD4BD0">
        <w:t xml:space="preserve">New psychoactive substances </w:t>
      </w:r>
      <w:r w:rsidR="00027C48">
        <w:t>(NPS</w:t>
      </w:r>
      <w:r w:rsidR="004C69D1">
        <w:t xml:space="preserve"> or ‘new drugs’</w:t>
      </w:r>
      <w:r w:rsidR="00027C48">
        <w:t xml:space="preserve">) </w:t>
      </w:r>
      <w:r w:rsidR="004C4E48">
        <w:t xml:space="preserve">were detected in the European </w:t>
      </w:r>
      <w:r w:rsidR="00027C48">
        <w:t>U</w:t>
      </w:r>
      <w:r w:rsidR="004C4E48">
        <w:t>nion last year at the rate of around two per week</w:t>
      </w:r>
      <w:r w:rsidR="0054626E">
        <w:t>, according to a</w:t>
      </w:r>
      <w:r w:rsidR="00027C48">
        <w:t xml:space="preserve">n update issued </w:t>
      </w:r>
      <w:r w:rsidR="004C4E48">
        <w:t xml:space="preserve">today </w:t>
      </w:r>
      <w:r w:rsidR="00894BD8">
        <w:t>by</w:t>
      </w:r>
      <w:r w:rsidR="004C4E48">
        <w:t xml:space="preserve"> the </w:t>
      </w:r>
      <w:r w:rsidR="004C4E48" w:rsidRPr="004C4E48">
        <w:rPr>
          <w:b/>
        </w:rPr>
        <w:t>EU drugs agency (EMCDDA)</w:t>
      </w:r>
      <w:r w:rsidR="00027C48">
        <w:t>(</w:t>
      </w:r>
      <w:r w:rsidR="00027C48" w:rsidRPr="00027C48">
        <w:rPr>
          <w:vertAlign w:val="superscript"/>
        </w:rPr>
        <w:t>1</w:t>
      </w:r>
      <w:r w:rsidR="00027C48">
        <w:t>).</w:t>
      </w:r>
      <w:r w:rsidR="004C4E48">
        <w:t xml:space="preserve"> </w:t>
      </w:r>
      <w:r w:rsidR="00027C48">
        <w:t xml:space="preserve">A total of 101 new substances were reported to the </w:t>
      </w:r>
      <w:r w:rsidR="0054626E" w:rsidRPr="00027C48">
        <w:rPr>
          <w:b/>
        </w:rPr>
        <w:t>EU Early Warning System</w:t>
      </w:r>
      <w:r w:rsidR="00027C48">
        <w:t xml:space="preserve"> </w:t>
      </w:r>
      <w:r w:rsidR="00CE1F5C" w:rsidRPr="00786D35">
        <w:rPr>
          <w:b/>
        </w:rPr>
        <w:t>(EWS)</w:t>
      </w:r>
      <w:r w:rsidR="00F379ED">
        <w:t xml:space="preserve"> </w:t>
      </w:r>
      <w:r w:rsidR="0054626E">
        <w:t>in 2014</w:t>
      </w:r>
      <w:r w:rsidR="006D0D14">
        <w:t xml:space="preserve"> (</w:t>
      </w:r>
      <w:r w:rsidR="00B258CD">
        <w:t xml:space="preserve">up from </w:t>
      </w:r>
      <w:r w:rsidR="0054626E">
        <w:t>81 in 2013</w:t>
      </w:r>
      <w:r w:rsidR="006D0D14">
        <w:t>),</w:t>
      </w:r>
      <w:r w:rsidR="00786D35">
        <w:t xml:space="preserve"> continuing </w:t>
      </w:r>
      <w:r w:rsidR="006D0D14">
        <w:t>an</w:t>
      </w:r>
      <w:r w:rsidR="00786D35">
        <w:t xml:space="preserve"> upward trend </w:t>
      </w:r>
      <w:r w:rsidR="00A91B93">
        <w:t>in</w:t>
      </w:r>
      <w:r w:rsidR="00786D35">
        <w:t xml:space="preserve"> substances </w:t>
      </w:r>
      <w:r w:rsidR="00A91B93">
        <w:t>notified</w:t>
      </w:r>
      <w:r w:rsidR="00786D35">
        <w:t xml:space="preserve"> in </w:t>
      </w:r>
      <w:r w:rsidR="00A91B93">
        <w:t xml:space="preserve">a </w:t>
      </w:r>
      <w:r w:rsidR="00786D35">
        <w:t xml:space="preserve">single year </w:t>
      </w:r>
      <w:r w:rsidR="00BB05FE">
        <w:t>(</w:t>
      </w:r>
      <w:r w:rsidR="00BB05FE" w:rsidRPr="00410EAF">
        <w:rPr>
          <w:vertAlign w:val="superscript"/>
        </w:rPr>
        <w:t>2</w:t>
      </w:r>
      <w:r w:rsidR="00BB05FE">
        <w:t>)</w:t>
      </w:r>
      <w:r w:rsidR="00B258CD">
        <w:t xml:space="preserve">. This brings the total number of substances being monitored by the </w:t>
      </w:r>
      <w:r w:rsidR="004C69D1">
        <w:t xml:space="preserve">agency </w:t>
      </w:r>
      <w:r w:rsidR="00B258CD">
        <w:t xml:space="preserve">to </w:t>
      </w:r>
      <w:r w:rsidR="00F379ED">
        <w:t>over</w:t>
      </w:r>
      <w:r w:rsidR="00B258CD">
        <w:t xml:space="preserve"> 450, with more than half of th</w:t>
      </w:r>
      <w:r w:rsidR="00F379ED">
        <w:t xml:space="preserve">at figure </w:t>
      </w:r>
      <w:r w:rsidR="00B258CD">
        <w:t xml:space="preserve">being </w:t>
      </w:r>
      <w:r w:rsidR="00394537">
        <w:t xml:space="preserve">identified </w:t>
      </w:r>
      <w:r w:rsidR="00B258CD">
        <w:t xml:space="preserve">in the last three years alone. </w:t>
      </w:r>
    </w:p>
    <w:p w:rsidR="0074590D" w:rsidRDefault="00B258CD" w:rsidP="00D069A8">
      <w:pPr>
        <w:pStyle w:val="newsContent"/>
      </w:pPr>
      <w:r>
        <w:t xml:space="preserve">The </w:t>
      </w:r>
      <w:r w:rsidR="00F379ED">
        <w:t>report is</w:t>
      </w:r>
      <w:r>
        <w:t xml:space="preserve"> released to coincide with the</w:t>
      </w:r>
      <w:r w:rsidR="0074590D">
        <w:t xml:space="preserve"> opening of the</w:t>
      </w:r>
      <w:r>
        <w:t xml:space="preserve"> 58</w:t>
      </w:r>
      <w:r w:rsidRPr="00B258CD">
        <w:rPr>
          <w:vertAlign w:val="superscript"/>
        </w:rPr>
        <w:t>th</w:t>
      </w:r>
      <w:r>
        <w:t xml:space="preserve"> session of the </w:t>
      </w:r>
      <w:r w:rsidRPr="00B258CD">
        <w:rPr>
          <w:b/>
        </w:rPr>
        <w:t>UN Commission on Narcotic Drugs</w:t>
      </w:r>
      <w:r>
        <w:t xml:space="preserve"> (CND)</w:t>
      </w:r>
      <w:r w:rsidR="00F379ED">
        <w:t xml:space="preserve"> in Vienna,</w:t>
      </w:r>
      <w:r>
        <w:t xml:space="preserve"> where the </w:t>
      </w:r>
      <w:r w:rsidRPr="00B258CD">
        <w:rPr>
          <w:b/>
        </w:rPr>
        <w:t>EMCDDA</w:t>
      </w:r>
      <w:r>
        <w:t xml:space="preserve"> is participating </w:t>
      </w:r>
      <w:r w:rsidR="00123396">
        <w:t xml:space="preserve">alongside </w:t>
      </w:r>
      <w:r w:rsidR="004C69D1">
        <w:t xml:space="preserve">the </w:t>
      </w:r>
      <w:r w:rsidR="004C69D1" w:rsidRPr="004C69D1">
        <w:rPr>
          <w:b/>
        </w:rPr>
        <w:t>EU delegation</w:t>
      </w:r>
      <w:r w:rsidR="00BB05FE">
        <w:rPr>
          <w:b/>
        </w:rPr>
        <w:t xml:space="preserve"> </w:t>
      </w:r>
      <w:r w:rsidR="00BB05FE">
        <w:t>(</w:t>
      </w:r>
      <w:r w:rsidR="00BB05FE">
        <w:rPr>
          <w:vertAlign w:val="superscript"/>
        </w:rPr>
        <w:t>3</w:t>
      </w:r>
      <w:r w:rsidR="00BB05FE">
        <w:t>)</w:t>
      </w:r>
      <w:r w:rsidR="004C69D1">
        <w:t xml:space="preserve">. </w:t>
      </w:r>
      <w:r w:rsidR="00CE1F5C">
        <w:t xml:space="preserve">It is based </w:t>
      </w:r>
      <w:r w:rsidR="00410EAF">
        <w:t>o</w:t>
      </w:r>
      <w:r w:rsidR="00CE1F5C">
        <w:t xml:space="preserve">n an analysis of information collected by the </w:t>
      </w:r>
      <w:r w:rsidR="00CE1F5C" w:rsidRPr="00114F44">
        <w:rPr>
          <w:b/>
        </w:rPr>
        <w:t>EWS</w:t>
      </w:r>
      <w:r w:rsidR="00410EAF">
        <w:t xml:space="preserve"> from the </w:t>
      </w:r>
      <w:r w:rsidR="00410EAF" w:rsidRPr="00410EAF">
        <w:rPr>
          <w:b/>
        </w:rPr>
        <w:t xml:space="preserve">28 EU Member States, Turkey </w:t>
      </w:r>
      <w:r w:rsidR="00410EAF" w:rsidRPr="00410EAF">
        <w:t>and</w:t>
      </w:r>
      <w:r w:rsidR="00410EAF" w:rsidRPr="00410EAF">
        <w:rPr>
          <w:b/>
        </w:rPr>
        <w:t xml:space="preserve"> Norway</w:t>
      </w:r>
      <w:r w:rsidR="00BB05FE" w:rsidRPr="00BB05FE">
        <w:t>.</w:t>
      </w:r>
      <w:r w:rsidR="00410EAF">
        <w:t xml:space="preserve"> </w:t>
      </w:r>
    </w:p>
    <w:p w:rsidR="00A91B93" w:rsidRDefault="006D0D14" w:rsidP="00D069A8">
      <w:pPr>
        <w:pStyle w:val="newsContent"/>
      </w:pPr>
      <w:r>
        <w:t xml:space="preserve">In 2014, the list of substances reported was dominated once again by two groups: </w:t>
      </w:r>
      <w:r w:rsidRPr="006D0D14">
        <w:rPr>
          <w:b/>
        </w:rPr>
        <w:t>synthetic cathinones</w:t>
      </w:r>
      <w:r>
        <w:t xml:space="preserve"> </w:t>
      </w:r>
      <w:r w:rsidR="00D069A8">
        <w:t xml:space="preserve">        </w:t>
      </w:r>
      <w:r>
        <w:t>(31 substances)</w:t>
      </w:r>
      <w:r w:rsidR="00431D17">
        <w:t xml:space="preserve"> </w:t>
      </w:r>
      <w:r>
        <w:t xml:space="preserve">and </w:t>
      </w:r>
      <w:r w:rsidRPr="006D0D14">
        <w:rPr>
          <w:b/>
        </w:rPr>
        <w:t>synthetic ca</w:t>
      </w:r>
      <w:r>
        <w:rPr>
          <w:b/>
        </w:rPr>
        <w:t xml:space="preserve">nnabinoids </w:t>
      </w:r>
      <w:r w:rsidRPr="006D0D14">
        <w:t>(</w:t>
      </w:r>
      <w:r>
        <w:t>30 substances</w:t>
      </w:r>
      <w:r w:rsidRPr="006D0D14">
        <w:t>)</w:t>
      </w:r>
      <w:r w:rsidR="004C249A">
        <w:t xml:space="preserve"> </w:t>
      </w:r>
      <w:r w:rsidR="00431D17">
        <w:t xml:space="preserve">— </w:t>
      </w:r>
      <w:r w:rsidR="004C249A">
        <w:t xml:space="preserve">respectively </w:t>
      </w:r>
      <w:r w:rsidR="00431D17">
        <w:t xml:space="preserve">sold as legal replacements for </w:t>
      </w:r>
      <w:r w:rsidR="004C249A">
        <w:t xml:space="preserve">stimulants and </w:t>
      </w:r>
      <w:r w:rsidR="00431D17">
        <w:t>cannabis</w:t>
      </w:r>
      <w:r>
        <w:t>.</w:t>
      </w:r>
      <w:r w:rsidR="00123396">
        <w:t xml:space="preserve"> </w:t>
      </w:r>
      <w:r w:rsidR="00A91B93">
        <w:t>These now represent the two largest groups monitored by the EWS and</w:t>
      </w:r>
      <w:r w:rsidR="00394537">
        <w:t>,</w:t>
      </w:r>
      <w:r w:rsidR="00A91B93">
        <w:t xml:space="preserve"> together, make up almost two-thirds of the new drugs notified in 2014</w:t>
      </w:r>
      <w:r w:rsidR="00C92969">
        <w:t>.</w:t>
      </w:r>
    </w:p>
    <w:p w:rsidR="0077144F" w:rsidRDefault="00860810" w:rsidP="00D069A8">
      <w:pPr>
        <w:pStyle w:val="newsContent"/>
      </w:pPr>
      <w:r>
        <w:t>Latest d</w:t>
      </w:r>
      <w:r w:rsidR="000504C4">
        <w:t xml:space="preserve">ata on seizures </w:t>
      </w:r>
      <w:r w:rsidR="00541871">
        <w:t xml:space="preserve">suggest </w:t>
      </w:r>
      <w:r w:rsidR="000A0E3F">
        <w:t xml:space="preserve">a </w:t>
      </w:r>
      <w:r w:rsidR="000504C4">
        <w:t xml:space="preserve">growth </w:t>
      </w:r>
      <w:r w:rsidR="0071269C">
        <w:t>in</w:t>
      </w:r>
      <w:r w:rsidR="000504C4">
        <w:t xml:space="preserve"> the NPS market. </w:t>
      </w:r>
      <w:r w:rsidR="00927B46">
        <w:t xml:space="preserve">Between 2008 and 2013, there was a seven-fold increase in the number of NPS seizures across Europe. </w:t>
      </w:r>
      <w:r w:rsidR="00EA4B27">
        <w:t xml:space="preserve">Almost 47 000 seizures of NPS, amounting to </w:t>
      </w:r>
      <w:r w:rsidR="00394537">
        <w:t xml:space="preserve">more than </w:t>
      </w:r>
      <w:r w:rsidR="00EA4B27">
        <w:t>3.1 tonnes</w:t>
      </w:r>
      <w:r>
        <w:t>,</w:t>
      </w:r>
      <w:r w:rsidR="00EA4B27">
        <w:t xml:space="preserve"> were reported in Europe i</w:t>
      </w:r>
      <w:r w:rsidR="00851CD6">
        <w:t>n 2013</w:t>
      </w:r>
      <w:r w:rsidR="00EA4B27">
        <w:t>.</w:t>
      </w:r>
      <w:r w:rsidR="00851CD6">
        <w:t xml:space="preserve"> </w:t>
      </w:r>
      <w:r w:rsidR="00431D17" w:rsidRPr="00431D17">
        <w:t>Synthetic cannabinoids</w:t>
      </w:r>
      <w:r w:rsidR="00431D17">
        <w:t xml:space="preserve"> accounted for the majority of these figures</w:t>
      </w:r>
      <w:r w:rsidR="00927B46">
        <w:t xml:space="preserve"> (</w:t>
      </w:r>
      <w:r w:rsidR="00431D17">
        <w:t>21 000 seizures</w:t>
      </w:r>
      <w:r w:rsidR="00927B46">
        <w:t>;</w:t>
      </w:r>
      <w:r w:rsidR="00431D17">
        <w:t xml:space="preserve"> 1.6 tonnes</w:t>
      </w:r>
      <w:r w:rsidR="00326D1D">
        <w:t>)</w:t>
      </w:r>
      <w:r w:rsidR="00AD0471">
        <w:t xml:space="preserve">, </w:t>
      </w:r>
      <w:r w:rsidR="00326D1D">
        <w:t xml:space="preserve">followed by </w:t>
      </w:r>
      <w:r w:rsidR="00AD0471">
        <w:t>s</w:t>
      </w:r>
      <w:r w:rsidR="00431D17" w:rsidRPr="00431D17">
        <w:t>ynthetic ca</w:t>
      </w:r>
      <w:r w:rsidR="00431D17">
        <w:t xml:space="preserve">thinones </w:t>
      </w:r>
      <w:r w:rsidR="00927B46">
        <w:t>(</w:t>
      </w:r>
      <w:r w:rsidR="00431D17">
        <w:t>11 000 seizures</w:t>
      </w:r>
      <w:r w:rsidR="00927B46">
        <w:t>;</w:t>
      </w:r>
      <w:r w:rsidR="00431D17">
        <w:t xml:space="preserve"> 1.1 tonnes</w:t>
      </w:r>
      <w:r w:rsidR="00927B46">
        <w:t>)</w:t>
      </w:r>
      <w:r w:rsidR="00431D17">
        <w:t xml:space="preserve">. </w:t>
      </w:r>
      <w:r w:rsidR="009E5D69" w:rsidRPr="0058673D">
        <w:t xml:space="preserve">Many </w:t>
      </w:r>
      <w:r w:rsidR="009E5D69">
        <w:t>NPS</w:t>
      </w:r>
      <w:r w:rsidR="009E5D69" w:rsidRPr="0058673D">
        <w:t xml:space="preserve"> are produced in bulk by chemical companies based </w:t>
      </w:r>
      <w:r w:rsidR="00B82332">
        <w:t>outside Europe</w:t>
      </w:r>
      <w:r w:rsidR="009E5D69" w:rsidRPr="0058673D">
        <w:t xml:space="preserve">, and shipped to Europe by air freight, where they are processed, packaged </w:t>
      </w:r>
      <w:r w:rsidR="009E5D69">
        <w:t>and then sold to consumers</w:t>
      </w:r>
      <w:r w:rsidR="009E5D69" w:rsidRPr="0058673D">
        <w:t>.</w:t>
      </w:r>
      <w:bookmarkStart w:id="0" w:name="_GoBack"/>
      <w:bookmarkEnd w:id="0"/>
    </w:p>
    <w:p w:rsidR="00890D95" w:rsidRDefault="00890D95" w:rsidP="00D069A8">
      <w:pPr>
        <w:pStyle w:val="newsContent"/>
      </w:pPr>
      <w:r>
        <w:t>In addition to</w:t>
      </w:r>
      <w:r w:rsidR="00394537">
        <w:t xml:space="preserve"> monitoring </w:t>
      </w:r>
      <w:r>
        <w:t xml:space="preserve">new drugs entering the market, the </w:t>
      </w:r>
      <w:r w:rsidRPr="00890D95">
        <w:rPr>
          <w:b/>
        </w:rPr>
        <w:t>EWS</w:t>
      </w:r>
      <w:r>
        <w:t xml:space="preserve"> also identifies signals of serious harms and responds as necessary. </w:t>
      </w:r>
      <w:r w:rsidR="0077144F">
        <w:t>In</w:t>
      </w:r>
      <w:r w:rsidR="0077144F" w:rsidRPr="0077144F">
        <w:t xml:space="preserve"> 2014</w:t>
      </w:r>
      <w:r w:rsidR="0077144F">
        <w:t>,</w:t>
      </w:r>
      <w:r w:rsidR="0077144F" w:rsidRPr="0077144F">
        <w:t xml:space="preserve"> serious harms </w:t>
      </w:r>
      <w:r w:rsidR="0077144F">
        <w:t xml:space="preserve">demanding </w:t>
      </w:r>
      <w:r w:rsidR="0077144F" w:rsidRPr="0077144F">
        <w:t xml:space="preserve">urgent attention led to 16 </w:t>
      </w:r>
      <w:r w:rsidR="00D069A8">
        <w:t xml:space="preserve">public health </w:t>
      </w:r>
      <w:r w:rsidR="0077144F">
        <w:t>alerts</w:t>
      </w:r>
      <w:r w:rsidR="00D069A8">
        <w:t>, while six</w:t>
      </w:r>
      <w:r w:rsidR="000C55E2">
        <w:t xml:space="preserve"> </w:t>
      </w:r>
      <w:r w:rsidR="00D069A8">
        <w:t xml:space="preserve">risk assessments were conducted </w:t>
      </w:r>
      <w:r w:rsidR="000C55E2">
        <w:t xml:space="preserve">by the agency’s extended </w:t>
      </w:r>
      <w:r w:rsidR="000C55E2" w:rsidRPr="0077144F">
        <w:rPr>
          <w:b/>
        </w:rPr>
        <w:t>Scientific Committee</w:t>
      </w:r>
      <w:r w:rsidR="000C55E2">
        <w:rPr>
          <w:b/>
        </w:rPr>
        <w:t xml:space="preserve"> </w:t>
      </w:r>
      <w:r w:rsidR="000C55E2" w:rsidRPr="0077144F">
        <w:t>(</w:t>
      </w:r>
      <w:r w:rsidR="009E5D69">
        <w:rPr>
          <w:vertAlign w:val="superscript"/>
        </w:rPr>
        <w:t>4</w:t>
      </w:r>
      <w:r w:rsidR="000C55E2" w:rsidRPr="0077144F">
        <w:t>).</w:t>
      </w:r>
      <w:r w:rsidR="000C55E2">
        <w:t xml:space="preserve"> </w:t>
      </w:r>
    </w:p>
    <w:p w:rsidR="00D069A8" w:rsidRDefault="00326D1D" w:rsidP="00D069A8">
      <w:pPr>
        <w:pStyle w:val="newsContent"/>
      </w:pPr>
      <w:r>
        <w:t xml:space="preserve">Among the </w:t>
      </w:r>
      <w:r w:rsidR="00EA4B27">
        <w:t xml:space="preserve">public health </w:t>
      </w:r>
      <w:r w:rsidR="00D069A8">
        <w:t>concern</w:t>
      </w:r>
      <w:r>
        <w:t xml:space="preserve">s highlighted in the report are new </w:t>
      </w:r>
      <w:r w:rsidR="00394537">
        <w:t xml:space="preserve">synthetic </w:t>
      </w:r>
      <w:r>
        <w:t xml:space="preserve">opioids — </w:t>
      </w:r>
      <w:r w:rsidR="00EA4B27">
        <w:t>often highly potent and sold as heroin to unsuspecting users</w:t>
      </w:r>
      <w:r w:rsidR="00394537">
        <w:t xml:space="preserve"> —</w:t>
      </w:r>
      <w:r w:rsidR="00EA4B27">
        <w:t xml:space="preserve"> posing a high risk of overdose. </w:t>
      </w:r>
      <w:r w:rsidR="00890D95">
        <w:t xml:space="preserve">Three of the five opioids reported in 2014 were fentanyls, a family of drugs that have caused hundreds of deaths in </w:t>
      </w:r>
      <w:r w:rsidR="00890D95" w:rsidRPr="00D069A8">
        <w:rPr>
          <w:b/>
        </w:rPr>
        <w:t>Europe</w:t>
      </w:r>
      <w:r w:rsidR="00890D95">
        <w:t xml:space="preserve"> and the </w:t>
      </w:r>
      <w:r w:rsidR="00D069A8" w:rsidRPr="00D069A8">
        <w:rPr>
          <w:b/>
        </w:rPr>
        <w:t>US</w:t>
      </w:r>
      <w:r w:rsidR="00D069A8">
        <w:t xml:space="preserve">. </w:t>
      </w:r>
    </w:p>
    <w:p w:rsidR="00326D1D" w:rsidRPr="00CF7113" w:rsidRDefault="00326D1D" w:rsidP="00326D1D">
      <w:pPr>
        <w:autoSpaceDE w:val="0"/>
        <w:autoSpaceDN w:val="0"/>
        <w:adjustRightInd w:val="0"/>
        <w:spacing w:after="260" w:line="260" w:lineRule="exact"/>
        <w:rPr>
          <w:rFonts w:ascii="Arial" w:eastAsia="SimSun" w:hAnsi="Arial" w:cs="Arial"/>
          <w:sz w:val="20"/>
          <w:szCs w:val="20"/>
          <w:lang w:eastAsia="zh-CN"/>
        </w:rPr>
      </w:pPr>
      <w:r w:rsidRPr="00114F44">
        <w:rPr>
          <w:rFonts w:ascii="Arial" w:hAnsi="Arial" w:cs="Arial"/>
          <w:b/>
          <w:sz w:val="20"/>
          <w:szCs w:val="20"/>
        </w:rPr>
        <w:t>EMCDDA Director Wolfgang Götz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C249A">
        <w:rPr>
          <w:rFonts w:ascii="Arial" w:hAnsi="Arial" w:cs="Arial"/>
          <w:sz w:val="20"/>
          <w:szCs w:val="20"/>
        </w:rPr>
        <w:t>sa</w:t>
      </w:r>
      <w:r w:rsidR="00D715D8">
        <w:rPr>
          <w:rFonts w:ascii="Arial" w:hAnsi="Arial" w:cs="Arial"/>
          <w:sz w:val="20"/>
          <w:szCs w:val="20"/>
        </w:rPr>
        <w:t>ys</w:t>
      </w:r>
      <w:r w:rsidRPr="004C249A">
        <w:rPr>
          <w:rFonts w:ascii="Arial" w:hAnsi="Arial" w:cs="Arial"/>
          <w:sz w:val="20"/>
          <w:szCs w:val="20"/>
        </w:rPr>
        <w:t>: ‘</w:t>
      </w:r>
      <w:r w:rsidR="009E5D69" w:rsidRPr="004C249A">
        <w:rPr>
          <w:rFonts w:ascii="Arial" w:hAnsi="Arial" w:cs="Arial"/>
          <w:sz w:val="20"/>
          <w:szCs w:val="20"/>
        </w:rPr>
        <w:t>New psychoactive substances can move quickly from obscurity to infamy and cause serious harm.</w:t>
      </w:r>
      <w:r w:rsidR="009E5D69" w:rsidRPr="004C249A">
        <w:rPr>
          <w:rFonts w:ascii="Arial" w:hAnsi="Arial" w:cs="Arial"/>
          <w:color w:val="000000"/>
          <w:sz w:val="20"/>
          <w:szCs w:val="20"/>
        </w:rPr>
        <w:t xml:space="preserve"> </w:t>
      </w:r>
      <w:r w:rsidR="009E5D69">
        <w:rPr>
          <w:rFonts w:ascii="Arial" w:hAnsi="Arial" w:cs="Arial"/>
          <w:color w:val="000000"/>
          <w:sz w:val="20"/>
          <w:szCs w:val="20"/>
        </w:rPr>
        <w:t>The data presented today show how the growth in the market of these</w:t>
      </w:r>
      <w:r w:rsidRPr="004C249A">
        <w:rPr>
          <w:rFonts w:ascii="Arial" w:hAnsi="Arial" w:cs="Arial"/>
          <w:color w:val="000000"/>
          <w:sz w:val="20"/>
          <w:szCs w:val="20"/>
        </w:rPr>
        <w:t xml:space="preserve"> substance</w:t>
      </w:r>
      <w:r w:rsidR="009E5D69">
        <w:rPr>
          <w:rFonts w:ascii="Arial" w:hAnsi="Arial" w:cs="Arial"/>
          <w:color w:val="000000"/>
          <w:sz w:val="20"/>
          <w:szCs w:val="20"/>
        </w:rPr>
        <w:t xml:space="preserve">s </w:t>
      </w:r>
      <w:r w:rsidRPr="004C249A">
        <w:rPr>
          <w:rFonts w:ascii="Arial" w:hAnsi="Arial" w:cs="Arial"/>
          <w:color w:val="000000"/>
          <w:sz w:val="20"/>
          <w:szCs w:val="20"/>
        </w:rPr>
        <w:t>will continue to pose challenges for public health and drug policy in the years</w:t>
      </w:r>
      <w:r>
        <w:rPr>
          <w:rFonts w:ascii="Arial" w:hAnsi="Arial" w:cs="Arial"/>
          <w:color w:val="000000"/>
          <w:sz w:val="20"/>
          <w:szCs w:val="20"/>
        </w:rPr>
        <w:t xml:space="preserve"> to come</w:t>
      </w:r>
      <w:r w:rsidRPr="004C249A">
        <w:rPr>
          <w:rFonts w:ascii="Arial" w:hAnsi="Arial" w:cs="Arial"/>
          <w:color w:val="000000"/>
          <w:sz w:val="20"/>
          <w:szCs w:val="20"/>
        </w:rPr>
        <w:t xml:space="preserve">. These </w:t>
      </w:r>
      <w:r w:rsidR="009E5D69">
        <w:rPr>
          <w:rFonts w:ascii="Arial" w:hAnsi="Arial" w:cs="Arial"/>
          <w:color w:val="000000"/>
          <w:sz w:val="20"/>
          <w:szCs w:val="20"/>
        </w:rPr>
        <w:t xml:space="preserve">challenges </w:t>
      </w:r>
      <w:r w:rsidRPr="004C249A">
        <w:rPr>
          <w:rFonts w:ascii="Arial" w:hAnsi="Arial" w:cs="Arial"/>
          <w:color w:val="000000"/>
          <w:sz w:val="20"/>
          <w:szCs w:val="20"/>
        </w:rPr>
        <w:t xml:space="preserve">relate to the speed at which the substances appear, their open sale and the lack of information on their effects and harms. </w:t>
      </w:r>
      <w:r w:rsidR="009E5D69">
        <w:rPr>
          <w:rFonts w:ascii="Arial" w:hAnsi="Arial" w:cs="Arial"/>
          <w:color w:val="000000"/>
          <w:sz w:val="20"/>
          <w:szCs w:val="20"/>
        </w:rPr>
        <w:t>S</w:t>
      </w:r>
      <w:r w:rsidRPr="004C249A">
        <w:rPr>
          <w:rFonts w:ascii="Arial" w:hAnsi="Arial" w:cs="Arial"/>
          <w:color w:val="000000"/>
          <w:sz w:val="20"/>
          <w:szCs w:val="20"/>
        </w:rPr>
        <w:t>trong national and regional early-warning systems will play a central role in the early detection of harms and help to ensure timely public health responses.</w:t>
      </w:r>
      <w:r w:rsidRPr="004C249A">
        <w:rPr>
          <w:rFonts w:ascii="Arial" w:eastAsia="SimSun" w:hAnsi="Arial" w:cs="Arial"/>
          <w:sz w:val="20"/>
          <w:szCs w:val="20"/>
          <w:lang w:eastAsia="zh-CN"/>
        </w:rPr>
        <w:t>’</w:t>
      </w:r>
      <w:r w:rsidRPr="00CF7113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58673D" w:rsidRPr="00117713" w:rsidRDefault="00CF7113" w:rsidP="009E5D69">
      <w:pPr>
        <w:pStyle w:val="newsContent"/>
        <w:spacing w:after="0" w:line="240" w:lineRule="auto"/>
        <w:rPr>
          <w:b/>
          <w:sz w:val="16"/>
          <w:szCs w:val="16"/>
        </w:rPr>
      </w:pPr>
      <w:r w:rsidRPr="00117713">
        <w:rPr>
          <w:b/>
          <w:sz w:val="16"/>
          <w:szCs w:val="16"/>
        </w:rPr>
        <w:t>Notes</w:t>
      </w:r>
    </w:p>
    <w:p w:rsidR="000E5821" w:rsidRPr="00A837BC" w:rsidRDefault="00CF7113" w:rsidP="00473C87">
      <w:pPr>
        <w:pStyle w:val="newsContent"/>
        <w:spacing w:after="0" w:line="240" w:lineRule="auto"/>
        <w:rPr>
          <w:sz w:val="12"/>
          <w:szCs w:val="12"/>
        </w:rPr>
      </w:pPr>
      <w:r w:rsidRPr="00A837BC">
        <w:rPr>
          <w:sz w:val="12"/>
          <w:szCs w:val="12"/>
        </w:rPr>
        <w:t>(</w:t>
      </w:r>
      <w:r w:rsidRPr="00A837BC">
        <w:rPr>
          <w:sz w:val="12"/>
          <w:szCs w:val="12"/>
          <w:vertAlign w:val="superscript"/>
        </w:rPr>
        <w:t>1</w:t>
      </w:r>
      <w:r w:rsidRPr="00A837BC">
        <w:rPr>
          <w:sz w:val="12"/>
          <w:szCs w:val="12"/>
        </w:rPr>
        <w:t xml:space="preserve">) </w:t>
      </w:r>
      <w:r w:rsidRPr="00A837BC">
        <w:rPr>
          <w:i/>
          <w:sz w:val="12"/>
          <w:szCs w:val="12"/>
        </w:rPr>
        <w:t xml:space="preserve">An update from the EU Early Warning System </w:t>
      </w:r>
      <w:r w:rsidRPr="00A837BC">
        <w:rPr>
          <w:sz w:val="12"/>
          <w:szCs w:val="12"/>
        </w:rPr>
        <w:t xml:space="preserve">available </w:t>
      </w:r>
      <w:r w:rsidR="00A837BC" w:rsidRPr="00A837BC">
        <w:rPr>
          <w:sz w:val="12"/>
          <w:szCs w:val="12"/>
        </w:rPr>
        <w:t xml:space="preserve">at </w:t>
      </w:r>
      <w:hyperlink r:id="rId11" w:history="1">
        <w:r w:rsidR="00894BD8" w:rsidRPr="00205C6A">
          <w:rPr>
            <w:rStyle w:val="Hyperlink"/>
            <w:sz w:val="12"/>
            <w:szCs w:val="12"/>
          </w:rPr>
          <w:t>www.emcdda.europa.eu/publications/2015/new-psychoactive-substances</w:t>
        </w:r>
      </w:hyperlink>
      <w:r w:rsidR="00A837BC" w:rsidRPr="00A837BC">
        <w:rPr>
          <w:sz w:val="12"/>
          <w:szCs w:val="12"/>
        </w:rPr>
        <w:t xml:space="preserve">  </w:t>
      </w:r>
      <w:r w:rsidRPr="00A837BC">
        <w:rPr>
          <w:sz w:val="12"/>
          <w:szCs w:val="12"/>
        </w:rPr>
        <w:t>(</w:t>
      </w:r>
      <w:r w:rsidRPr="00A837BC">
        <w:rPr>
          <w:sz w:val="12"/>
          <w:szCs w:val="12"/>
          <w:vertAlign w:val="superscript"/>
        </w:rPr>
        <w:t>2</w:t>
      </w:r>
      <w:r w:rsidRPr="00A837BC">
        <w:rPr>
          <w:sz w:val="12"/>
          <w:szCs w:val="12"/>
        </w:rPr>
        <w:t>) 74 in 2012; 49 in 2011; 41 in 2010.</w:t>
      </w:r>
      <w:r w:rsidR="00473C87" w:rsidRPr="00A837BC">
        <w:rPr>
          <w:sz w:val="12"/>
          <w:szCs w:val="12"/>
        </w:rPr>
        <w:t xml:space="preserve"> </w:t>
      </w:r>
      <w:r w:rsidR="00276CA2">
        <w:rPr>
          <w:sz w:val="12"/>
          <w:szCs w:val="12"/>
        </w:rPr>
        <w:t xml:space="preserve">                      </w:t>
      </w:r>
      <w:r w:rsidRPr="00A837BC">
        <w:rPr>
          <w:sz w:val="12"/>
          <w:szCs w:val="12"/>
        </w:rPr>
        <w:t>(</w:t>
      </w:r>
      <w:r w:rsidRPr="00A837BC">
        <w:rPr>
          <w:sz w:val="12"/>
          <w:szCs w:val="12"/>
          <w:vertAlign w:val="superscript"/>
        </w:rPr>
        <w:t>3</w:t>
      </w:r>
      <w:r w:rsidRPr="00A837BC">
        <w:rPr>
          <w:sz w:val="12"/>
          <w:szCs w:val="12"/>
        </w:rPr>
        <w:t xml:space="preserve">) </w:t>
      </w:r>
      <w:hyperlink r:id="rId12" w:history="1">
        <w:r w:rsidRPr="00A837BC">
          <w:rPr>
            <w:rStyle w:val="Hyperlink"/>
            <w:sz w:val="12"/>
            <w:szCs w:val="12"/>
          </w:rPr>
          <w:t>www.unodc.org/unodc/en/commissions/CND/session/58_Session_2015/CND-58-Session_Index.html</w:t>
        </w:r>
      </w:hyperlink>
      <w:r w:rsidR="00A837BC">
        <w:rPr>
          <w:sz w:val="12"/>
          <w:szCs w:val="12"/>
        </w:rPr>
        <w:t xml:space="preserve"> </w:t>
      </w:r>
      <w:r w:rsidR="00A837BC" w:rsidRPr="00A837BC">
        <w:rPr>
          <w:sz w:val="12"/>
          <w:szCs w:val="12"/>
        </w:rPr>
        <w:t xml:space="preserve"> </w:t>
      </w:r>
      <w:r w:rsidRPr="00A837BC">
        <w:rPr>
          <w:sz w:val="12"/>
          <w:szCs w:val="12"/>
        </w:rPr>
        <w:t>(</w:t>
      </w:r>
      <w:r w:rsidR="009E5D69" w:rsidRPr="00A837BC">
        <w:rPr>
          <w:sz w:val="12"/>
          <w:szCs w:val="12"/>
          <w:vertAlign w:val="superscript"/>
        </w:rPr>
        <w:t>4</w:t>
      </w:r>
      <w:r w:rsidRPr="00A837BC">
        <w:rPr>
          <w:sz w:val="12"/>
          <w:szCs w:val="12"/>
        </w:rPr>
        <w:t xml:space="preserve">) </w:t>
      </w:r>
      <w:r w:rsidR="00394537" w:rsidRPr="00A837BC">
        <w:rPr>
          <w:sz w:val="12"/>
          <w:szCs w:val="12"/>
        </w:rPr>
        <w:t xml:space="preserve">Composed </w:t>
      </w:r>
      <w:r w:rsidR="00A837BC" w:rsidRPr="00A837BC">
        <w:rPr>
          <w:sz w:val="12"/>
          <w:szCs w:val="12"/>
        </w:rPr>
        <w:t>of a</w:t>
      </w:r>
      <w:r w:rsidR="000C55E2" w:rsidRPr="00A837BC">
        <w:rPr>
          <w:sz w:val="12"/>
          <w:szCs w:val="12"/>
        </w:rPr>
        <w:t xml:space="preserve">dditional experts from </w:t>
      </w:r>
      <w:r w:rsidR="00473C87" w:rsidRPr="00A837BC">
        <w:rPr>
          <w:sz w:val="12"/>
          <w:szCs w:val="12"/>
        </w:rPr>
        <w:t>E</w:t>
      </w:r>
      <w:r w:rsidR="000C55E2" w:rsidRPr="00A837BC">
        <w:rPr>
          <w:sz w:val="12"/>
          <w:szCs w:val="12"/>
        </w:rPr>
        <w:t xml:space="preserve">U Member States, </w:t>
      </w:r>
      <w:r w:rsidR="0071269C">
        <w:rPr>
          <w:sz w:val="12"/>
          <w:szCs w:val="12"/>
        </w:rPr>
        <w:t xml:space="preserve">the </w:t>
      </w:r>
      <w:r w:rsidR="000C55E2" w:rsidRPr="00A837BC">
        <w:rPr>
          <w:sz w:val="12"/>
          <w:szCs w:val="12"/>
        </w:rPr>
        <w:t xml:space="preserve">European Commission, Europol and </w:t>
      </w:r>
      <w:r w:rsidR="0071269C">
        <w:rPr>
          <w:sz w:val="12"/>
          <w:szCs w:val="12"/>
        </w:rPr>
        <w:t xml:space="preserve">the </w:t>
      </w:r>
      <w:r w:rsidR="000C55E2" w:rsidRPr="00A837BC">
        <w:rPr>
          <w:sz w:val="12"/>
          <w:szCs w:val="12"/>
        </w:rPr>
        <w:t>European Medicines Agency</w:t>
      </w:r>
      <w:r w:rsidR="00394537" w:rsidRPr="00A837BC">
        <w:rPr>
          <w:sz w:val="12"/>
          <w:szCs w:val="12"/>
        </w:rPr>
        <w:t>. Risk assessment publications are available at:</w:t>
      </w:r>
      <w:r w:rsidR="009E5D69" w:rsidRPr="00A837BC">
        <w:rPr>
          <w:sz w:val="12"/>
          <w:szCs w:val="12"/>
        </w:rPr>
        <w:t xml:space="preserve"> </w:t>
      </w:r>
      <w:hyperlink r:id="rId13" w:history="1">
        <w:r w:rsidR="00BC179A" w:rsidRPr="00A837BC">
          <w:rPr>
            <w:rStyle w:val="Hyperlink"/>
            <w:sz w:val="12"/>
            <w:szCs w:val="12"/>
          </w:rPr>
          <w:t>www.emcdda.europa.eu/publications/risk-assessments</w:t>
        </w:r>
      </w:hyperlink>
      <w:r w:rsidR="000E5821" w:rsidRPr="00A837BC">
        <w:rPr>
          <w:sz w:val="12"/>
          <w:szCs w:val="12"/>
        </w:rPr>
        <w:t xml:space="preserve"> </w:t>
      </w:r>
    </w:p>
    <w:sectPr w:rsidR="000E5821" w:rsidRPr="00A837BC" w:rsidSect="00117713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418" w:right="1133" w:bottom="851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F9" w:rsidRDefault="00C45BF9" w:rsidP="009A28FB">
      <w:pPr>
        <w:spacing w:after="0" w:line="240" w:lineRule="auto"/>
      </w:pPr>
      <w:r>
        <w:separator/>
      </w:r>
    </w:p>
  </w:endnote>
  <w:endnote w:type="continuationSeparator" w:id="0">
    <w:p w:rsidR="00C45BF9" w:rsidRDefault="00C45BF9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8243E1A" wp14:editId="416F3447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2F463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4194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17D1676A" wp14:editId="57791417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  <w:r w:rsidRPr="00FC0187">
            <w:rPr>
              <w:sz w:val="18"/>
            </w:rPr>
            <w:t>I</w:t>
          </w:r>
          <w:r>
            <w:t xml:space="preserve"> Kathryn.Robertson@emcdda.europa.eu </w:t>
          </w:r>
        </w:p>
        <w:p w:rsidR="0063677C" w:rsidRPr="00455E47" w:rsidRDefault="0063677C" w:rsidP="003B00EE">
          <w:pPr>
            <w:pStyle w:val="newsCoordinates"/>
            <w:rPr>
              <w:lang w:val="pt-PT"/>
            </w:rPr>
          </w:pPr>
          <w:r w:rsidRPr="00455E47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7B6F51" w:rsidP="008A10C6">
          <w:pPr>
            <w:pStyle w:val="newsReference"/>
            <w:jc w:val="right"/>
          </w:pPr>
          <w:r>
            <w:t xml:space="preserve">EN — No </w:t>
          </w:r>
          <w:r w:rsidR="00851CD6">
            <w:t>1</w:t>
          </w:r>
          <w:r w:rsidR="0063677C" w:rsidRPr="00FC0187">
            <w:t>/</w:t>
          </w:r>
          <w:r>
            <w:t>2015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F9" w:rsidRDefault="00C45BF9" w:rsidP="009A28FB">
      <w:pPr>
        <w:spacing w:after="0" w:line="240" w:lineRule="auto"/>
      </w:pPr>
      <w:r>
        <w:separator/>
      </w:r>
    </w:p>
  </w:footnote>
  <w:footnote w:type="continuationSeparator" w:id="0">
    <w:p w:rsidR="00C45BF9" w:rsidRDefault="00C45BF9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114F44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0937184E" wp14:editId="21AC240E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 </w:t>
          </w:r>
          <w:r w:rsidR="00114F44">
            <w:rPr>
              <w:noProof/>
              <w:lang w:eastAsia="en-GB"/>
            </w:rPr>
            <w:t>An update from the EU Early Warning System</w:t>
          </w:r>
          <w:r w:rsidRPr="00CC4FDA">
            <w:rPr>
              <w:noProof/>
              <w:lang w:eastAsia="en-GB"/>
            </w:rPr>
            <w:t xml:space="preserve"> </w:t>
          </w:r>
        </w:p>
      </w:tc>
      <w:tc>
        <w:tcPr>
          <w:tcW w:w="3294" w:type="dxa"/>
          <w:vAlign w:val="bottom"/>
        </w:tcPr>
        <w:p w:rsidR="00BF1E3B" w:rsidRDefault="00114F44" w:rsidP="00114F44">
          <w:pPr>
            <w:pStyle w:val="newsReference"/>
            <w:jc w:val="right"/>
          </w:pPr>
          <w:r>
            <w:t>9.3</w:t>
          </w:r>
          <w:r w:rsidR="00BF1E3B" w:rsidRPr="00CC4FDA">
            <w:t>.201</w:t>
          </w:r>
          <w:r>
            <w:t>5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1CE3"/>
    <w:multiLevelType w:val="hybridMultilevel"/>
    <w:tmpl w:val="03B6D122"/>
    <w:lvl w:ilvl="0" w:tplc="A782B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2AC2"/>
    <w:multiLevelType w:val="hybridMultilevel"/>
    <w:tmpl w:val="CC1C0AD6"/>
    <w:lvl w:ilvl="0" w:tplc="CC3E085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EWS-RELEASE-EN"/>
  </w:docVars>
  <w:rsids>
    <w:rsidRoot w:val="00455E47"/>
    <w:rsid w:val="00014E8E"/>
    <w:rsid w:val="00017E29"/>
    <w:rsid w:val="00027C48"/>
    <w:rsid w:val="00034F17"/>
    <w:rsid w:val="00036DAA"/>
    <w:rsid w:val="000504C4"/>
    <w:rsid w:val="000535B7"/>
    <w:rsid w:val="00067DD3"/>
    <w:rsid w:val="0008626C"/>
    <w:rsid w:val="000A0E3F"/>
    <w:rsid w:val="000C55E2"/>
    <w:rsid w:val="000C6200"/>
    <w:rsid w:val="000E5821"/>
    <w:rsid w:val="00105BFC"/>
    <w:rsid w:val="00107C96"/>
    <w:rsid w:val="00114F44"/>
    <w:rsid w:val="00117713"/>
    <w:rsid w:val="00123396"/>
    <w:rsid w:val="00142037"/>
    <w:rsid w:val="00172A72"/>
    <w:rsid w:val="0017713E"/>
    <w:rsid w:val="001800D0"/>
    <w:rsid w:val="001A1DFC"/>
    <w:rsid w:val="001A3338"/>
    <w:rsid w:val="001C795A"/>
    <w:rsid w:val="001D5C26"/>
    <w:rsid w:val="001F70B4"/>
    <w:rsid w:val="00223753"/>
    <w:rsid w:val="00253073"/>
    <w:rsid w:val="002557B0"/>
    <w:rsid w:val="002646E4"/>
    <w:rsid w:val="00264C84"/>
    <w:rsid w:val="0027252D"/>
    <w:rsid w:val="00276CA2"/>
    <w:rsid w:val="0028141E"/>
    <w:rsid w:val="002948E2"/>
    <w:rsid w:val="00296A55"/>
    <w:rsid w:val="002A61F7"/>
    <w:rsid w:val="002B05CE"/>
    <w:rsid w:val="002B45AC"/>
    <w:rsid w:val="002F4635"/>
    <w:rsid w:val="00326D1D"/>
    <w:rsid w:val="0033158E"/>
    <w:rsid w:val="00354659"/>
    <w:rsid w:val="0036121D"/>
    <w:rsid w:val="00380ED6"/>
    <w:rsid w:val="00387D02"/>
    <w:rsid w:val="003901FB"/>
    <w:rsid w:val="00394537"/>
    <w:rsid w:val="003B41B1"/>
    <w:rsid w:val="003C0395"/>
    <w:rsid w:val="003E4019"/>
    <w:rsid w:val="00410EAF"/>
    <w:rsid w:val="004137B0"/>
    <w:rsid w:val="00420D47"/>
    <w:rsid w:val="004221D3"/>
    <w:rsid w:val="00431D17"/>
    <w:rsid w:val="0044111C"/>
    <w:rsid w:val="00445080"/>
    <w:rsid w:val="0045468D"/>
    <w:rsid w:val="00455E47"/>
    <w:rsid w:val="00473C87"/>
    <w:rsid w:val="004847FB"/>
    <w:rsid w:val="00487571"/>
    <w:rsid w:val="004A2647"/>
    <w:rsid w:val="004C249A"/>
    <w:rsid w:val="004C3028"/>
    <w:rsid w:val="004C4E48"/>
    <w:rsid w:val="004C69D1"/>
    <w:rsid w:val="004D6E0C"/>
    <w:rsid w:val="004F7E64"/>
    <w:rsid w:val="00520EF1"/>
    <w:rsid w:val="00541871"/>
    <w:rsid w:val="00542CEE"/>
    <w:rsid w:val="0054626E"/>
    <w:rsid w:val="005506E0"/>
    <w:rsid w:val="00573F11"/>
    <w:rsid w:val="00575AC6"/>
    <w:rsid w:val="0058673D"/>
    <w:rsid w:val="005A0DC8"/>
    <w:rsid w:val="005B05A0"/>
    <w:rsid w:val="005B0882"/>
    <w:rsid w:val="005B1B63"/>
    <w:rsid w:val="005B6E13"/>
    <w:rsid w:val="005B7C0E"/>
    <w:rsid w:val="005C4033"/>
    <w:rsid w:val="006116D9"/>
    <w:rsid w:val="00623A55"/>
    <w:rsid w:val="0063677C"/>
    <w:rsid w:val="00656B61"/>
    <w:rsid w:val="00666108"/>
    <w:rsid w:val="00666A63"/>
    <w:rsid w:val="006A49C6"/>
    <w:rsid w:val="006D0D14"/>
    <w:rsid w:val="006D5A13"/>
    <w:rsid w:val="006F3757"/>
    <w:rsid w:val="007076DE"/>
    <w:rsid w:val="0071269C"/>
    <w:rsid w:val="00730132"/>
    <w:rsid w:val="0074590D"/>
    <w:rsid w:val="0077144F"/>
    <w:rsid w:val="00773814"/>
    <w:rsid w:val="00786D35"/>
    <w:rsid w:val="00791F09"/>
    <w:rsid w:val="007B026A"/>
    <w:rsid w:val="007B0E03"/>
    <w:rsid w:val="007B1CCD"/>
    <w:rsid w:val="007B4094"/>
    <w:rsid w:val="007B6F51"/>
    <w:rsid w:val="00813FB5"/>
    <w:rsid w:val="00841E86"/>
    <w:rsid w:val="00850992"/>
    <w:rsid w:val="00851CD6"/>
    <w:rsid w:val="00860810"/>
    <w:rsid w:val="00881730"/>
    <w:rsid w:val="00890D95"/>
    <w:rsid w:val="00894BD8"/>
    <w:rsid w:val="008A10C6"/>
    <w:rsid w:val="008A1110"/>
    <w:rsid w:val="008A62A8"/>
    <w:rsid w:val="008C1172"/>
    <w:rsid w:val="008D54B3"/>
    <w:rsid w:val="008F177B"/>
    <w:rsid w:val="008F399E"/>
    <w:rsid w:val="00902300"/>
    <w:rsid w:val="00927B46"/>
    <w:rsid w:val="00937FCB"/>
    <w:rsid w:val="00955F0C"/>
    <w:rsid w:val="00974A27"/>
    <w:rsid w:val="0099769A"/>
    <w:rsid w:val="009A242E"/>
    <w:rsid w:val="009A28FB"/>
    <w:rsid w:val="009C6757"/>
    <w:rsid w:val="009D6255"/>
    <w:rsid w:val="009E5D69"/>
    <w:rsid w:val="009F4FB0"/>
    <w:rsid w:val="00A0788A"/>
    <w:rsid w:val="00A16B77"/>
    <w:rsid w:val="00A311EF"/>
    <w:rsid w:val="00A3254D"/>
    <w:rsid w:val="00A33A6B"/>
    <w:rsid w:val="00A661E2"/>
    <w:rsid w:val="00A837BC"/>
    <w:rsid w:val="00A856B7"/>
    <w:rsid w:val="00A866F3"/>
    <w:rsid w:val="00A91B93"/>
    <w:rsid w:val="00A9705B"/>
    <w:rsid w:val="00A97C2D"/>
    <w:rsid w:val="00AD0471"/>
    <w:rsid w:val="00AD7BFC"/>
    <w:rsid w:val="00AE093C"/>
    <w:rsid w:val="00AE1738"/>
    <w:rsid w:val="00AF13B3"/>
    <w:rsid w:val="00AF259D"/>
    <w:rsid w:val="00B11B73"/>
    <w:rsid w:val="00B25554"/>
    <w:rsid w:val="00B258CD"/>
    <w:rsid w:val="00B272F1"/>
    <w:rsid w:val="00B51E08"/>
    <w:rsid w:val="00B57464"/>
    <w:rsid w:val="00B61036"/>
    <w:rsid w:val="00B72DD3"/>
    <w:rsid w:val="00B7335C"/>
    <w:rsid w:val="00B82332"/>
    <w:rsid w:val="00B92848"/>
    <w:rsid w:val="00B97BC5"/>
    <w:rsid w:val="00BB05FE"/>
    <w:rsid w:val="00BB60CF"/>
    <w:rsid w:val="00BC179A"/>
    <w:rsid w:val="00BF1E3B"/>
    <w:rsid w:val="00C36BC1"/>
    <w:rsid w:val="00C45BF9"/>
    <w:rsid w:val="00C61C85"/>
    <w:rsid w:val="00C628C4"/>
    <w:rsid w:val="00C63254"/>
    <w:rsid w:val="00C874C0"/>
    <w:rsid w:val="00C92969"/>
    <w:rsid w:val="00CA2FF5"/>
    <w:rsid w:val="00CB49DA"/>
    <w:rsid w:val="00CC1F19"/>
    <w:rsid w:val="00CC4FDA"/>
    <w:rsid w:val="00CC6A8B"/>
    <w:rsid w:val="00CD4BD0"/>
    <w:rsid w:val="00CE1F5C"/>
    <w:rsid w:val="00CF7113"/>
    <w:rsid w:val="00D01335"/>
    <w:rsid w:val="00D03EC6"/>
    <w:rsid w:val="00D069A8"/>
    <w:rsid w:val="00D3312B"/>
    <w:rsid w:val="00D37865"/>
    <w:rsid w:val="00D41942"/>
    <w:rsid w:val="00D57367"/>
    <w:rsid w:val="00D715D8"/>
    <w:rsid w:val="00D84AE3"/>
    <w:rsid w:val="00D92A34"/>
    <w:rsid w:val="00DC026C"/>
    <w:rsid w:val="00E03346"/>
    <w:rsid w:val="00E321BA"/>
    <w:rsid w:val="00E57C9D"/>
    <w:rsid w:val="00E66CCD"/>
    <w:rsid w:val="00E81F3D"/>
    <w:rsid w:val="00E83FC3"/>
    <w:rsid w:val="00EA4B27"/>
    <w:rsid w:val="00EC5681"/>
    <w:rsid w:val="00EE23CC"/>
    <w:rsid w:val="00F06CDE"/>
    <w:rsid w:val="00F21CA9"/>
    <w:rsid w:val="00F24096"/>
    <w:rsid w:val="00F31EBE"/>
    <w:rsid w:val="00F379ED"/>
    <w:rsid w:val="00F414EF"/>
    <w:rsid w:val="00F47542"/>
    <w:rsid w:val="00FA4BA7"/>
    <w:rsid w:val="00FA4E91"/>
    <w:rsid w:val="00FB351B"/>
    <w:rsid w:val="00FC0187"/>
    <w:rsid w:val="00FE15C2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A837BC"/>
    <w:pPr>
      <w:tabs>
        <w:tab w:val="left" w:pos="5205"/>
      </w:tabs>
      <w:spacing w:before="200" w:after="112" w:line="22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FA4BA7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D069A8"/>
    <w:pPr>
      <w:spacing w:after="260" w:line="260" w:lineRule="exact"/>
      <w:ind w:right="-284"/>
    </w:pPr>
    <w:rPr>
      <w:rFonts w:ascii="Arial" w:hAnsi="Arial" w:cs="Trivia Sans Book"/>
      <w:color w:val="000000"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D069A8"/>
    <w:rPr>
      <w:rFonts w:ascii="Arial" w:hAnsi="Arial" w:cs="Trivia Sans Book"/>
      <w:color w:val="000000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Trivia Sans Book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Trivia Sans Book"/>
      <w:color w:val="000000" w:themeColor="text1"/>
      <w:sz w:val="17"/>
      <w:szCs w:val="20"/>
      <w:vertAlign w:val="superscript"/>
    </w:rPr>
  </w:style>
  <w:style w:type="paragraph" w:customStyle="1" w:styleId="Pa8">
    <w:name w:val="Pa8"/>
    <w:basedOn w:val="Normal"/>
    <w:next w:val="Normal"/>
    <w:uiPriority w:val="99"/>
    <w:rsid w:val="005B7C0E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customStyle="1" w:styleId="MaintextstyleBlack">
    <w:name w:val="*Main text style (Black)"/>
    <w:basedOn w:val="Normal"/>
    <w:rsid w:val="00B92848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4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A837BC"/>
    <w:pPr>
      <w:tabs>
        <w:tab w:val="left" w:pos="5205"/>
      </w:tabs>
      <w:spacing w:before="200" w:after="112" w:line="22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FA4BA7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D069A8"/>
    <w:pPr>
      <w:spacing w:after="260" w:line="260" w:lineRule="exact"/>
      <w:ind w:right="-284"/>
    </w:pPr>
    <w:rPr>
      <w:rFonts w:ascii="Arial" w:hAnsi="Arial" w:cs="Trivia Sans Book"/>
      <w:color w:val="000000"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D069A8"/>
    <w:rPr>
      <w:rFonts w:ascii="Arial" w:hAnsi="Arial" w:cs="Trivia Sans Book"/>
      <w:color w:val="000000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Trivia Sans Book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Trivia Sans Book"/>
      <w:color w:val="000000" w:themeColor="text1"/>
      <w:sz w:val="17"/>
      <w:szCs w:val="20"/>
      <w:vertAlign w:val="superscript"/>
    </w:rPr>
  </w:style>
  <w:style w:type="paragraph" w:customStyle="1" w:styleId="Pa8">
    <w:name w:val="Pa8"/>
    <w:basedOn w:val="Normal"/>
    <w:next w:val="Normal"/>
    <w:uiPriority w:val="99"/>
    <w:rsid w:val="005B7C0E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customStyle="1" w:styleId="MaintextstyleBlack">
    <w:name w:val="*Main text style (Black)"/>
    <w:basedOn w:val="Normal"/>
    <w:rsid w:val="00B92848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4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cdda.europa.eu/publications/risk-assessmen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odc.org/unodc/en/commissions/CND/session/58_Session_2015/CND-58-Session_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publications/2015/new-psychoactive-substanc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news-releas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5B94-D5E7-4598-900E-5FF55B37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news-release-EN</Template>
  <TotalTime>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EMCDDA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lastModifiedBy>Kathryn Robertson</cp:lastModifiedBy>
  <cp:revision>8</cp:revision>
  <cp:lastPrinted>2015-03-06T10:44:00Z</cp:lastPrinted>
  <dcterms:created xsi:type="dcterms:W3CDTF">2015-03-05T15:42:00Z</dcterms:created>
  <dcterms:modified xsi:type="dcterms:W3CDTF">2015-03-06T13:41:00Z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