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0" w:rightFromText="170" w:vertAnchor="page" w:horzAnchor="page" w:tblpX="738" w:tblpY="738"/>
        <w:tblW w:w="5615" w:type="pct"/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FD3F65" w:rsidTr="008B7CC8">
        <w:trPr>
          <w:trHeight w:val="1695"/>
        </w:trPr>
        <w:tc>
          <w:tcPr>
            <w:tcW w:w="2331" w:type="pct"/>
            <w:shd w:val="clear" w:color="auto" w:fill="auto"/>
          </w:tcPr>
          <w:p w:rsidR="00EE23CC" w:rsidRPr="00FD3F65" w:rsidRDefault="008B7CC8" w:rsidP="008B7CC8">
            <w:pPr>
              <w:spacing w:after="0" w:line="240" w:lineRule="auto"/>
            </w:pPr>
            <w:r w:rsidRPr="00FD3F65">
              <w:rPr>
                <w:noProof/>
                <w:lang w:val="en-GB" w:eastAsia="en-GB"/>
              </w:rPr>
              <w:drawing>
                <wp:inline distT="0" distB="0" distL="0" distR="0" wp14:anchorId="27BA757E" wp14:editId="373A3652">
                  <wp:extent cx="2800350" cy="60960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  <w:shd w:val="clear" w:color="auto" w:fill="auto"/>
          </w:tcPr>
          <w:p w:rsidR="00EE23CC" w:rsidRPr="00FD3F65" w:rsidRDefault="00EE23CC" w:rsidP="008B7CC8">
            <w:pPr>
              <w:spacing w:after="0" w:line="240" w:lineRule="auto"/>
            </w:pPr>
          </w:p>
        </w:tc>
      </w:tr>
    </w:tbl>
    <w:p w:rsidR="008B7CC8" w:rsidRPr="00FD3F65" w:rsidRDefault="008B7CC8" w:rsidP="008B7CC8">
      <w:pPr>
        <w:spacing w:after="0"/>
        <w:rPr>
          <w:vanish/>
        </w:rPr>
      </w:pPr>
    </w:p>
    <w:tbl>
      <w:tblPr>
        <w:tblW w:w="12796" w:type="dxa"/>
        <w:tblInd w:w="-1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FD3F65" w:rsidTr="008B7CC8">
        <w:trPr>
          <w:trHeight w:val="1304"/>
        </w:trPr>
        <w:tc>
          <w:tcPr>
            <w:tcW w:w="12796" w:type="dxa"/>
            <w:shd w:val="clear" w:color="auto" w:fill="auto"/>
            <w:vAlign w:val="bottom"/>
          </w:tcPr>
          <w:p w:rsidR="00EE23CC" w:rsidRPr="00FD3F65" w:rsidRDefault="008B7CC8" w:rsidP="008B7CC8">
            <w:pPr>
              <w:spacing w:after="0" w:line="240" w:lineRule="auto"/>
            </w:pPr>
            <w:r w:rsidRPr="00FD3F65">
              <w:rPr>
                <w:noProof/>
                <w:lang w:val="en-GB" w:eastAsia="en-GB"/>
              </w:rPr>
              <w:drawing>
                <wp:inline distT="0" distB="0" distL="0" distR="0" wp14:anchorId="4F42AF92" wp14:editId="4C564E54">
                  <wp:extent cx="7562850" cy="920750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24A" w:rsidRPr="00654EAB" w:rsidRDefault="00911BB4" w:rsidP="00654EAB">
      <w:pPr>
        <w:pStyle w:val="newsTitle"/>
        <w:rPr>
          <w:b/>
        </w:rPr>
      </w:pPr>
      <w:r w:rsidRPr="00654EAB">
        <w:t xml:space="preserve">Teilnahme </w:t>
      </w:r>
      <w:r w:rsidRPr="003F39D8">
        <w:t xml:space="preserve">der </w:t>
      </w:r>
      <w:r w:rsidR="00E33CB4" w:rsidRPr="003F39D8">
        <w:t>EMCDDA</w:t>
      </w:r>
      <w:r w:rsidR="00E33CB4" w:rsidRPr="00654EAB">
        <w:t xml:space="preserve"> </w:t>
      </w:r>
      <w:r w:rsidRPr="00654EAB">
        <w:t xml:space="preserve">an </w:t>
      </w:r>
      <w:r w:rsidR="00C170E5" w:rsidRPr="00654EAB">
        <w:t>der TAGUNG </w:t>
      </w:r>
      <w:r w:rsidR="00E33CB4" w:rsidRPr="00654EAB">
        <w:t xml:space="preserve">2015 DER Suchtstoffkommission der Vereinten Nationen </w:t>
      </w:r>
      <w:r w:rsidR="00C170E5" w:rsidRPr="00654EAB">
        <w:t>–</w:t>
      </w:r>
      <w:r w:rsidR="00E33CB4" w:rsidRPr="00654EAB">
        <w:t xml:space="preserve"> WIEN</w:t>
      </w:r>
    </w:p>
    <w:p w:rsidR="00F3124A" w:rsidRPr="00654EAB" w:rsidRDefault="00E33CB4" w:rsidP="00654EAB">
      <w:pPr>
        <w:pStyle w:val="newsSubTitle"/>
      </w:pPr>
      <w:r w:rsidRPr="00654EAB">
        <w:t xml:space="preserve">EMCDDA stellt </w:t>
      </w:r>
      <w:r w:rsidR="00911BB4" w:rsidRPr="00654EAB">
        <w:t xml:space="preserve">jüngste </w:t>
      </w:r>
      <w:r w:rsidRPr="00654EAB">
        <w:t xml:space="preserve">Informationen über „neue Suchtstoffe“ aus </w:t>
      </w:r>
      <w:r w:rsidR="00911BB4" w:rsidRPr="00654EAB">
        <w:t>EU-</w:t>
      </w:r>
      <w:r w:rsidRPr="00654EAB">
        <w:t xml:space="preserve">Frühwarnsystem </w:t>
      </w:r>
      <w:r w:rsidR="00F02CBC" w:rsidRPr="00654EAB">
        <w:t>vor</w:t>
      </w:r>
    </w:p>
    <w:p w:rsidR="00F3124A" w:rsidRPr="00FD3F65" w:rsidRDefault="00E33CB4" w:rsidP="00630E02">
      <w:pPr>
        <w:pStyle w:val="newsContent"/>
      </w:pPr>
      <w:r w:rsidRPr="00FD3F65">
        <w:t xml:space="preserve">(9.3.2015, </w:t>
      </w:r>
      <w:r w:rsidRPr="00654EAB">
        <w:rPr>
          <w:caps/>
        </w:rPr>
        <w:t>Lissabon/Wien</w:t>
      </w:r>
      <w:r w:rsidRPr="00FD3F65">
        <w:t xml:space="preserve">) </w:t>
      </w:r>
      <w:r w:rsidR="00C56E7D" w:rsidRPr="00FD3F65">
        <w:t xml:space="preserve">Den </w:t>
      </w:r>
      <w:r w:rsidR="007E4441" w:rsidRPr="00FD3F65">
        <w:t>aktuellen Informationen</w:t>
      </w:r>
      <w:r w:rsidR="00C56E7D" w:rsidRPr="00FD3F65">
        <w:t xml:space="preserve"> zufolge</w:t>
      </w:r>
      <w:r w:rsidR="007E4441" w:rsidRPr="00FD3F65">
        <w:t xml:space="preserve">, die </w:t>
      </w:r>
      <w:r w:rsidR="007E4441" w:rsidRPr="003F39D8">
        <w:t>die</w:t>
      </w:r>
      <w:r w:rsidR="007E4441" w:rsidRPr="00FD3F65">
        <w:t xml:space="preserve"> </w:t>
      </w:r>
      <w:r w:rsidR="00C24432" w:rsidRPr="00FD3F65">
        <w:rPr>
          <w:b/>
        </w:rPr>
        <w:t>EU-Drogenbeobachtungs</w:t>
      </w:r>
      <w:r w:rsidR="00654EAB">
        <w:rPr>
          <w:b/>
        </w:rPr>
        <w:t>-</w:t>
      </w:r>
      <w:r w:rsidR="00C24432" w:rsidRPr="00FD3F65">
        <w:rPr>
          <w:b/>
        </w:rPr>
        <w:t>stelle (EMCDDA</w:t>
      </w:r>
      <w:r w:rsidR="00C24432" w:rsidRPr="003F39D8">
        <w:rPr>
          <w:b/>
        </w:rPr>
        <w:t>)</w:t>
      </w:r>
      <w:r w:rsidR="00C24432" w:rsidRPr="003F39D8">
        <w:t>(</w:t>
      </w:r>
      <w:r w:rsidR="00C24432" w:rsidRPr="003F39D8">
        <w:rPr>
          <w:vertAlign w:val="superscript"/>
        </w:rPr>
        <w:t>1</w:t>
      </w:r>
      <w:r w:rsidR="00C24432" w:rsidRPr="003F39D8">
        <w:t>)</w:t>
      </w:r>
      <w:r w:rsidR="00C24432" w:rsidRPr="00FD3F65">
        <w:t xml:space="preserve"> heute veröffentlicht hat, </w:t>
      </w:r>
      <w:r w:rsidR="00DA447D" w:rsidRPr="00FD3F65">
        <w:t xml:space="preserve">wurden </w:t>
      </w:r>
      <w:r w:rsidR="00C24432" w:rsidRPr="00FD3F65">
        <w:t>i</w:t>
      </w:r>
      <w:r w:rsidR="007E4441" w:rsidRPr="00FD3F65">
        <w:t>m vergangenen</w:t>
      </w:r>
      <w:r w:rsidR="00F02CBC" w:rsidRPr="00FD3F65">
        <w:t xml:space="preserve"> Jahr in der Europäischen Union </w:t>
      </w:r>
      <w:r w:rsidR="00911BB4" w:rsidRPr="00FD3F65">
        <w:t xml:space="preserve">rund </w:t>
      </w:r>
      <w:r w:rsidR="007E4441" w:rsidRPr="00FD3F65">
        <w:t xml:space="preserve">zwei neue </w:t>
      </w:r>
      <w:r w:rsidRPr="00FD3F65">
        <w:t xml:space="preserve">psychoaktive Substanzen (oder „neue Suchtstoffe“) </w:t>
      </w:r>
      <w:r w:rsidR="00911BB4" w:rsidRPr="00FD3F65">
        <w:t>pro Woche entdeckt</w:t>
      </w:r>
      <w:r w:rsidR="009732A0" w:rsidRPr="00FD3F65">
        <w:t xml:space="preserve">. </w:t>
      </w:r>
      <w:r w:rsidR="00987C54">
        <w:t>2014 wurden i</w:t>
      </w:r>
      <w:r w:rsidR="00F02CBC" w:rsidRPr="00FD3F65">
        <w:t xml:space="preserve">nsgesamt </w:t>
      </w:r>
      <w:r w:rsidR="00C56E7D" w:rsidRPr="00FD3F65">
        <w:t>101 neue Substanzen</w:t>
      </w:r>
      <w:r w:rsidR="00DA447D" w:rsidRPr="00FD3F65">
        <w:t xml:space="preserve"> an das </w:t>
      </w:r>
      <w:r w:rsidR="00DA447D" w:rsidRPr="00FD3F65">
        <w:rPr>
          <w:b/>
        </w:rPr>
        <w:t>Frühwarnsystem der EU</w:t>
      </w:r>
      <w:r w:rsidR="00DA447D" w:rsidRPr="00FD3F65">
        <w:t xml:space="preserve"> gemeldet</w:t>
      </w:r>
      <w:r w:rsidR="00C170E5">
        <w:t>, im Jahr </w:t>
      </w:r>
      <w:r w:rsidR="00DA447D" w:rsidRPr="00FD3F65">
        <w:t>2013</w:t>
      </w:r>
      <w:r w:rsidR="00987C54">
        <w:t xml:space="preserve"> </w:t>
      </w:r>
      <w:r w:rsidR="00C170E5">
        <w:t xml:space="preserve">waren es </w:t>
      </w:r>
      <w:r w:rsidR="00987C54">
        <w:t>noch 81</w:t>
      </w:r>
      <w:r w:rsidR="00C170E5">
        <w:t xml:space="preserve"> gewesen – somit </w:t>
      </w:r>
      <w:r w:rsidR="00987C54">
        <w:t xml:space="preserve">hält </w:t>
      </w:r>
      <w:r w:rsidR="00F02CBC" w:rsidRPr="00FD3F65">
        <w:t>die steigende</w:t>
      </w:r>
      <w:r w:rsidR="006D795E" w:rsidRPr="00FD3F65">
        <w:t xml:space="preserve"> Tendenz bei </w:t>
      </w:r>
      <w:r w:rsidR="00FA2EDD">
        <w:t xml:space="preserve">der Zahl der </w:t>
      </w:r>
      <w:r w:rsidR="007929CB" w:rsidRPr="00FD3F65">
        <w:t xml:space="preserve">in einem einzigen Jahr gemeldeten </w:t>
      </w:r>
      <w:r w:rsidR="00775997" w:rsidRPr="00FD3F65">
        <w:t>Substanzen</w:t>
      </w:r>
      <w:r w:rsidR="003F39D8">
        <w:t xml:space="preserve"> </w:t>
      </w:r>
      <w:r w:rsidR="00987C54">
        <w:t>an</w:t>
      </w:r>
      <w:r w:rsidR="003F39D8">
        <w:t xml:space="preserve"> </w:t>
      </w:r>
      <w:r w:rsidR="003F39D8" w:rsidRPr="003F39D8">
        <w:t>(</w:t>
      </w:r>
      <w:r w:rsidR="003F39D8" w:rsidRPr="003F39D8">
        <w:rPr>
          <w:vertAlign w:val="superscript"/>
        </w:rPr>
        <w:t>2</w:t>
      </w:r>
      <w:r w:rsidR="003F39D8" w:rsidRPr="003F39D8">
        <w:t>)</w:t>
      </w:r>
      <w:r w:rsidR="007929CB" w:rsidRPr="003F39D8">
        <w:t>.</w:t>
      </w:r>
      <w:r w:rsidR="007929CB" w:rsidRPr="00FD3F65">
        <w:t xml:space="preserve"> </w:t>
      </w:r>
      <w:r w:rsidR="00987C54">
        <w:t xml:space="preserve">Die </w:t>
      </w:r>
      <w:r w:rsidR="006F3F0D" w:rsidRPr="00FD3F65">
        <w:t xml:space="preserve">Gesamtzahl der </w:t>
      </w:r>
      <w:r w:rsidR="00F02CBC" w:rsidRPr="00FD3F65">
        <w:t xml:space="preserve">von </w:t>
      </w:r>
      <w:r w:rsidR="00F02CBC" w:rsidRPr="003F39D8">
        <w:t>der</w:t>
      </w:r>
      <w:r w:rsidR="00F02CBC" w:rsidRPr="00FD3F65">
        <w:t xml:space="preserve"> </w:t>
      </w:r>
      <w:r w:rsidR="006F3F0D" w:rsidRPr="00FD3F65">
        <w:t>Drogenbeobachtungsstelle überwacht</w:t>
      </w:r>
      <w:r w:rsidR="00F02CBC" w:rsidRPr="00FD3F65">
        <w:t>en Substanzen</w:t>
      </w:r>
      <w:r w:rsidR="006F3F0D" w:rsidRPr="00FD3F65">
        <w:t xml:space="preserve"> </w:t>
      </w:r>
      <w:r w:rsidR="00987C54">
        <w:t xml:space="preserve">hat sich dadurch nun auf </w:t>
      </w:r>
      <w:r w:rsidR="006F3F0D" w:rsidRPr="00FD3F65">
        <w:t>über 450</w:t>
      </w:r>
      <w:r w:rsidR="00987C54">
        <w:t xml:space="preserve"> erhöht</w:t>
      </w:r>
      <w:r w:rsidR="006F3F0D" w:rsidRPr="00FD3F65">
        <w:t xml:space="preserve">, </w:t>
      </w:r>
      <w:r w:rsidR="009D7631" w:rsidRPr="00FD3F65">
        <w:t xml:space="preserve">wobei </w:t>
      </w:r>
      <w:r w:rsidR="006F3F0D" w:rsidRPr="00FD3F65">
        <w:t xml:space="preserve">mehr als die Hälfte allein in den </w:t>
      </w:r>
      <w:r w:rsidR="009D7631" w:rsidRPr="00FD3F65">
        <w:t xml:space="preserve">vergangenen </w:t>
      </w:r>
      <w:r w:rsidR="006F3F0D" w:rsidRPr="00FD3F65">
        <w:t>drei Jahren festgestellt wurden</w:t>
      </w:r>
      <w:r w:rsidR="00F3124A" w:rsidRPr="00FD3F65">
        <w:t>.</w:t>
      </w:r>
    </w:p>
    <w:p w:rsidR="00F3124A" w:rsidRPr="00FD3F65" w:rsidRDefault="00775997" w:rsidP="00630E02">
      <w:pPr>
        <w:pStyle w:val="newsContent"/>
      </w:pPr>
      <w:r w:rsidRPr="00FD3F65">
        <w:t xml:space="preserve">Die Veröffentlichung des Berichts fällt mit der Eröffnung der 58. Tagung der </w:t>
      </w:r>
      <w:r w:rsidRPr="00FD3F65">
        <w:rPr>
          <w:b/>
        </w:rPr>
        <w:t>Suchtstoffkommission der Vereinten Nationen</w:t>
      </w:r>
      <w:r w:rsidRPr="00FD3F65">
        <w:t xml:space="preserve"> </w:t>
      </w:r>
      <w:r w:rsidR="00987C54">
        <w:t xml:space="preserve">in </w:t>
      </w:r>
      <w:r w:rsidRPr="00FD3F65">
        <w:t xml:space="preserve">Wien zusammen, an der </w:t>
      </w:r>
      <w:r w:rsidRPr="003F39D8">
        <w:t>die</w:t>
      </w:r>
      <w:r w:rsidRPr="00FD3F65">
        <w:t xml:space="preserve"> </w:t>
      </w:r>
      <w:r w:rsidRPr="00FD3F65">
        <w:rPr>
          <w:b/>
        </w:rPr>
        <w:t>EMCDDA</w:t>
      </w:r>
      <w:r w:rsidRPr="00FD3F65">
        <w:t xml:space="preserve"> </w:t>
      </w:r>
      <w:r w:rsidR="002524CD" w:rsidRPr="003F39D8">
        <w:t>an der Seite</w:t>
      </w:r>
      <w:r w:rsidRPr="00FD3F65">
        <w:t xml:space="preserve"> einer </w:t>
      </w:r>
      <w:r w:rsidRPr="00FD3F65">
        <w:rPr>
          <w:b/>
        </w:rPr>
        <w:t>EU-Delegation</w:t>
      </w:r>
      <w:r w:rsidR="00654EAB">
        <w:rPr>
          <w:b/>
        </w:rPr>
        <w:t xml:space="preserve"> </w:t>
      </w:r>
      <w:r w:rsidRPr="00FD3F65">
        <w:t>teilnimmt</w:t>
      </w:r>
      <w:r w:rsidR="003F39D8">
        <w:t xml:space="preserve"> </w:t>
      </w:r>
      <w:r w:rsidR="003F39D8" w:rsidRPr="003F39D8">
        <w:t>(</w:t>
      </w:r>
      <w:r w:rsidR="003F39D8" w:rsidRPr="003F39D8">
        <w:rPr>
          <w:vertAlign w:val="superscript"/>
        </w:rPr>
        <w:t>3</w:t>
      </w:r>
      <w:r w:rsidR="003F39D8" w:rsidRPr="003F39D8">
        <w:t>)</w:t>
      </w:r>
      <w:r w:rsidRPr="003F39D8">
        <w:t>.</w:t>
      </w:r>
      <w:r w:rsidRPr="00FD3F65">
        <w:t xml:space="preserve"> Der Bericht stützt sich auf eine Analyse von Daten</w:t>
      </w:r>
      <w:r w:rsidR="00DD5294" w:rsidRPr="00FD3F65">
        <w:t xml:space="preserve"> </w:t>
      </w:r>
      <w:r w:rsidRPr="00FD3F65">
        <w:t xml:space="preserve">aus den </w:t>
      </w:r>
      <w:r w:rsidR="00C170E5">
        <w:rPr>
          <w:b/>
        </w:rPr>
        <w:t>28 </w:t>
      </w:r>
      <w:r w:rsidRPr="00FD3F65">
        <w:rPr>
          <w:b/>
        </w:rPr>
        <w:t>EU-Mitgliedstaaten</w:t>
      </w:r>
      <w:r w:rsidR="00C170E5">
        <w:t xml:space="preserve">, </w:t>
      </w:r>
      <w:r w:rsidRPr="00FD3F65">
        <w:t xml:space="preserve">der </w:t>
      </w:r>
      <w:r w:rsidRPr="00FD3F65">
        <w:rPr>
          <w:b/>
        </w:rPr>
        <w:t xml:space="preserve">Türkei </w:t>
      </w:r>
      <w:r w:rsidRPr="00FD3F65">
        <w:t xml:space="preserve">und </w:t>
      </w:r>
      <w:r w:rsidRPr="00FD3F65">
        <w:rPr>
          <w:b/>
        </w:rPr>
        <w:t>Norwegen</w:t>
      </w:r>
      <w:r w:rsidR="00DD5294" w:rsidRPr="00FD3F65">
        <w:t xml:space="preserve">, die </w:t>
      </w:r>
      <w:r w:rsidR="009D7631" w:rsidRPr="00FD3F65">
        <w:t xml:space="preserve">im </w:t>
      </w:r>
      <w:r w:rsidR="009D7631" w:rsidRPr="00FD3F65">
        <w:rPr>
          <w:b/>
        </w:rPr>
        <w:t>EU-Frühwarnsystem</w:t>
      </w:r>
      <w:r w:rsidR="009D7631" w:rsidRPr="00FD3F65">
        <w:t xml:space="preserve"> </w:t>
      </w:r>
      <w:r w:rsidR="00DD5294" w:rsidRPr="00FD3F65">
        <w:t xml:space="preserve">erfasst </w:t>
      </w:r>
      <w:r w:rsidR="00F02CBC" w:rsidRPr="00FD3F65">
        <w:t>wurden</w:t>
      </w:r>
      <w:r w:rsidRPr="00FD3F65">
        <w:t>.</w:t>
      </w:r>
    </w:p>
    <w:p w:rsidR="00F3124A" w:rsidRPr="00FD3F65" w:rsidRDefault="00F02CBC" w:rsidP="00630E02">
      <w:pPr>
        <w:pStyle w:val="newsContent"/>
      </w:pPr>
      <w:r w:rsidRPr="00FD3F65">
        <w:t xml:space="preserve">Auch </w:t>
      </w:r>
      <w:r w:rsidR="00775997" w:rsidRPr="00FD3F65">
        <w:t xml:space="preserve">2014 </w:t>
      </w:r>
      <w:r w:rsidR="006C0FB4" w:rsidRPr="00FD3F65">
        <w:t xml:space="preserve">waren in der </w:t>
      </w:r>
      <w:r w:rsidR="00DE6951" w:rsidRPr="00FD3F65">
        <w:t>Liste der gemeldeten Substanzen</w:t>
      </w:r>
      <w:r w:rsidRPr="00FD3F65">
        <w:t xml:space="preserve"> </w:t>
      </w:r>
      <w:r w:rsidR="00DE6951" w:rsidRPr="00FD3F65">
        <w:t>zwei Gruppen</w:t>
      </w:r>
      <w:r w:rsidR="006C0FB4" w:rsidRPr="00FD3F65">
        <w:t xml:space="preserve"> </w:t>
      </w:r>
      <w:r w:rsidR="00833CE2">
        <w:t xml:space="preserve">wieder </w:t>
      </w:r>
      <w:r w:rsidR="006C0FB4" w:rsidRPr="00FD3F65">
        <w:t>besonders stark vertreten</w:t>
      </w:r>
      <w:r w:rsidR="00DE6951" w:rsidRPr="00FD3F65">
        <w:t xml:space="preserve">: </w:t>
      </w:r>
      <w:r w:rsidR="006C0FB4" w:rsidRPr="00FD3F65">
        <w:rPr>
          <w:b/>
        </w:rPr>
        <w:t>synthetische Cathinone</w:t>
      </w:r>
      <w:r w:rsidR="00DE6951" w:rsidRPr="00FD3F65">
        <w:t xml:space="preserve"> (31 Substanzen) und </w:t>
      </w:r>
      <w:r w:rsidR="006C0FB4" w:rsidRPr="00FD3F65">
        <w:rPr>
          <w:b/>
        </w:rPr>
        <w:t>synthetische Cannabinoide</w:t>
      </w:r>
      <w:r w:rsidR="00DE6951" w:rsidRPr="00FD3F65">
        <w:t xml:space="preserve"> (30</w:t>
      </w:r>
      <w:r w:rsidR="00C170E5">
        <w:t> </w:t>
      </w:r>
      <w:r w:rsidR="00DE6951" w:rsidRPr="00FD3F65">
        <w:t xml:space="preserve">Substanzen), die als legale Ersatzstoffe für Stimulanzien bzw. </w:t>
      </w:r>
      <w:r w:rsidRPr="00FD3F65">
        <w:t xml:space="preserve">für </w:t>
      </w:r>
      <w:r w:rsidR="00DE6951" w:rsidRPr="00FD3F65">
        <w:t xml:space="preserve">Cannabis verkauft werden. Sie bilden </w:t>
      </w:r>
      <w:r w:rsidR="006C0FB4" w:rsidRPr="00FD3F65">
        <w:t xml:space="preserve">heute </w:t>
      </w:r>
      <w:r w:rsidR="00DE6951" w:rsidRPr="00FD3F65">
        <w:t xml:space="preserve">die beiden größten Gruppen, die mithilfe des europäischen Frühwarnsystems überwacht werden, und machen zusammen nahezu zwei Drittel der </w:t>
      </w:r>
      <w:r w:rsidRPr="00FD3F65">
        <w:t xml:space="preserve">2014 gemeldeten </w:t>
      </w:r>
      <w:r w:rsidR="00DE6951" w:rsidRPr="00FD3F65">
        <w:t>neuen Suchtstoffe aus.</w:t>
      </w:r>
    </w:p>
    <w:p w:rsidR="00F3124A" w:rsidRPr="00FD3F65" w:rsidRDefault="000F72C0" w:rsidP="00630E02">
      <w:pPr>
        <w:pStyle w:val="newsContent"/>
      </w:pPr>
      <w:r w:rsidRPr="00BB6B9C">
        <w:t xml:space="preserve">Die jüngsten Daten über Beschlagnahmen </w:t>
      </w:r>
      <w:r w:rsidR="00BB6B9C" w:rsidRPr="00BB6B9C">
        <w:t>zeigen</w:t>
      </w:r>
      <w:r w:rsidR="00987C54" w:rsidRPr="00BB6B9C">
        <w:t>, dass der Markt</w:t>
      </w:r>
      <w:r w:rsidRPr="00BB6B9C">
        <w:t xml:space="preserve"> für neue psychoaktive Substanzen</w:t>
      </w:r>
      <w:r w:rsidR="00987C54" w:rsidRPr="00BB6B9C">
        <w:t xml:space="preserve"> wächst</w:t>
      </w:r>
      <w:r w:rsidRPr="00BB6B9C">
        <w:t>.</w:t>
      </w:r>
      <w:r w:rsidRPr="00FD3F65">
        <w:t xml:space="preserve"> Zwischen 2008 und 2013 </w:t>
      </w:r>
      <w:r w:rsidR="00524D19" w:rsidRPr="00FD3F65">
        <w:t xml:space="preserve">stieg die </w:t>
      </w:r>
      <w:r w:rsidRPr="00FD3F65">
        <w:t xml:space="preserve">Zahl der </w:t>
      </w:r>
      <w:r w:rsidR="00A164A0" w:rsidRPr="00FD3F65">
        <w:t xml:space="preserve">Beschlagnahmen </w:t>
      </w:r>
      <w:r w:rsidR="00F02CBC" w:rsidRPr="00FD3F65">
        <w:t>neuer psychoaktiver</w:t>
      </w:r>
      <w:r w:rsidRPr="00FD3F65">
        <w:t xml:space="preserve"> Substanzen </w:t>
      </w:r>
      <w:r w:rsidR="00A164A0" w:rsidRPr="00FD3F65">
        <w:t xml:space="preserve">in ganz Europa </w:t>
      </w:r>
      <w:r w:rsidRPr="00FD3F65">
        <w:t xml:space="preserve">um das </w:t>
      </w:r>
      <w:bookmarkStart w:id="0" w:name="_GoBack"/>
      <w:bookmarkEnd w:id="0"/>
      <w:r w:rsidRPr="00FD3F65">
        <w:t>Siebenfache</w:t>
      </w:r>
      <w:r w:rsidR="00A164A0" w:rsidRPr="00FD3F65">
        <w:t xml:space="preserve">. 2013 wurden in Europa rund </w:t>
      </w:r>
      <w:r w:rsidR="00C170E5">
        <w:t>47 000 </w:t>
      </w:r>
      <w:r w:rsidR="00A164A0" w:rsidRPr="00FD3F65">
        <w:t xml:space="preserve">Beschlagnahmen von neuen psychoaktiven Substanzen mit einem Gewicht von über 3,1 Tonnen </w:t>
      </w:r>
      <w:r w:rsidR="00340DD0" w:rsidRPr="00FD3F65">
        <w:t xml:space="preserve">gemeldet. Der </w:t>
      </w:r>
      <w:r w:rsidR="00524D19" w:rsidRPr="00FD3F65">
        <w:t xml:space="preserve">größte Teil </w:t>
      </w:r>
      <w:r w:rsidR="00340DD0" w:rsidRPr="00FD3F65">
        <w:t>entfiel auf sy</w:t>
      </w:r>
      <w:r w:rsidR="00C170E5">
        <w:t>nthetische Cannabinoide (21 000 </w:t>
      </w:r>
      <w:r w:rsidR="00340DD0" w:rsidRPr="00FD3F65">
        <w:t>Beschlagnahmen; 1,6 Tonnen), gefolgt von synthetische</w:t>
      </w:r>
      <w:r w:rsidR="00524D19" w:rsidRPr="00FD3F65">
        <w:t>n</w:t>
      </w:r>
      <w:r w:rsidR="00C170E5">
        <w:t xml:space="preserve"> Cathinonen (11 000 </w:t>
      </w:r>
      <w:r w:rsidR="00340DD0" w:rsidRPr="00FD3F65">
        <w:t>Beschlagnahmen; 1,1 Tonnen). Viele neue psychoaktive Substanzen werden von Chemieunter</w:t>
      </w:r>
      <w:r w:rsidR="00654EAB">
        <w:t>-</w:t>
      </w:r>
      <w:r w:rsidR="00340DD0" w:rsidRPr="000148A1">
        <w:t>nehmen</w:t>
      </w:r>
      <w:r w:rsidR="00340DD0" w:rsidRPr="00FD3F65">
        <w:t xml:space="preserve"> </w:t>
      </w:r>
      <w:r w:rsidR="003B17A8" w:rsidRPr="00C157BA">
        <w:t>außerhalb Europas</w:t>
      </w:r>
      <w:r w:rsidR="00340DD0" w:rsidRPr="00C157BA">
        <w:t xml:space="preserve"> </w:t>
      </w:r>
      <w:r w:rsidR="00524D19" w:rsidRPr="00C157BA">
        <w:t>in</w:t>
      </w:r>
      <w:r w:rsidR="00524D19" w:rsidRPr="00FD3F65">
        <w:t xml:space="preserve"> </w:t>
      </w:r>
      <w:r w:rsidR="00340DD0" w:rsidRPr="00FD3F65">
        <w:t>Massen</w:t>
      </w:r>
      <w:r w:rsidR="00524D19" w:rsidRPr="00FD3F65">
        <w:t xml:space="preserve"> hergestellt</w:t>
      </w:r>
      <w:r w:rsidR="00340DD0" w:rsidRPr="00FD3F65">
        <w:t xml:space="preserve"> und per Luftfracht nach Europa befördert, wo sie verarbeitet, verpackt und anschließend an die </w:t>
      </w:r>
      <w:r w:rsidR="00F34A0E" w:rsidRPr="00FD3F65">
        <w:t>Konsumenten verkauft</w:t>
      </w:r>
      <w:r w:rsidR="00F02CBC" w:rsidRPr="00FD3F65">
        <w:t xml:space="preserve"> werden</w:t>
      </w:r>
      <w:r w:rsidR="00F34A0E" w:rsidRPr="00FD3F65">
        <w:t>.</w:t>
      </w:r>
    </w:p>
    <w:p w:rsidR="00F3124A" w:rsidRPr="00FD3F65" w:rsidRDefault="00F34A0E" w:rsidP="00630E02">
      <w:pPr>
        <w:pStyle w:val="newsContent"/>
      </w:pPr>
      <w:r w:rsidRPr="00FD3F65">
        <w:t xml:space="preserve">Außer </w:t>
      </w:r>
      <w:r w:rsidR="009A5891" w:rsidRPr="00FD3F65">
        <w:t>zu</w:t>
      </w:r>
      <w:r w:rsidRPr="00FD3F65">
        <w:t xml:space="preserve">r Überwachung neuer Suchtstoffe, die auf den Markt gelangen, dient das </w:t>
      </w:r>
      <w:r w:rsidR="00524D19" w:rsidRPr="00FD3F65">
        <w:rPr>
          <w:b/>
        </w:rPr>
        <w:t>EU-</w:t>
      </w:r>
      <w:r w:rsidRPr="00FD3F65">
        <w:rPr>
          <w:b/>
        </w:rPr>
        <w:t>Frühwarnsystem</w:t>
      </w:r>
      <w:r w:rsidRPr="00FD3F65">
        <w:t xml:space="preserve"> auch </w:t>
      </w:r>
      <w:r w:rsidR="009A5891" w:rsidRPr="00FD3F65">
        <w:t>zu</w:t>
      </w:r>
      <w:r w:rsidRPr="00FD3F65">
        <w:t xml:space="preserve">r </w:t>
      </w:r>
      <w:r w:rsidR="00524D19" w:rsidRPr="00FD3F65">
        <w:t xml:space="preserve">Ermittlung </w:t>
      </w:r>
      <w:r w:rsidRPr="00FD3F65">
        <w:t>von Anzeichen für ernst</w:t>
      </w:r>
      <w:r w:rsidR="009A5891" w:rsidRPr="00FD3F65">
        <w:t>hafte</w:t>
      </w:r>
      <w:r w:rsidRPr="00FD3F65">
        <w:t xml:space="preserve"> Schäden </w:t>
      </w:r>
      <w:r w:rsidR="00731EAB" w:rsidRPr="00FD3F65">
        <w:t>und, wenn nötig, zur Einleitung von Abhilfemaßnahmen. 2014 wurden</w:t>
      </w:r>
      <w:r w:rsidR="00C170E5">
        <w:t xml:space="preserve"> 16 </w:t>
      </w:r>
      <w:r w:rsidR="009A5891" w:rsidRPr="00FD3F65">
        <w:t>Gesundheitswarnungen herausgegeben</w:t>
      </w:r>
      <w:r w:rsidR="00F670B6" w:rsidRPr="00FD3F65">
        <w:t xml:space="preserve">, nachdem </w:t>
      </w:r>
      <w:r w:rsidR="00731EAB" w:rsidRPr="00FD3F65">
        <w:t>ernst</w:t>
      </w:r>
      <w:r w:rsidR="00F670B6" w:rsidRPr="00FD3F65">
        <w:t>hafte</w:t>
      </w:r>
      <w:r w:rsidR="00833CE2">
        <w:t xml:space="preserve"> Schäden f</w:t>
      </w:r>
      <w:r w:rsidR="00F670B6" w:rsidRPr="00FD3F65">
        <w:t>estgestellt worden waren</w:t>
      </w:r>
      <w:r w:rsidR="00731EAB" w:rsidRPr="00FD3F65">
        <w:t xml:space="preserve">, </w:t>
      </w:r>
      <w:r w:rsidR="00833CE2" w:rsidRPr="00FD3F65">
        <w:t xml:space="preserve">die dringliche Gegenmaßnahmen erforderten, </w:t>
      </w:r>
      <w:r w:rsidR="009A5891" w:rsidRPr="00FD3F65">
        <w:t xml:space="preserve">und </w:t>
      </w:r>
      <w:r w:rsidR="00731EAB" w:rsidRPr="00FD3F65">
        <w:t xml:space="preserve">der erweiterte </w:t>
      </w:r>
      <w:r w:rsidR="009A5891" w:rsidRPr="00FD3F65">
        <w:rPr>
          <w:b/>
        </w:rPr>
        <w:t>W</w:t>
      </w:r>
      <w:r w:rsidR="00731EAB" w:rsidRPr="00FD3F65">
        <w:rPr>
          <w:b/>
        </w:rPr>
        <w:t>issenschaftliche Ausschuss</w:t>
      </w:r>
      <w:r w:rsidR="00731EAB" w:rsidRPr="00FD3F65">
        <w:t xml:space="preserve"> der Beobachtungsstelle</w:t>
      </w:r>
      <w:r w:rsidR="00654EAB">
        <w:t xml:space="preserve"> </w:t>
      </w:r>
      <w:r w:rsidR="009A5891" w:rsidRPr="00FD3F65">
        <w:t xml:space="preserve">führte </w:t>
      </w:r>
      <w:r w:rsidR="00F670B6" w:rsidRPr="00FD3F65">
        <w:t xml:space="preserve">in diesem Jahr </w:t>
      </w:r>
      <w:r w:rsidR="00731EAB" w:rsidRPr="00FD3F65">
        <w:t>sechs Risikobewertungen durch</w:t>
      </w:r>
      <w:r w:rsidR="000148A1">
        <w:t xml:space="preserve"> </w:t>
      </w:r>
      <w:r w:rsidR="000148A1" w:rsidRPr="000148A1">
        <w:t>(</w:t>
      </w:r>
      <w:r w:rsidR="000148A1" w:rsidRPr="000148A1">
        <w:rPr>
          <w:vertAlign w:val="superscript"/>
        </w:rPr>
        <w:t>4</w:t>
      </w:r>
      <w:r w:rsidR="000148A1" w:rsidRPr="000148A1">
        <w:t>)</w:t>
      </w:r>
      <w:r w:rsidR="00731EAB" w:rsidRPr="000148A1">
        <w:t>.</w:t>
      </w:r>
    </w:p>
    <w:p w:rsidR="00F3124A" w:rsidRPr="00FD3F65" w:rsidRDefault="00BC0D8E" w:rsidP="00630E02">
      <w:pPr>
        <w:pStyle w:val="newsContent"/>
      </w:pPr>
      <w:r w:rsidRPr="00FD3F65">
        <w:t xml:space="preserve">Zu den </w:t>
      </w:r>
      <w:r w:rsidR="00C170E5">
        <w:t xml:space="preserve">Substanzen, die Besorgnis </w:t>
      </w:r>
      <w:r w:rsidR="00065E53" w:rsidRPr="00FD3F65">
        <w:t xml:space="preserve">für </w:t>
      </w:r>
      <w:r w:rsidRPr="00FD3F65">
        <w:t xml:space="preserve">die öffentliche Gesundheit </w:t>
      </w:r>
      <w:r w:rsidR="00C170E5">
        <w:t xml:space="preserve">erregen und </w:t>
      </w:r>
      <w:r w:rsidRPr="00FD3F65">
        <w:t>auf die im Bericht ein besonderes Schlaglicht geworfen wird, ge</w:t>
      </w:r>
      <w:r w:rsidR="00E62186">
        <w:t xml:space="preserve">hören neue synthetische Opioide; sie sind oft hochwirksam und werden </w:t>
      </w:r>
      <w:r w:rsidRPr="00FD3F65">
        <w:t xml:space="preserve">ahnungslosen Konsumenten als </w:t>
      </w:r>
      <w:r w:rsidR="00F670B6" w:rsidRPr="00FD3F65">
        <w:t>Heroin verkauft</w:t>
      </w:r>
      <w:r w:rsidR="00E62186">
        <w:t xml:space="preserve">; zudem bergen sie </w:t>
      </w:r>
      <w:r w:rsidR="00F670B6" w:rsidRPr="00FD3F65">
        <w:t>ein</w:t>
      </w:r>
      <w:r w:rsidR="00065E53" w:rsidRPr="00FD3F65">
        <w:t xml:space="preserve"> hohes</w:t>
      </w:r>
      <w:r w:rsidRPr="00FD3F65">
        <w:t xml:space="preserve"> Risiko einer Überdosierung</w:t>
      </w:r>
      <w:r w:rsidR="00C170E5">
        <w:t>.</w:t>
      </w:r>
      <w:r w:rsidRPr="00FD3F65">
        <w:t xml:space="preserve"> </w:t>
      </w:r>
      <w:r w:rsidR="00065E53" w:rsidRPr="00FD3F65">
        <w:t>Bei d</w:t>
      </w:r>
      <w:r w:rsidRPr="00FD3F65">
        <w:t xml:space="preserve">rei </w:t>
      </w:r>
      <w:r w:rsidR="00065E53" w:rsidRPr="00FD3F65">
        <w:t>der fünf</w:t>
      </w:r>
      <w:r w:rsidR="00E62186">
        <w:t xml:space="preserve"> 2014 gemeldet</w:t>
      </w:r>
      <w:r w:rsidR="008A4028" w:rsidRPr="00FD3F65">
        <w:t>en</w:t>
      </w:r>
      <w:r w:rsidR="00E62186">
        <w:t xml:space="preserve"> Opioide </w:t>
      </w:r>
      <w:r w:rsidR="008A4028" w:rsidRPr="00FD3F65">
        <w:t xml:space="preserve">handelte es sich um Fentanyle, eine </w:t>
      </w:r>
      <w:r w:rsidR="00C34D04" w:rsidRPr="00FD3F65">
        <w:lastRenderedPageBreak/>
        <w:t xml:space="preserve">Wirkstofffamilie, </w:t>
      </w:r>
      <w:r w:rsidR="00E62186">
        <w:t xml:space="preserve">auf </w:t>
      </w:r>
      <w:r w:rsidR="00C34D04" w:rsidRPr="00FD3F65">
        <w:t xml:space="preserve">die </w:t>
      </w:r>
      <w:r w:rsidR="00E62186">
        <w:t xml:space="preserve">Hunderte von Toten </w:t>
      </w:r>
      <w:r w:rsidR="00C34D04" w:rsidRPr="00FD3F65">
        <w:t xml:space="preserve">in </w:t>
      </w:r>
      <w:r w:rsidR="00C34D04" w:rsidRPr="00FD3F65">
        <w:rPr>
          <w:b/>
        </w:rPr>
        <w:t>Europa</w:t>
      </w:r>
      <w:r w:rsidR="00C34D04" w:rsidRPr="00FD3F65">
        <w:t xml:space="preserve"> und den </w:t>
      </w:r>
      <w:r w:rsidR="00C34D04" w:rsidRPr="00FD3F65">
        <w:rPr>
          <w:b/>
        </w:rPr>
        <w:t>Vereinigten Staaten von Amerika</w:t>
      </w:r>
      <w:r w:rsidR="00C34D04" w:rsidRPr="00FD3F65">
        <w:t xml:space="preserve"> </w:t>
      </w:r>
      <w:r w:rsidR="00E62186">
        <w:t>zurückzuführen sind</w:t>
      </w:r>
      <w:r w:rsidR="00C34D04" w:rsidRPr="00FD3F65">
        <w:t>.</w:t>
      </w:r>
    </w:p>
    <w:p w:rsidR="00570C7C" w:rsidRPr="00FD3F65" w:rsidRDefault="00C34D04" w:rsidP="00630E02">
      <w:pPr>
        <w:pStyle w:val="newsContent"/>
      </w:pPr>
      <w:r w:rsidRPr="00FD3F65">
        <w:rPr>
          <w:b/>
        </w:rPr>
        <w:t>Wolfgang Götz, Direktor der EMCDDA</w:t>
      </w:r>
      <w:r w:rsidRPr="00FD3F65">
        <w:t>, stellt fest: „Neue psychoaktive Substanzen</w:t>
      </w:r>
      <w:r w:rsidR="00B07642" w:rsidRPr="00FD3F65">
        <w:t xml:space="preserve"> sind zunächst unbekannt, </w:t>
      </w:r>
      <w:r w:rsidRPr="00FD3F65">
        <w:t>können</w:t>
      </w:r>
      <w:r w:rsidR="00B60CCC" w:rsidRPr="00FD3F65">
        <w:t xml:space="preserve"> </w:t>
      </w:r>
      <w:r w:rsidR="00B07642" w:rsidRPr="00FD3F65">
        <w:t xml:space="preserve">jedoch </w:t>
      </w:r>
      <w:r w:rsidR="00B60CCC" w:rsidRPr="00FD3F65">
        <w:t xml:space="preserve">sehr rasch </w:t>
      </w:r>
      <w:r w:rsidR="00B07642" w:rsidRPr="00FD3F65">
        <w:t xml:space="preserve">traurige Berühmtheit erlangen </w:t>
      </w:r>
      <w:r w:rsidR="00B60CCC" w:rsidRPr="00FD3F65">
        <w:t>und ernsthaften Schaden verursachen.</w:t>
      </w:r>
      <w:r w:rsidR="00715C3E" w:rsidRPr="00FD3F65">
        <w:t xml:space="preserve"> Die</w:t>
      </w:r>
      <w:r w:rsidR="00762FB8" w:rsidRPr="00FD3F65">
        <w:t xml:space="preserve"> </w:t>
      </w:r>
      <w:r w:rsidR="00B60CCC" w:rsidRPr="00FD3F65">
        <w:t>heute vorge</w:t>
      </w:r>
      <w:r w:rsidR="00E62186">
        <w:t>leg</w:t>
      </w:r>
      <w:r w:rsidR="00B60CCC" w:rsidRPr="00FD3F65">
        <w:t>ten Daten</w:t>
      </w:r>
      <w:r w:rsidR="00715C3E" w:rsidRPr="00FD3F65">
        <w:t xml:space="preserve"> machen deutlich</w:t>
      </w:r>
      <w:r w:rsidR="00B60CCC" w:rsidRPr="00FD3F65">
        <w:t xml:space="preserve">, </w:t>
      </w:r>
      <w:r w:rsidR="00715C3E" w:rsidRPr="00FD3F65">
        <w:t xml:space="preserve">dass </w:t>
      </w:r>
      <w:r w:rsidR="00AB436F" w:rsidRPr="00FD3F65">
        <w:t xml:space="preserve">die </w:t>
      </w:r>
      <w:r w:rsidR="00B60CCC" w:rsidRPr="00FD3F65">
        <w:t xml:space="preserve">Zunahme dieser Substanzen </w:t>
      </w:r>
      <w:r w:rsidR="00C170E5">
        <w:t>auf de</w:t>
      </w:r>
      <w:r w:rsidR="00B60CCC" w:rsidRPr="00FD3F65">
        <w:t xml:space="preserve">m Markt für die Politik im Bereich der öffentlichen Gesundheit und </w:t>
      </w:r>
      <w:r w:rsidR="000012A8">
        <w:t>in der Drogenpolitik</w:t>
      </w:r>
      <w:r w:rsidR="00B60CCC" w:rsidRPr="00FD3F65">
        <w:t xml:space="preserve"> </w:t>
      </w:r>
      <w:r w:rsidR="00E62186" w:rsidRPr="00FD3F65">
        <w:t xml:space="preserve">auch in den kommenden Jahren Herausforderungen </w:t>
      </w:r>
      <w:r w:rsidR="00AB436F" w:rsidRPr="00FD3F65">
        <w:t>mit sich bringen</w:t>
      </w:r>
      <w:r w:rsidR="00715C3E" w:rsidRPr="00FD3F65">
        <w:t xml:space="preserve"> wird</w:t>
      </w:r>
      <w:r w:rsidR="00B60CCC" w:rsidRPr="00FD3F65">
        <w:t xml:space="preserve">. Diese Herausforderungen beziehen sich auf die Geschwindigkeit, </w:t>
      </w:r>
      <w:r w:rsidR="000733A2">
        <w:t xml:space="preserve">in </w:t>
      </w:r>
      <w:r w:rsidR="00B60CCC" w:rsidRPr="00FD3F65">
        <w:t xml:space="preserve">der </w:t>
      </w:r>
      <w:r w:rsidR="00AB436F" w:rsidRPr="00FD3F65">
        <w:t xml:space="preserve">die Substanzen auftreten, </w:t>
      </w:r>
      <w:r w:rsidR="004B44E9" w:rsidRPr="00FD3F65">
        <w:t xml:space="preserve">auf die </w:t>
      </w:r>
      <w:r w:rsidR="0098706E" w:rsidRPr="00FD3F65">
        <w:t xml:space="preserve">Tatsache, dass sie offen verkauft werden, und </w:t>
      </w:r>
      <w:r w:rsidR="004B44E9" w:rsidRPr="00FD3F65">
        <w:t xml:space="preserve">auf den </w:t>
      </w:r>
      <w:r w:rsidR="0098706E" w:rsidRPr="00FD3F65">
        <w:t>Mangel an Informationen über ihre Wi</w:t>
      </w:r>
      <w:r w:rsidR="004B44E9" w:rsidRPr="00FD3F65">
        <w:t xml:space="preserve">rkungen und </w:t>
      </w:r>
      <w:r w:rsidR="00715C3E" w:rsidRPr="00FD3F65">
        <w:t xml:space="preserve">ihre </w:t>
      </w:r>
      <w:r w:rsidR="004B44E9" w:rsidRPr="00FD3F65">
        <w:t xml:space="preserve">schädlichen Folgen. Wirksame nationale und regionale Frühwarnsysteme werden bei der frühzeitigen Erkennung von Schäden </w:t>
      </w:r>
      <w:r w:rsidR="00715C3E" w:rsidRPr="00FD3F65">
        <w:t xml:space="preserve">eine zentrale Rolle </w:t>
      </w:r>
      <w:r w:rsidR="004B44E9" w:rsidRPr="00FD3F65">
        <w:t>spielen und dazu beitragen</w:t>
      </w:r>
      <w:r w:rsidR="00C170E5">
        <w:t xml:space="preserve">, </w:t>
      </w:r>
      <w:r w:rsidR="00715C3E" w:rsidRPr="00FD3F65">
        <w:t>sicherzustellen</w:t>
      </w:r>
      <w:r w:rsidR="004B44E9" w:rsidRPr="00FD3F65">
        <w:t xml:space="preserve">, dass zum Schutz der öffentlichen Gesundheit </w:t>
      </w:r>
      <w:r w:rsidR="00715C3E" w:rsidRPr="00FD3F65">
        <w:t xml:space="preserve">rechtzeitig Gegenmaßnahmen </w:t>
      </w:r>
      <w:r w:rsidR="004B44E9" w:rsidRPr="00FD3F65">
        <w:t>ergriffen werden.“</w:t>
      </w:r>
    </w:p>
    <w:p w:rsidR="00654EAB" w:rsidRPr="00654EAB" w:rsidRDefault="00622C93" w:rsidP="00630E02">
      <w:pPr>
        <w:pStyle w:val="newsNotes"/>
        <w:rPr>
          <w:b/>
          <w:sz w:val="18"/>
          <w:szCs w:val="18"/>
        </w:rPr>
      </w:pPr>
      <w:r w:rsidRPr="00654EAB">
        <w:rPr>
          <w:b/>
          <w:sz w:val="18"/>
          <w:szCs w:val="18"/>
        </w:rPr>
        <w:t>Anmerkungen</w:t>
      </w:r>
    </w:p>
    <w:p w:rsidR="00CB49DA" w:rsidRPr="00630E02" w:rsidRDefault="00CB49DA" w:rsidP="00630E02">
      <w:pPr>
        <w:pStyle w:val="newsNotes"/>
        <w:rPr>
          <w:b/>
          <w:sz w:val="16"/>
          <w:szCs w:val="16"/>
        </w:rPr>
      </w:pPr>
    </w:p>
    <w:p w:rsidR="00572197" w:rsidRPr="00630E02" w:rsidRDefault="00622C93" w:rsidP="00630E02">
      <w:pPr>
        <w:pStyle w:val="newsNotes"/>
        <w:spacing w:line="240" w:lineRule="auto"/>
        <w:ind w:right="-142"/>
        <w:rPr>
          <w:rFonts w:eastAsiaTheme="minorHAnsi" w:cs="Trivia Sans Book"/>
          <w:color w:val="000000"/>
          <w:sz w:val="12"/>
          <w:szCs w:val="12"/>
        </w:rPr>
      </w:pPr>
      <w:r w:rsidRPr="00654EAB">
        <w:rPr>
          <w:sz w:val="18"/>
          <w:szCs w:val="18"/>
        </w:rPr>
        <w:t>(</w:t>
      </w:r>
      <w:r w:rsidRPr="00654EAB">
        <w:rPr>
          <w:sz w:val="18"/>
          <w:szCs w:val="18"/>
          <w:vertAlign w:val="superscript"/>
        </w:rPr>
        <w:t>1</w:t>
      </w:r>
      <w:r w:rsidRPr="00654EAB">
        <w:rPr>
          <w:sz w:val="18"/>
          <w:szCs w:val="18"/>
        </w:rPr>
        <w:t xml:space="preserve">) </w:t>
      </w:r>
      <w:r w:rsidR="001F1AEA" w:rsidRPr="00654EAB">
        <w:rPr>
          <w:sz w:val="18"/>
          <w:szCs w:val="18"/>
        </w:rPr>
        <w:t>Die Veröffentlichung „</w:t>
      </w:r>
      <w:r w:rsidR="004B44E9" w:rsidRPr="00654EAB">
        <w:rPr>
          <w:rFonts w:eastAsiaTheme="minorHAnsi" w:cs="Trivia Sans Book"/>
          <w:i/>
          <w:color w:val="000000"/>
          <w:sz w:val="18"/>
          <w:szCs w:val="18"/>
        </w:rPr>
        <w:t>Aktu</w:t>
      </w:r>
      <w:r w:rsidR="001F1AEA" w:rsidRPr="00654EAB">
        <w:rPr>
          <w:rFonts w:eastAsiaTheme="minorHAnsi" w:cs="Trivia Sans Book"/>
          <w:i/>
          <w:color w:val="000000"/>
          <w:sz w:val="18"/>
          <w:szCs w:val="18"/>
        </w:rPr>
        <w:t xml:space="preserve">alisierung der Informationen des europäischen </w:t>
      </w:r>
      <w:r w:rsidR="004B44E9" w:rsidRPr="00654EAB">
        <w:rPr>
          <w:rFonts w:eastAsiaTheme="minorHAnsi" w:cs="Trivia Sans Book"/>
          <w:i/>
          <w:color w:val="000000"/>
          <w:sz w:val="18"/>
          <w:szCs w:val="18"/>
        </w:rPr>
        <w:t>Frühwarnsystems</w:t>
      </w:r>
      <w:r w:rsidR="001F1AEA" w:rsidRPr="00654EAB">
        <w:rPr>
          <w:rFonts w:eastAsiaTheme="minorHAnsi" w:cs="Trivia Sans Book"/>
          <w:color w:val="000000"/>
          <w:sz w:val="18"/>
          <w:szCs w:val="18"/>
        </w:rPr>
        <w:t xml:space="preserve">” kann </w:t>
      </w:r>
      <w:r w:rsidR="004B44E9" w:rsidRPr="00654EAB">
        <w:rPr>
          <w:rFonts w:eastAsiaTheme="minorHAnsi" w:cs="Trivia Sans Book"/>
          <w:color w:val="000000"/>
          <w:sz w:val="18"/>
          <w:szCs w:val="18"/>
        </w:rPr>
        <w:t>unt</w:t>
      </w:r>
      <w:r w:rsidR="00572197" w:rsidRPr="00654EAB">
        <w:rPr>
          <w:rFonts w:eastAsiaTheme="minorHAnsi" w:cs="Trivia Sans Book"/>
          <w:color w:val="000000"/>
          <w:sz w:val="18"/>
          <w:szCs w:val="18"/>
        </w:rPr>
        <w:t>er folgender Internetadresse</w:t>
      </w:r>
      <w:r w:rsidR="001F1AEA" w:rsidRPr="00654EAB">
        <w:rPr>
          <w:rFonts w:eastAsiaTheme="minorHAnsi" w:cs="Trivia Sans Book"/>
          <w:color w:val="000000"/>
          <w:sz w:val="18"/>
          <w:szCs w:val="18"/>
        </w:rPr>
        <w:t xml:space="preserve"> aufgerufen werden</w:t>
      </w:r>
      <w:r w:rsidR="004B44E9" w:rsidRPr="00654EAB">
        <w:rPr>
          <w:rFonts w:eastAsiaTheme="minorHAnsi" w:cs="Trivia Sans Book"/>
          <w:color w:val="000000"/>
          <w:sz w:val="18"/>
          <w:szCs w:val="18"/>
        </w:rPr>
        <w:t xml:space="preserve">: </w:t>
      </w:r>
      <w:hyperlink r:id="rId9" w:history="1">
        <w:r w:rsidR="00654EAB" w:rsidRPr="00654EAB">
          <w:rPr>
            <w:rStyle w:val="Hyperlink"/>
            <w:sz w:val="18"/>
            <w:szCs w:val="18"/>
          </w:rPr>
          <w:t>www.emcdda.europa.eu/publications/2015/new-psychoactive-substances</w:t>
        </w:r>
      </w:hyperlink>
      <w:r w:rsidR="00654EAB">
        <w:rPr>
          <w:rFonts w:eastAsiaTheme="minorHAnsi" w:cs="Trivia Sans Book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54EAB">
        <w:rPr>
          <w:sz w:val="18"/>
          <w:szCs w:val="18"/>
        </w:rPr>
        <w:t>(</w:t>
      </w:r>
      <w:r w:rsidRPr="00654EAB">
        <w:rPr>
          <w:sz w:val="18"/>
          <w:szCs w:val="18"/>
          <w:vertAlign w:val="superscript"/>
        </w:rPr>
        <w:t>2</w:t>
      </w:r>
      <w:r w:rsidRPr="00654EAB">
        <w:rPr>
          <w:sz w:val="18"/>
          <w:szCs w:val="18"/>
        </w:rPr>
        <w:t xml:space="preserve">) </w:t>
      </w:r>
      <w:r w:rsidR="004B44E9" w:rsidRPr="00654EAB">
        <w:rPr>
          <w:rFonts w:eastAsiaTheme="minorHAnsi" w:cs="Trivia Sans Book"/>
          <w:color w:val="000000"/>
          <w:sz w:val="18"/>
          <w:szCs w:val="18"/>
        </w:rPr>
        <w:t>2012 waren es 74, 2011 49 und 2010 41.</w:t>
      </w:r>
      <w:r w:rsidR="00654EAB">
        <w:rPr>
          <w:rFonts w:eastAsiaTheme="minorHAnsi" w:cs="Trivia Sans Book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654EAB">
        <w:rPr>
          <w:sz w:val="18"/>
          <w:szCs w:val="18"/>
        </w:rPr>
        <w:t>(</w:t>
      </w:r>
      <w:r w:rsidRPr="00654EAB">
        <w:rPr>
          <w:sz w:val="18"/>
          <w:szCs w:val="18"/>
          <w:vertAlign w:val="superscript"/>
        </w:rPr>
        <w:t>3</w:t>
      </w:r>
      <w:r w:rsidRPr="00654EAB">
        <w:rPr>
          <w:sz w:val="18"/>
          <w:szCs w:val="18"/>
        </w:rPr>
        <w:t xml:space="preserve">) </w:t>
      </w:r>
      <w:hyperlink r:id="rId10" w:history="1">
        <w:r w:rsidR="00572197" w:rsidRPr="00654EAB">
          <w:rPr>
            <w:rStyle w:val="Hyperlink"/>
            <w:sz w:val="18"/>
            <w:szCs w:val="18"/>
          </w:rPr>
          <w:t>www.unodc.org/unodc/en/commissions/CND/session/58_Session_2015/CND-58-Session_Index.html</w:t>
        </w:r>
      </w:hyperlink>
      <w:r w:rsidR="00654EAB">
        <w:rPr>
          <w:rStyle w:val="Hyperlink"/>
          <w:sz w:val="18"/>
          <w:szCs w:val="18"/>
        </w:rPr>
        <w:t xml:space="preserve">                                                       </w:t>
      </w:r>
      <w:r w:rsidRPr="00654EAB">
        <w:rPr>
          <w:sz w:val="18"/>
          <w:szCs w:val="18"/>
        </w:rPr>
        <w:t>(</w:t>
      </w:r>
      <w:r w:rsidRPr="00654EAB">
        <w:rPr>
          <w:sz w:val="18"/>
          <w:szCs w:val="18"/>
          <w:vertAlign w:val="superscript"/>
        </w:rPr>
        <w:t>4</w:t>
      </w:r>
      <w:r w:rsidRPr="00654EAB">
        <w:rPr>
          <w:sz w:val="18"/>
          <w:szCs w:val="18"/>
        </w:rPr>
        <w:t xml:space="preserve">) </w:t>
      </w:r>
      <w:r w:rsidR="001F1AEA" w:rsidRPr="00654EAB">
        <w:rPr>
          <w:sz w:val="18"/>
          <w:szCs w:val="18"/>
        </w:rPr>
        <w:t xml:space="preserve">Dem </w:t>
      </w:r>
      <w:r w:rsidR="001F1AEA" w:rsidRPr="00654EAB">
        <w:rPr>
          <w:rFonts w:eastAsiaTheme="minorHAnsi" w:cs="Trivia Sans Book"/>
          <w:color w:val="000000"/>
          <w:sz w:val="18"/>
          <w:szCs w:val="18"/>
        </w:rPr>
        <w:t>Wissenschaftlichen</w:t>
      </w:r>
      <w:r w:rsidR="00572197" w:rsidRPr="00654EAB">
        <w:rPr>
          <w:rFonts w:eastAsiaTheme="minorHAnsi" w:cs="Trivia Sans Book"/>
          <w:color w:val="000000"/>
          <w:sz w:val="18"/>
          <w:szCs w:val="18"/>
        </w:rPr>
        <w:t xml:space="preserve"> Ausschuss </w:t>
      </w:r>
      <w:r w:rsidR="001F1AEA" w:rsidRPr="00654EAB">
        <w:rPr>
          <w:rFonts w:eastAsiaTheme="minorHAnsi" w:cs="Trivia Sans Book"/>
          <w:color w:val="000000"/>
          <w:sz w:val="18"/>
          <w:szCs w:val="18"/>
        </w:rPr>
        <w:t xml:space="preserve">gehören </w:t>
      </w:r>
      <w:r w:rsidR="000733A2" w:rsidRPr="00654EAB">
        <w:rPr>
          <w:rFonts w:eastAsiaTheme="minorHAnsi" w:cs="Trivia Sans Book"/>
          <w:color w:val="000000"/>
          <w:sz w:val="18"/>
          <w:szCs w:val="18"/>
        </w:rPr>
        <w:t xml:space="preserve">in seiner erweiterten Zusammensetzung </w:t>
      </w:r>
      <w:r w:rsidR="00572197" w:rsidRPr="00654EAB">
        <w:rPr>
          <w:rFonts w:eastAsiaTheme="minorHAnsi" w:cs="Trivia Sans Book"/>
          <w:color w:val="000000"/>
          <w:sz w:val="18"/>
          <w:szCs w:val="18"/>
        </w:rPr>
        <w:t xml:space="preserve">zusätzlich Sachverständige der EU-Mitgliedstaaten, der Europäischen Kommission, von Europol und der Europäischen Arzneimittel-Agentur </w:t>
      </w:r>
      <w:r w:rsidR="00C170E5" w:rsidRPr="00654EAB">
        <w:rPr>
          <w:rFonts w:eastAsiaTheme="minorHAnsi" w:cs="Trivia Sans Book"/>
          <w:color w:val="000000"/>
          <w:sz w:val="18"/>
          <w:szCs w:val="18"/>
        </w:rPr>
        <w:t xml:space="preserve">(EMA) </w:t>
      </w:r>
      <w:r w:rsidR="00572197" w:rsidRPr="00654EAB">
        <w:rPr>
          <w:rFonts w:eastAsiaTheme="minorHAnsi" w:cs="Trivia Sans Book"/>
          <w:color w:val="000000"/>
          <w:sz w:val="18"/>
          <w:szCs w:val="18"/>
        </w:rPr>
        <w:t xml:space="preserve">an. Veröffentlichungen zur Risikobewertung können unter folgender Internetadresse </w:t>
      </w:r>
      <w:r w:rsidR="001F1AEA" w:rsidRPr="00654EAB">
        <w:rPr>
          <w:rFonts w:eastAsiaTheme="minorHAnsi" w:cs="Trivia Sans Book"/>
          <w:color w:val="000000"/>
          <w:sz w:val="18"/>
          <w:szCs w:val="18"/>
        </w:rPr>
        <w:t>auf</w:t>
      </w:r>
      <w:r w:rsidR="00572197" w:rsidRPr="00654EAB">
        <w:rPr>
          <w:rFonts w:eastAsiaTheme="minorHAnsi" w:cs="Trivia Sans Book"/>
          <w:color w:val="000000"/>
          <w:sz w:val="18"/>
          <w:szCs w:val="18"/>
        </w:rPr>
        <w:t xml:space="preserve">gerufen werden: </w:t>
      </w:r>
      <w:hyperlink r:id="rId11" w:history="1">
        <w:r w:rsidR="00572197" w:rsidRPr="00654EAB">
          <w:rPr>
            <w:rStyle w:val="Hyperlink"/>
            <w:sz w:val="18"/>
            <w:szCs w:val="18"/>
          </w:rPr>
          <w:t>www.emcdda.europa.eu/publications/risk-assessments</w:t>
        </w:r>
      </w:hyperlink>
    </w:p>
    <w:sectPr w:rsidR="00572197" w:rsidRPr="00630E02" w:rsidSect="00E81F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3E" w:rsidRDefault="00E6253E" w:rsidP="009A28FB">
      <w:pPr>
        <w:spacing w:after="0" w:line="240" w:lineRule="auto"/>
      </w:pPr>
      <w:r>
        <w:separator/>
      </w:r>
    </w:p>
  </w:endnote>
  <w:endnote w:type="continuationSeparator" w:id="0">
    <w:p w:rsidR="00E6253E" w:rsidRDefault="00E6253E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4" w:rsidRDefault="00441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RPr="008B7CC8" w:rsidTr="008B7CC8">
      <w:tc>
        <w:tcPr>
          <w:tcW w:w="1444" w:type="dxa"/>
          <w:shd w:val="clear" w:color="auto" w:fill="auto"/>
        </w:tcPr>
        <w:p w:rsidR="00BF1E3B" w:rsidRPr="008B7CC8" w:rsidRDefault="008B7CC8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3360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3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99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BF1E3B" w:rsidRPr="008B7CC8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shd w:val="clear" w:color="auto" w:fill="auto"/>
          <w:vAlign w:val="bottom"/>
        </w:tcPr>
        <w:p w:rsidR="00BF1E3B" w:rsidRPr="008B7CC8" w:rsidRDefault="00C01713" w:rsidP="008B7CC8">
          <w:pPr>
            <w:pStyle w:val="newsReference"/>
            <w:jc w:val="right"/>
          </w:pPr>
          <w:r w:rsidRPr="008B7CC8">
            <w:fldChar w:fldCharType="begin"/>
          </w:r>
          <w:r w:rsidRPr="008B7CC8">
            <w:instrText xml:space="preserve"> PAGE   \* MERGEFORMAT </w:instrText>
          </w:r>
          <w:r w:rsidRPr="008B7CC8">
            <w:fldChar w:fldCharType="separate"/>
          </w:r>
          <w:r w:rsidR="00C157BA">
            <w:rPr>
              <w:noProof/>
            </w:rPr>
            <w:t>2</w:t>
          </w:r>
          <w:r w:rsidRPr="008B7CC8"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RPr="008B7CC8" w:rsidTr="008B7CC8">
      <w:tc>
        <w:tcPr>
          <w:tcW w:w="7196" w:type="dxa"/>
          <w:shd w:val="clear" w:color="auto" w:fill="auto"/>
        </w:tcPr>
        <w:p w:rsidR="0063677C" w:rsidRPr="008B7CC8" w:rsidRDefault="0069096E" w:rsidP="003B00EE">
          <w:pPr>
            <w:pStyle w:val="newsCoordinates"/>
          </w:pPr>
          <w:r w:rsidRPr="008B7CC8">
            <w:t>Kontakt: Kathy Robertson, Presse- und Öffentlichkeitsarbeit</w:t>
          </w:r>
          <w:r w:rsidR="008B7CC8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5408" behindDoc="1" locked="0" layoutInCell="1" allowOverlap="1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1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99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63677C" w:rsidRPr="008B7CC8">
            <w:t xml:space="preserve"> </w:t>
          </w:r>
          <w:r w:rsidR="0063677C" w:rsidRPr="008B7CC8">
            <w:rPr>
              <w:sz w:val="18"/>
            </w:rPr>
            <w:t>I</w:t>
          </w:r>
          <w:r w:rsidR="0063677C" w:rsidRPr="008B7CC8">
            <w:t xml:space="preserve"> Kat</w:t>
          </w:r>
          <w:r w:rsidR="00E047BE">
            <w:t>hryn.Robertson@emcdda.europa.eu</w:t>
          </w:r>
        </w:p>
        <w:p w:rsidR="0063677C" w:rsidRPr="00654EAB" w:rsidRDefault="0069096E" w:rsidP="003B00EE">
          <w:pPr>
            <w:pStyle w:val="newsCoordinates"/>
            <w:rPr>
              <w:lang w:val="pt-PT"/>
            </w:rPr>
          </w:pPr>
          <w:r w:rsidRPr="00654EAB">
            <w:rPr>
              <w:lang w:val="pt-PT"/>
            </w:rPr>
            <w:t xml:space="preserve">Praça Europa 1, Cais do Sodré, 1249-289 </w:t>
          </w:r>
          <w:proofErr w:type="spellStart"/>
          <w:r w:rsidRPr="00654EAB">
            <w:rPr>
              <w:lang w:val="pt-PT"/>
            </w:rPr>
            <w:t>Lissabon</w:t>
          </w:r>
          <w:proofErr w:type="spellEnd"/>
          <w:r w:rsidRPr="00654EAB">
            <w:rPr>
              <w:lang w:val="pt-PT"/>
            </w:rPr>
            <w:t>, Portugal</w:t>
          </w:r>
        </w:p>
        <w:p w:rsidR="0063677C" w:rsidRPr="00630E02" w:rsidRDefault="0069096E" w:rsidP="0069096E">
          <w:pPr>
            <w:pStyle w:val="newsCoordinates"/>
            <w:rPr>
              <w:lang w:val="it-IT"/>
            </w:rPr>
          </w:pPr>
          <w:r w:rsidRPr="00630E02">
            <w:rPr>
              <w:lang w:val="it-IT"/>
            </w:rPr>
            <w:t>Tel. (351) 211 21 02</w:t>
          </w:r>
          <w:r w:rsidR="00944227" w:rsidRPr="00630E02">
            <w:rPr>
              <w:lang w:val="it-IT"/>
            </w:rPr>
            <w:t xml:space="preserve"> 00</w:t>
          </w:r>
          <w:r w:rsidR="0063677C" w:rsidRPr="00630E02">
            <w:rPr>
              <w:lang w:val="it-IT"/>
            </w:rPr>
            <w:t xml:space="preserve"> </w:t>
          </w:r>
          <w:r w:rsidR="0063677C" w:rsidRPr="00630E02">
            <w:rPr>
              <w:sz w:val="18"/>
              <w:lang w:val="it-IT"/>
            </w:rPr>
            <w:t xml:space="preserve">I </w:t>
          </w:r>
          <w:r w:rsidR="0063677C" w:rsidRPr="00630E02">
            <w:rPr>
              <w:lang w:val="it-IT"/>
            </w:rPr>
            <w:t xml:space="preserve">press@emcdda.europa.eu </w:t>
          </w:r>
          <w:r w:rsidR="0063677C" w:rsidRPr="00630E02">
            <w:rPr>
              <w:sz w:val="18"/>
              <w:lang w:val="it-IT"/>
            </w:rPr>
            <w:t>I</w:t>
          </w:r>
          <w:r w:rsidR="0063677C" w:rsidRPr="00630E02">
            <w:rPr>
              <w:lang w:val="it-IT"/>
            </w:rPr>
            <w:t xml:space="preserve"> </w:t>
          </w:r>
          <w:proofErr w:type="gramStart"/>
          <w:r w:rsidR="0063677C" w:rsidRPr="00630E02">
            <w:rPr>
              <w:lang w:val="it-IT"/>
            </w:rPr>
            <w:t>emcdda.europa.eu</w:t>
          </w:r>
          <w:proofErr w:type="gramEnd"/>
        </w:p>
      </w:tc>
      <w:tc>
        <w:tcPr>
          <w:tcW w:w="3294" w:type="dxa"/>
          <w:shd w:val="clear" w:color="auto" w:fill="auto"/>
          <w:vAlign w:val="bottom"/>
        </w:tcPr>
        <w:p w:rsidR="0063677C" w:rsidRPr="008B7CC8" w:rsidRDefault="004B44E9" w:rsidP="004B44E9">
          <w:pPr>
            <w:pStyle w:val="newsReference"/>
            <w:jc w:val="right"/>
          </w:pPr>
          <w:r>
            <w:t>DE — Nr. 1</w:t>
          </w:r>
          <w:r w:rsidR="0069096E" w:rsidRPr="008B7CC8">
            <w:t>/</w:t>
          </w:r>
          <w:r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3E" w:rsidRDefault="00E6253E" w:rsidP="009A28FB">
      <w:pPr>
        <w:spacing w:after="0" w:line="240" w:lineRule="auto"/>
      </w:pPr>
      <w:r>
        <w:separator/>
      </w:r>
    </w:p>
  </w:footnote>
  <w:footnote w:type="continuationSeparator" w:id="0">
    <w:p w:rsidR="00E6253E" w:rsidRDefault="00E6253E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4" w:rsidRDefault="00441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RPr="008B7CC8" w:rsidTr="008B7CC8">
      <w:tc>
        <w:tcPr>
          <w:tcW w:w="7196" w:type="dxa"/>
          <w:shd w:val="clear" w:color="auto" w:fill="auto"/>
        </w:tcPr>
        <w:p w:rsidR="00BF1E3B" w:rsidRPr="00654EAB" w:rsidRDefault="00654EAB" w:rsidP="00441C24">
          <w:pPr>
            <w:pStyle w:val="newsEmbargo"/>
            <w:rPr>
              <w:highlight w:val="yellow"/>
            </w:rPr>
          </w:pPr>
          <w:r w:rsidRPr="00441C24">
            <w:t xml:space="preserve">Jüngste Informationen </w:t>
          </w:r>
          <w:r w:rsidR="00622C93" w:rsidRPr="00441C24">
            <w:rPr>
              <w:noProof/>
              <w:lang w:eastAsia="en-GB"/>
            </w:rPr>
            <w:t>des europäischen Frühwarnsystems</w:t>
          </w:r>
          <w:r w:rsidR="00D11E59" w:rsidRPr="00441C24">
            <w:rPr>
              <w:noProof/>
              <w:lang w:eastAsia="en-GB"/>
            </w:rPr>
            <w:t xml:space="preserve"> </w:t>
          </w:r>
          <w:r w:rsidR="008B7CC8" w:rsidRPr="00654EAB">
            <w:rPr>
              <w:noProof/>
              <w:highlight w:val="yellow"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1312" behindDoc="1" locked="0" layoutInCell="1" allowOverlap="1" wp14:anchorId="619DA5FE" wp14:editId="77F5DDE2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6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99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3294" w:type="dxa"/>
          <w:shd w:val="clear" w:color="auto" w:fill="auto"/>
          <w:vAlign w:val="bottom"/>
        </w:tcPr>
        <w:p w:rsidR="00BF1E3B" w:rsidRPr="008B7CC8" w:rsidRDefault="00630E02" w:rsidP="00630E02">
          <w:pPr>
            <w:pStyle w:val="newsReference"/>
            <w:jc w:val="right"/>
          </w:pPr>
          <w:r w:rsidRPr="00441C24">
            <w:t>9</w:t>
          </w:r>
          <w:r w:rsidR="00BF1E3B" w:rsidRPr="00441C24">
            <w:t>.</w:t>
          </w:r>
          <w:r w:rsidRPr="00441C24">
            <w:t>3</w:t>
          </w:r>
          <w:r w:rsidR="00BF1E3B" w:rsidRPr="00441C24">
            <w:t>.201</w:t>
          </w:r>
          <w:r w:rsidRPr="00441C24">
            <w:t>5</w:t>
          </w:r>
        </w:p>
      </w:tc>
    </w:tr>
  </w:tbl>
  <w:p w:rsidR="00BF1E3B" w:rsidRDefault="00BF1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4" w:rsidRDefault="00441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C8"/>
    <w:rsid w:val="000012A8"/>
    <w:rsid w:val="000148A1"/>
    <w:rsid w:val="00014E8E"/>
    <w:rsid w:val="00036DAA"/>
    <w:rsid w:val="000535B7"/>
    <w:rsid w:val="00065E53"/>
    <w:rsid w:val="00067DD3"/>
    <w:rsid w:val="000733A2"/>
    <w:rsid w:val="00075735"/>
    <w:rsid w:val="000C6200"/>
    <w:rsid w:val="000D25B6"/>
    <w:rsid w:val="000F72C0"/>
    <w:rsid w:val="00105BFC"/>
    <w:rsid w:val="00107C96"/>
    <w:rsid w:val="0017713E"/>
    <w:rsid w:val="001800D0"/>
    <w:rsid w:val="00195AED"/>
    <w:rsid w:val="001A3338"/>
    <w:rsid w:val="001C795A"/>
    <w:rsid w:val="001D5C26"/>
    <w:rsid w:val="001F1AEA"/>
    <w:rsid w:val="001F70B4"/>
    <w:rsid w:val="002166F1"/>
    <w:rsid w:val="00223753"/>
    <w:rsid w:val="002524CD"/>
    <w:rsid w:val="002557B0"/>
    <w:rsid w:val="002646E4"/>
    <w:rsid w:val="0027252D"/>
    <w:rsid w:val="0028141E"/>
    <w:rsid w:val="002948E2"/>
    <w:rsid w:val="002A61F7"/>
    <w:rsid w:val="002B05CE"/>
    <w:rsid w:val="002B4353"/>
    <w:rsid w:val="002B45AC"/>
    <w:rsid w:val="002E79CE"/>
    <w:rsid w:val="0030486D"/>
    <w:rsid w:val="003228D0"/>
    <w:rsid w:val="0033158E"/>
    <w:rsid w:val="00340DD0"/>
    <w:rsid w:val="0036121D"/>
    <w:rsid w:val="00387D02"/>
    <w:rsid w:val="003B17A8"/>
    <w:rsid w:val="003B41B1"/>
    <w:rsid w:val="003C0395"/>
    <w:rsid w:val="003F39D8"/>
    <w:rsid w:val="004137B0"/>
    <w:rsid w:val="004221D3"/>
    <w:rsid w:val="0044111C"/>
    <w:rsid w:val="00441C24"/>
    <w:rsid w:val="00445080"/>
    <w:rsid w:val="0045468D"/>
    <w:rsid w:val="00474AC8"/>
    <w:rsid w:val="004847FB"/>
    <w:rsid w:val="004B44E9"/>
    <w:rsid w:val="004C3028"/>
    <w:rsid w:val="004D6E0C"/>
    <w:rsid w:val="00520EF1"/>
    <w:rsid w:val="00524D19"/>
    <w:rsid w:val="00542CEE"/>
    <w:rsid w:val="00546DCC"/>
    <w:rsid w:val="00570C7C"/>
    <w:rsid w:val="00572197"/>
    <w:rsid w:val="005A0DC8"/>
    <w:rsid w:val="005B05A0"/>
    <w:rsid w:val="005B0882"/>
    <w:rsid w:val="005B1B63"/>
    <w:rsid w:val="005C4033"/>
    <w:rsid w:val="006116D9"/>
    <w:rsid w:val="00622C93"/>
    <w:rsid w:val="00623A55"/>
    <w:rsid w:val="00630E02"/>
    <w:rsid w:val="0063677C"/>
    <w:rsid w:val="00654EAB"/>
    <w:rsid w:val="00666A63"/>
    <w:rsid w:val="0069096E"/>
    <w:rsid w:val="006C0FB4"/>
    <w:rsid w:val="006D795E"/>
    <w:rsid w:val="006F3F0D"/>
    <w:rsid w:val="007003A8"/>
    <w:rsid w:val="00715C3E"/>
    <w:rsid w:val="00723CF5"/>
    <w:rsid w:val="00730132"/>
    <w:rsid w:val="00731EAB"/>
    <w:rsid w:val="00762FB8"/>
    <w:rsid w:val="00773814"/>
    <w:rsid w:val="00775997"/>
    <w:rsid w:val="00791F09"/>
    <w:rsid w:val="007920E3"/>
    <w:rsid w:val="007927D2"/>
    <w:rsid w:val="007929CB"/>
    <w:rsid w:val="007B0E03"/>
    <w:rsid w:val="007B1CCD"/>
    <w:rsid w:val="007E4441"/>
    <w:rsid w:val="007F21F0"/>
    <w:rsid w:val="00813FB5"/>
    <w:rsid w:val="00833CE2"/>
    <w:rsid w:val="00841E86"/>
    <w:rsid w:val="0084511F"/>
    <w:rsid w:val="00846BFA"/>
    <w:rsid w:val="00860C28"/>
    <w:rsid w:val="00881730"/>
    <w:rsid w:val="008A4028"/>
    <w:rsid w:val="008B7CC8"/>
    <w:rsid w:val="008C1172"/>
    <w:rsid w:val="008D54B3"/>
    <w:rsid w:val="008F177B"/>
    <w:rsid w:val="008F399E"/>
    <w:rsid w:val="00902300"/>
    <w:rsid w:val="00911BB4"/>
    <w:rsid w:val="00944227"/>
    <w:rsid w:val="00955F0C"/>
    <w:rsid w:val="009732A0"/>
    <w:rsid w:val="00974A27"/>
    <w:rsid w:val="0098706E"/>
    <w:rsid w:val="00987C54"/>
    <w:rsid w:val="009A28FB"/>
    <w:rsid w:val="009A5891"/>
    <w:rsid w:val="009D6255"/>
    <w:rsid w:val="009D7631"/>
    <w:rsid w:val="00A0788A"/>
    <w:rsid w:val="00A164A0"/>
    <w:rsid w:val="00A311EF"/>
    <w:rsid w:val="00A3254D"/>
    <w:rsid w:val="00A661E2"/>
    <w:rsid w:val="00A843D2"/>
    <w:rsid w:val="00A856B7"/>
    <w:rsid w:val="00AB436F"/>
    <w:rsid w:val="00AD7BFC"/>
    <w:rsid w:val="00AE093C"/>
    <w:rsid w:val="00AE1738"/>
    <w:rsid w:val="00AF13B3"/>
    <w:rsid w:val="00AF259D"/>
    <w:rsid w:val="00B065AC"/>
    <w:rsid w:val="00B07642"/>
    <w:rsid w:val="00B11B73"/>
    <w:rsid w:val="00B272F1"/>
    <w:rsid w:val="00B51E08"/>
    <w:rsid w:val="00B57464"/>
    <w:rsid w:val="00B60CCC"/>
    <w:rsid w:val="00B61036"/>
    <w:rsid w:val="00B72DD3"/>
    <w:rsid w:val="00B7335C"/>
    <w:rsid w:val="00B836CA"/>
    <w:rsid w:val="00B97BC5"/>
    <w:rsid w:val="00BB60CF"/>
    <w:rsid w:val="00BB6B9C"/>
    <w:rsid w:val="00BC0D8E"/>
    <w:rsid w:val="00BF1E3B"/>
    <w:rsid w:val="00C01713"/>
    <w:rsid w:val="00C157BA"/>
    <w:rsid w:val="00C170E5"/>
    <w:rsid w:val="00C22549"/>
    <w:rsid w:val="00C24432"/>
    <w:rsid w:val="00C34D04"/>
    <w:rsid w:val="00C36BC1"/>
    <w:rsid w:val="00C417C8"/>
    <w:rsid w:val="00C56E7D"/>
    <w:rsid w:val="00C628C4"/>
    <w:rsid w:val="00C63254"/>
    <w:rsid w:val="00C874C0"/>
    <w:rsid w:val="00CA2FF5"/>
    <w:rsid w:val="00CB49DA"/>
    <w:rsid w:val="00CC2935"/>
    <w:rsid w:val="00CC4FDA"/>
    <w:rsid w:val="00CC6A8B"/>
    <w:rsid w:val="00CF0B3D"/>
    <w:rsid w:val="00D01335"/>
    <w:rsid w:val="00D03EC6"/>
    <w:rsid w:val="00D11E59"/>
    <w:rsid w:val="00D3312B"/>
    <w:rsid w:val="00D37865"/>
    <w:rsid w:val="00D57367"/>
    <w:rsid w:val="00D605EB"/>
    <w:rsid w:val="00D84AE3"/>
    <w:rsid w:val="00D92A34"/>
    <w:rsid w:val="00DA447D"/>
    <w:rsid w:val="00DD5294"/>
    <w:rsid w:val="00DE6951"/>
    <w:rsid w:val="00E047BE"/>
    <w:rsid w:val="00E21133"/>
    <w:rsid w:val="00E233F5"/>
    <w:rsid w:val="00E33CB4"/>
    <w:rsid w:val="00E57C9D"/>
    <w:rsid w:val="00E62186"/>
    <w:rsid w:val="00E6253E"/>
    <w:rsid w:val="00E66CCD"/>
    <w:rsid w:val="00E76AD8"/>
    <w:rsid w:val="00E81F3D"/>
    <w:rsid w:val="00E83FC3"/>
    <w:rsid w:val="00E84EB5"/>
    <w:rsid w:val="00EE23CC"/>
    <w:rsid w:val="00F02CBC"/>
    <w:rsid w:val="00F06CDE"/>
    <w:rsid w:val="00F11884"/>
    <w:rsid w:val="00F21CA9"/>
    <w:rsid w:val="00F24096"/>
    <w:rsid w:val="00F3124A"/>
    <w:rsid w:val="00F34117"/>
    <w:rsid w:val="00F34A0E"/>
    <w:rsid w:val="00F414EF"/>
    <w:rsid w:val="00F47542"/>
    <w:rsid w:val="00F6390A"/>
    <w:rsid w:val="00F670B6"/>
    <w:rsid w:val="00FA0F9D"/>
    <w:rsid w:val="00FA2EDD"/>
    <w:rsid w:val="00FB351B"/>
    <w:rsid w:val="00FC0187"/>
    <w:rsid w:val="00FC46E4"/>
    <w:rsid w:val="00FD3F65"/>
    <w:rsid w:val="00FE3721"/>
    <w:rsid w:val="00FE4789"/>
    <w:rsid w:val="00FF172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654EAB"/>
    <w:pPr>
      <w:tabs>
        <w:tab w:val="left" w:pos="5205"/>
      </w:tabs>
      <w:spacing w:before="200" w:after="112" w:line="300" w:lineRule="exact"/>
    </w:pPr>
    <w:rPr>
      <w:rFonts w:ascii="Arial" w:hAnsi="Arial"/>
      <w:cap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654EAB"/>
    <w:pPr>
      <w:spacing w:after="300" w:line="300" w:lineRule="exact"/>
    </w:pPr>
    <w:rPr>
      <w:rFonts w:ascii="Arial" w:hAnsi="Arial"/>
      <w:b/>
      <w:sz w:val="21"/>
      <w:szCs w:val="21"/>
    </w:rPr>
  </w:style>
  <w:style w:type="paragraph" w:customStyle="1" w:styleId="newsContent">
    <w:name w:val="newsContent"/>
    <w:basedOn w:val="Normal"/>
    <w:link w:val="newsContentChar"/>
    <w:autoRedefine/>
    <w:qFormat/>
    <w:rsid w:val="00630E02"/>
    <w:pPr>
      <w:spacing w:after="260" w:line="260" w:lineRule="exact"/>
      <w:ind w:right="-144"/>
    </w:pPr>
    <w:rPr>
      <w:rFonts w:ascii="Arial" w:hAnsi="Arial"/>
      <w:color w:val="000000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9096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9096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9096E"/>
    <w:rPr>
      <w:color w:val="000000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9096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rPr>
      <w:rFonts w:ascii="Comic Sans MS" w:eastAsia="Times New Roman" w:hAnsi="Comic Sans MS"/>
      <w:color w:val="0000FF"/>
      <w:sz w:val="24"/>
      <w:lang w:val="en-US" w:eastAsia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link w:val="newsContent"/>
    <w:rsid w:val="00630E02"/>
    <w:rPr>
      <w:rFonts w:ascii="Arial" w:hAnsi="Arial"/>
      <w:color w:val="000000"/>
      <w:szCs w:val="22"/>
      <w:lang w:eastAsia="en-US"/>
    </w:rPr>
  </w:style>
  <w:style w:type="character" w:customStyle="1" w:styleId="newsNotesChar">
    <w:name w:val="newsNotes Char"/>
    <w:link w:val="newsNotes"/>
    <w:rsid w:val="0069096E"/>
    <w:rPr>
      <w:rFonts w:ascii="Arial" w:hAnsi="Arial"/>
      <w:color w:val="000000"/>
      <w:sz w:val="17"/>
      <w:lang w:val="de-DE"/>
    </w:rPr>
  </w:style>
  <w:style w:type="character" w:customStyle="1" w:styleId="newsNotesNumberChar">
    <w:name w:val="newsNotesNumber Char"/>
    <w:link w:val="newsNotesNumber"/>
    <w:rsid w:val="00CB49DA"/>
    <w:rPr>
      <w:rFonts w:ascii="Arial" w:hAnsi="Arial"/>
      <w:color w:val="000000"/>
      <w:sz w:val="17"/>
      <w:vertAlign w:val="superscript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654EAB"/>
    <w:pPr>
      <w:tabs>
        <w:tab w:val="left" w:pos="5205"/>
      </w:tabs>
      <w:spacing w:before="200" w:after="112" w:line="300" w:lineRule="exact"/>
    </w:pPr>
    <w:rPr>
      <w:rFonts w:ascii="Arial" w:hAnsi="Arial"/>
      <w:cap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654EAB"/>
    <w:pPr>
      <w:spacing w:after="300" w:line="300" w:lineRule="exact"/>
    </w:pPr>
    <w:rPr>
      <w:rFonts w:ascii="Arial" w:hAnsi="Arial"/>
      <w:b/>
      <w:sz w:val="21"/>
      <w:szCs w:val="21"/>
    </w:rPr>
  </w:style>
  <w:style w:type="paragraph" w:customStyle="1" w:styleId="newsContent">
    <w:name w:val="newsContent"/>
    <w:basedOn w:val="Normal"/>
    <w:link w:val="newsContentChar"/>
    <w:autoRedefine/>
    <w:qFormat/>
    <w:rsid w:val="00630E02"/>
    <w:pPr>
      <w:spacing w:after="260" w:line="260" w:lineRule="exact"/>
      <w:ind w:right="-144"/>
    </w:pPr>
    <w:rPr>
      <w:rFonts w:ascii="Arial" w:hAnsi="Arial"/>
      <w:color w:val="000000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9096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9096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9096E"/>
    <w:rPr>
      <w:color w:val="000000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9096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rPr>
      <w:rFonts w:ascii="Comic Sans MS" w:eastAsia="Times New Roman" w:hAnsi="Comic Sans MS"/>
      <w:color w:val="0000FF"/>
      <w:sz w:val="24"/>
      <w:lang w:val="en-US" w:eastAsia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link w:val="newsContent"/>
    <w:rsid w:val="00630E02"/>
    <w:rPr>
      <w:rFonts w:ascii="Arial" w:hAnsi="Arial"/>
      <w:color w:val="000000"/>
      <w:szCs w:val="22"/>
      <w:lang w:eastAsia="en-US"/>
    </w:rPr>
  </w:style>
  <w:style w:type="character" w:customStyle="1" w:styleId="newsNotesChar">
    <w:name w:val="newsNotes Char"/>
    <w:link w:val="newsNotes"/>
    <w:rsid w:val="0069096E"/>
    <w:rPr>
      <w:rFonts w:ascii="Arial" w:hAnsi="Arial"/>
      <w:color w:val="000000"/>
      <w:sz w:val="17"/>
      <w:lang w:val="de-DE"/>
    </w:rPr>
  </w:style>
  <w:style w:type="character" w:customStyle="1" w:styleId="newsNotesNumberChar">
    <w:name w:val="newsNotesNumber Char"/>
    <w:link w:val="newsNotesNumber"/>
    <w:rsid w:val="00CB49DA"/>
    <w:rPr>
      <w:rFonts w:ascii="Arial" w:hAnsi="Arial"/>
      <w:color w:val="000000"/>
      <w:sz w:val="17"/>
      <w:vertAlign w:val="superscrip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mcdda.europa.eu/publications/risk-assessm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odc.org/unodc/en/commissions/CND/session/58_Session_2015/CND-58-Session_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mcdda.europa.eu/publications/2015/new-psychoactive-substanc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ll\Documents\news-release-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news-release-DE</Template>
  <TotalTime>13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 release DE</vt:lpstr>
      <vt:lpstr>News release DE</vt:lpstr>
    </vt:vector>
  </TitlesOfParts>
  <Manager>EMCDDA</Manager>
  <Company>Translation Centre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DE</dc:title>
  <dc:subject>News release DE</dc:subject>
  <dc:creator>Translation Centre</dc:creator>
  <cp:lastModifiedBy>Kathryn Robertson</cp:lastModifiedBy>
  <cp:revision>7</cp:revision>
  <cp:lastPrinted>2015-03-06T14:55:00Z</cp:lastPrinted>
  <dcterms:created xsi:type="dcterms:W3CDTF">2015-03-06T10:37:00Z</dcterms:created>
  <dcterms:modified xsi:type="dcterms:W3CDTF">2015-03-09T12:31:00Z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DE</vt:lpwstr>
  </property>
</Properties>
</file>