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047"/>
        <w:gridCol w:w="5778"/>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A16B77" w:rsidRPr="004A6498" w:rsidRDefault="008A3335" w:rsidP="004A6498">
      <w:pPr>
        <w:pStyle w:val="newsTitle"/>
        <w:rPr>
          <w:b/>
        </w:rPr>
      </w:pPr>
      <w:bookmarkStart w:id="0" w:name="_GoBack"/>
      <w:bookmarkEnd w:id="0"/>
      <w:r w:rsidRPr="004A6498">
        <w:t xml:space="preserve">emcdda and nSC sign memorandum of understanding </w:t>
      </w:r>
      <w:r w:rsidR="000173AC" w:rsidRPr="004A6498">
        <w:t>in yerevan</w:t>
      </w:r>
    </w:p>
    <w:p w:rsidR="00A16B77" w:rsidRPr="008A3335" w:rsidRDefault="00CE226C" w:rsidP="008A3335">
      <w:pPr>
        <w:pStyle w:val="newsSubTitle"/>
      </w:pPr>
      <w:r w:rsidRPr="008A3335">
        <w:t>EU drugs agency steps up cooperation with</w:t>
      </w:r>
      <w:r w:rsidR="008A3335" w:rsidRPr="008A3335">
        <w:t xml:space="preserve"> National Security Council of Armenia</w:t>
      </w:r>
    </w:p>
    <w:p w:rsidR="00A16B77" w:rsidRDefault="000173AC" w:rsidP="00A16B77">
      <w:pPr>
        <w:pStyle w:val="newsContent"/>
      </w:pPr>
      <w:r w:rsidRPr="00D753F9">
        <w:t>(16.</w:t>
      </w:r>
      <w:r w:rsidR="008A3335" w:rsidRPr="00D753F9">
        <w:t xml:space="preserve">7.2015, LISBON) The </w:t>
      </w:r>
      <w:r w:rsidR="008A3335" w:rsidRPr="00D753F9">
        <w:rPr>
          <w:b/>
          <w:bCs/>
        </w:rPr>
        <w:t xml:space="preserve">European Union </w:t>
      </w:r>
      <w:r w:rsidR="008A3335" w:rsidRPr="00D753F9">
        <w:t>and</w:t>
      </w:r>
      <w:r w:rsidR="008A3335" w:rsidRPr="00D753F9">
        <w:rPr>
          <w:b/>
        </w:rPr>
        <w:t xml:space="preserve"> Armenia</w:t>
      </w:r>
      <w:r w:rsidR="008A3335" w:rsidRPr="00D753F9">
        <w:t xml:space="preserve"> will </w:t>
      </w:r>
      <w:r w:rsidR="00D753F9" w:rsidRPr="00D753F9">
        <w:t>cooperate more actively on monitoring the drug phenomenon</w:t>
      </w:r>
      <w:r w:rsidR="0002769B">
        <w:t xml:space="preserve"> in future</w:t>
      </w:r>
      <w:r w:rsidR="00D753F9" w:rsidRPr="00D753F9">
        <w:t xml:space="preserve">, </w:t>
      </w:r>
      <w:r w:rsidR="008A3335" w:rsidRPr="00D753F9">
        <w:t xml:space="preserve">thanks to a Memorandum of Understanding (MoU) signed today in </w:t>
      </w:r>
      <w:r w:rsidR="008A3335" w:rsidRPr="00D753F9">
        <w:rPr>
          <w:b/>
          <w:bCs/>
        </w:rPr>
        <w:t>Yerevan</w:t>
      </w:r>
      <w:r w:rsidR="008A3335">
        <w:rPr>
          <w:b/>
          <w:bCs/>
        </w:rPr>
        <w:t xml:space="preserve"> </w:t>
      </w:r>
      <w:r w:rsidR="008A3335">
        <w:t xml:space="preserve">between the </w:t>
      </w:r>
      <w:r w:rsidR="008A3335">
        <w:rPr>
          <w:b/>
          <w:bCs/>
        </w:rPr>
        <w:t>EU drugs agency (EMCDDA)</w:t>
      </w:r>
      <w:r w:rsidR="008A3335">
        <w:t xml:space="preserve"> and the </w:t>
      </w:r>
      <w:r w:rsidR="008A3335">
        <w:rPr>
          <w:rFonts w:cs="Arial"/>
          <w:b/>
        </w:rPr>
        <w:t>National Security Council</w:t>
      </w:r>
      <w:r w:rsidR="008A3335" w:rsidRPr="00895A6E">
        <w:rPr>
          <w:rFonts w:cs="Arial"/>
          <w:b/>
        </w:rPr>
        <w:t xml:space="preserve"> </w:t>
      </w:r>
      <w:r w:rsidR="00B20A9F">
        <w:rPr>
          <w:rFonts w:cs="Arial"/>
          <w:b/>
        </w:rPr>
        <w:t xml:space="preserve">of </w:t>
      </w:r>
      <w:r w:rsidR="00B20A9F" w:rsidRPr="00B20A9F">
        <w:rPr>
          <w:b/>
        </w:rPr>
        <w:t>Armenia</w:t>
      </w:r>
      <w:r w:rsidR="00B20A9F" w:rsidRPr="00895A6E">
        <w:rPr>
          <w:rFonts w:cs="Arial"/>
          <w:b/>
        </w:rPr>
        <w:t xml:space="preserve"> </w:t>
      </w:r>
      <w:r w:rsidR="008A3335" w:rsidRPr="00895A6E">
        <w:rPr>
          <w:rFonts w:cs="Arial"/>
          <w:b/>
        </w:rPr>
        <w:t>(</w:t>
      </w:r>
      <w:r w:rsidR="008A3335">
        <w:rPr>
          <w:rFonts w:cs="Arial"/>
          <w:b/>
        </w:rPr>
        <w:t>NSC</w:t>
      </w:r>
      <w:r w:rsidR="008A3335" w:rsidRPr="00895A6E">
        <w:rPr>
          <w:rFonts w:cs="Arial"/>
          <w:b/>
        </w:rPr>
        <w:t>)</w:t>
      </w:r>
      <w:r w:rsidR="008A3335" w:rsidRPr="008A3335">
        <w:rPr>
          <w:rFonts w:cs="Arial"/>
          <w:color w:val="000000"/>
          <w:szCs w:val="20"/>
        </w:rPr>
        <w:t>(</w:t>
      </w:r>
      <w:r w:rsidR="008A3335" w:rsidRPr="008A3335">
        <w:rPr>
          <w:rStyle w:val="A6"/>
          <w:rFonts w:ascii="Arial" w:hAnsi="Arial" w:cs="Arial"/>
          <w:sz w:val="20"/>
          <w:szCs w:val="20"/>
          <w:vertAlign w:val="superscript"/>
        </w:rPr>
        <w:t>1</w:t>
      </w:r>
      <w:r w:rsidR="008A3335" w:rsidRPr="008A3335">
        <w:rPr>
          <w:rFonts w:cs="Arial"/>
          <w:color w:val="000000"/>
          <w:szCs w:val="20"/>
        </w:rPr>
        <w:t>).</w:t>
      </w:r>
      <w:r w:rsidR="008A3335">
        <w:rPr>
          <w:rFonts w:cs="Arial"/>
          <w:lang w:eastAsia="en-GB"/>
        </w:rPr>
        <w:t xml:space="preserve"> </w:t>
      </w:r>
      <w:r w:rsidR="008A3335" w:rsidRPr="00895A6E">
        <w:t>The agreement</w:t>
      </w:r>
      <w:r w:rsidR="008A3335">
        <w:t xml:space="preserve"> was</w:t>
      </w:r>
      <w:r w:rsidR="008A3335" w:rsidRPr="00895A6E">
        <w:t xml:space="preserve"> signed by </w:t>
      </w:r>
      <w:r w:rsidR="008A3335" w:rsidRPr="00895A6E">
        <w:rPr>
          <w:b/>
        </w:rPr>
        <w:t>EMCDDA Director Wolfgang Götz</w:t>
      </w:r>
      <w:r w:rsidR="008A3335" w:rsidRPr="00895A6E">
        <w:t xml:space="preserve"> </w:t>
      </w:r>
      <w:r w:rsidR="008A3335" w:rsidRPr="00895A6E">
        <w:rPr>
          <w:rFonts w:cs="Arial"/>
        </w:rPr>
        <w:t xml:space="preserve">and </w:t>
      </w:r>
      <w:r w:rsidR="008A3335" w:rsidRPr="00795EBE">
        <w:rPr>
          <w:rFonts w:cs="Arial"/>
          <w:b/>
        </w:rPr>
        <w:t>NSC</w:t>
      </w:r>
      <w:r w:rsidR="008A3335">
        <w:rPr>
          <w:rFonts w:cs="Arial"/>
        </w:rPr>
        <w:t xml:space="preserve"> </w:t>
      </w:r>
      <w:r w:rsidR="008A3335">
        <w:rPr>
          <w:b/>
          <w:bCs/>
        </w:rPr>
        <w:t>Chief of s</w:t>
      </w:r>
      <w:r w:rsidR="00B20A9F">
        <w:rPr>
          <w:b/>
          <w:bCs/>
        </w:rPr>
        <w:t xml:space="preserve">taff, </w:t>
      </w:r>
      <w:r w:rsidR="008A3335">
        <w:rPr>
          <w:b/>
          <w:bCs/>
        </w:rPr>
        <w:t>Aram Tananyan</w:t>
      </w:r>
      <w:r w:rsidR="003E68D3" w:rsidRPr="003E68D3">
        <w:rPr>
          <w:bCs/>
        </w:rPr>
        <w:t>.</w:t>
      </w:r>
    </w:p>
    <w:p w:rsidR="003E68D3" w:rsidRPr="003E68D3" w:rsidRDefault="003E68D3" w:rsidP="003E68D3">
      <w:pPr>
        <w:autoSpaceDE w:val="0"/>
        <w:autoSpaceDN w:val="0"/>
        <w:adjustRightInd w:val="0"/>
        <w:ind w:right="-201"/>
        <w:rPr>
          <w:rFonts w:ascii="Arial" w:hAnsi="Arial" w:cs="Arial"/>
          <w:sz w:val="20"/>
          <w:szCs w:val="20"/>
        </w:rPr>
      </w:pPr>
      <w:r w:rsidRPr="003E68D3">
        <w:rPr>
          <w:rFonts w:ascii="Arial" w:hAnsi="Arial" w:cs="Arial"/>
          <w:b/>
          <w:sz w:val="20"/>
          <w:szCs w:val="20"/>
        </w:rPr>
        <w:t>Armenia</w:t>
      </w:r>
      <w:r w:rsidRPr="003E68D3">
        <w:rPr>
          <w:rFonts w:ascii="Arial" w:hAnsi="Arial" w:cs="Arial"/>
          <w:sz w:val="20"/>
          <w:szCs w:val="20"/>
        </w:rPr>
        <w:t xml:space="preserve"> — a country of the </w:t>
      </w:r>
      <w:r w:rsidRPr="003E68D3">
        <w:rPr>
          <w:rFonts w:ascii="Arial" w:hAnsi="Arial" w:cs="Arial"/>
          <w:b/>
          <w:sz w:val="20"/>
          <w:szCs w:val="20"/>
        </w:rPr>
        <w:t>European Neighbourhood Policy</w:t>
      </w:r>
      <w:r w:rsidRPr="003E68D3">
        <w:rPr>
          <w:rFonts w:ascii="Arial" w:hAnsi="Arial" w:cs="Arial"/>
          <w:sz w:val="20"/>
          <w:szCs w:val="20"/>
        </w:rPr>
        <w:t xml:space="preserve"> (ENP) area — submitted a formal request for cooperation with the </w:t>
      </w:r>
      <w:r w:rsidRPr="003E68D3">
        <w:rPr>
          <w:rFonts w:ascii="Arial" w:hAnsi="Arial" w:cs="Arial"/>
          <w:b/>
          <w:sz w:val="20"/>
          <w:szCs w:val="20"/>
        </w:rPr>
        <w:t>EMCDDA</w:t>
      </w:r>
      <w:r w:rsidRPr="003E68D3">
        <w:rPr>
          <w:rFonts w:ascii="Arial" w:hAnsi="Arial" w:cs="Arial"/>
          <w:sz w:val="20"/>
          <w:szCs w:val="20"/>
        </w:rPr>
        <w:t xml:space="preserve"> in 2013 </w:t>
      </w:r>
      <w:r w:rsidRPr="003E68D3">
        <w:rPr>
          <w:rFonts w:ascii="Arial" w:hAnsi="Arial" w:cs="Arial"/>
          <w:color w:val="000000"/>
          <w:sz w:val="20"/>
          <w:szCs w:val="20"/>
        </w:rPr>
        <w:t>(</w:t>
      </w:r>
      <w:r w:rsidRPr="003E68D3">
        <w:rPr>
          <w:rStyle w:val="A6"/>
          <w:rFonts w:ascii="Arial" w:hAnsi="Arial" w:cs="Arial"/>
          <w:sz w:val="20"/>
          <w:szCs w:val="20"/>
          <w:vertAlign w:val="superscript"/>
        </w:rPr>
        <w:t>2</w:t>
      </w:r>
      <w:r w:rsidRPr="003E68D3">
        <w:rPr>
          <w:rFonts w:ascii="Arial" w:hAnsi="Arial" w:cs="Arial"/>
          <w:color w:val="000000"/>
          <w:sz w:val="20"/>
          <w:szCs w:val="20"/>
        </w:rPr>
        <w:t>)</w:t>
      </w:r>
      <w:r w:rsidRPr="003E68D3">
        <w:rPr>
          <w:rFonts w:ascii="Arial" w:hAnsi="Arial" w:cs="Arial"/>
          <w:sz w:val="20"/>
          <w:szCs w:val="20"/>
        </w:rPr>
        <w:t xml:space="preserve">. This led to a green light from the </w:t>
      </w:r>
      <w:r w:rsidRPr="003E68D3">
        <w:rPr>
          <w:rFonts w:ascii="Arial" w:hAnsi="Arial" w:cs="Arial"/>
          <w:b/>
          <w:sz w:val="20"/>
          <w:szCs w:val="20"/>
        </w:rPr>
        <w:t>EMCDDA Management Board</w:t>
      </w:r>
      <w:r w:rsidRPr="003E68D3">
        <w:rPr>
          <w:rFonts w:ascii="Arial" w:hAnsi="Arial" w:cs="Arial"/>
          <w:sz w:val="20"/>
          <w:szCs w:val="20"/>
        </w:rPr>
        <w:t xml:space="preserve"> in July that year for the agency to negotiate the MoU with the</w:t>
      </w:r>
      <w:r w:rsidRPr="003E68D3">
        <w:rPr>
          <w:rFonts w:ascii="Arial" w:hAnsi="Arial" w:cs="Arial"/>
          <w:b/>
          <w:sz w:val="20"/>
          <w:szCs w:val="20"/>
        </w:rPr>
        <w:t xml:space="preserve"> NSC</w:t>
      </w:r>
      <w:r w:rsidRPr="003E68D3">
        <w:rPr>
          <w:rFonts w:ascii="Arial" w:hAnsi="Arial" w:cs="Arial"/>
          <w:sz w:val="20"/>
          <w:szCs w:val="20"/>
        </w:rPr>
        <w:t>.</w:t>
      </w:r>
      <w:r w:rsidRPr="003E68D3">
        <w:rPr>
          <w:rFonts w:ascii="Arial" w:hAnsi="Arial" w:cs="Arial"/>
          <w:b/>
          <w:sz w:val="20"/>
          <w:szCs w:val="20"/>
        </w:rPr>
        <w:t xml:space="preserve"> </w:t>
      </w:r>
      <w:r w:rsidRPr="003E68D3">
        <w:rPr>
          <w:rFonts w:ascii="Arial" w:hAnsi="Arial" w:cs="Arial"/>
          <w:sz w:val="20"/>
          <w:szCs w:val="20"/>
        </w:rPr>
        <w:t xml:space="preserve"> </w:t>
      </w:r>
    </w:p>
    <w:p w:rsidR="003E68D3" w:rsidRPr="003E68D3" w:rsidRDefault="003E68D3" w:rsidP="003E68D3">
      <w:pPr>
        <w:rPr>
          <w:rFonts w:ascii="Arial" w:hAnsi="Arial" w:cs="Arial"/>
          <w:sz w:val="20"/>
          <w:szCs w:val="20"/>
        </w:rPr>
      </w:pPr>
      <w:r w:rsidRPr="003E68D3">
        <w:rPr>
          <w:rFonts w:ascii="Arial" w:hAnsi="Arial" w:cs="Arial"/>
          <w:color w:val="000000"/>
          <w:sz w:val="20"/>
          <w:szCs w:val="20"/>
          <w:lang w:eastAsia="zh-CN"/>
        </w:rPr>
        <w:t xml:space="preserve">Today’s accord — </w:t>
      </w:r>
      <w:r w:rsidRPr="003E68D3">
        <w:rPr>
          <w:rFonts w:ascii="Arial" w:hAnsi="Arial" w:cs="Arial"/>
          <w:sz w:val="20"/>
          <w:szCs w:val="20"/>
        </w:rPr>
        <w:t xml:space="preserve">signed for an initial period of five years and </w:t>
      </w:r>
      <w:r w:rsidRPr="003E68D3">
        <w:rPr>
          <w:rFonts w:ascii="Arial" w:hAnsi="Arial" w:cs="Arial"/>
          <w:color w:val="000000"/>
          <w:sz w:val="20"/>
          <w:szCs w:val="20"/>
          <w:lang w:eastAsia="zh-CN"/>
        </w:rPr>
        <w:t xml:space="preserve">sealing cooperation between the two partners — will be implemented through a </w:t>
      </w:r>
      <w:r w:rsidRPr="003E68D3">
        <w:rPr>
          <w:rFonts w:ascii="Arial" w:hAnsi="Arial" w:cs="Arial"/>
          <w:sz w:val="20"/>
          <w:szCs w:val="20"/>
        </w:rPr>
        <w:t xml:space="preserve">joint work programme to be updated every three years. </w:t>
      </w:r>
      <w:r w:rsidR="004A6498">
        <w:rPr>
          <w:rFonts w:ascii="Arial" w:hAnsi="Arial" w:cs="Arial"/>
          <w:sz w:val="20"/>
          <w:szCs w:val="20"/>
        </w:rPr>
        <w:t xml:space="preserve">                 </w:t>
      </w:r>
      <w:r w:rsidRPr="003E68D3">
        <w:rPr>
          <w:rFonts w:ascii="Arial" w:hAnsi="Arial" w:cs="Arial"/>
          <w:sz w:val="20"/>
          <w:szCs w:val="20"/>
        </w:rPr>
        <w:t xml:space="preserve">This programme will include steps to enhance the partners’ monitoring and knowledge base on the drug situation and responses to it, particularly through harmonising key indicators in areas of both supply </w:t>
      </w:r>
      <w:r w:rsidR="004A6498">
        <w:rPr>
          <w:rFonts w:ascii="Arial" w:hAnsi="Arial" w:cs="Arial"/>
          <w:sz w:val="20"/>
          <w:szCs w:val="20"/>
        </w:rPr>
        <w:t xml:space="preserve">             </w:t>
      </w:r>
      <w:r w:rsidRPr="003E68D3">
        <w:rPr>
          <w:rFonts w:ascii="Arial" w:hAnsi="Arial" w:cs="Arial"/>
          <w:sz w:val="20"/>
          <w:szCs w:val="20"/>
        </w:rPr>
        <w:t xml:space="preserve">and demand. </w:t>
      </w:r>
    </w:p>
    <w:p w:rsidR="003E68D3" w:rsidRPr="003E68D3" w:rsidRDefault="003E68D3" w:rsidP="003E68D3">
      <w:pPr>
        <w:rPr>
          <w:rFonts w:ascii="Arial" w:hAnsi="Arial" w:cs="Arial"/>
          <w:sz w:val="20"/>
          <w:szCs w:val="20"/>
        </w:rPr>
      </w:pPr>
      <w:r w:rsidRPr="003E68D3">
        <w:rPr>
          <w:rFonts w:ascii="Arial" w:hAnsi="Arial" w:cs="Arial"/>
          <w:sz w:val="20"/>
          <w:szCs w:val="20"/>
        </w:rPr>
        <w:t xml:space="preserve">Special attention will be given to the regular exchange of information on the appearance on the drug market and use of new psychotropic substances, as well as the technologies employed in their production. </w:t>
      </w:r>
    </w:p>
    <w:p w:rsidR="003E68D3" w:rsidRPr="003E68D3" w:rsidRDefault="003E68D3" w:rsidP="003E68D3">
      <w:pPr>
        <w:rPr>
          <w:rFonts w:ascii="Arial" w:hAnsi="Arial" w:cs="Arial"/>
          <w:sz w:val="20"/>
          <w:szCs w:val="20"/>
        </w:rPr>
      </w:pPr>
      <w:r w:rsidRPr="003E68D3">
        <w:rPr>
          <w:rFonts w:ascii="Arial" w:hAnsi="Arial" w:cs="Arial"/>
          <w:sz w:val="20"/>
          <w:szCs w:val="20"/>
        </w:rPr>
        <w:t xml:space="preserve">The agreement provides for an exchange of technical expertise and knowledge between the two bodies, the co-sponsoring of technical meetings and the pooling of human and financial resources to launch joint programmes. The </w:t>
      </w:r>
      <w:r w:rsidRPr="00BA4EDB">
        <w:rPr>
          <w:rFonts w:ascii="Arial" w:hAnsi="Arial" w:cs="Arial"/>
          <w:b/>
          <w:sz w:val="20"/>
          <w:szCs w:val="20"/>
        </w:rPr>
        <w:t>NSC</w:t>
      </w:r>
      <w:r w:rsidRPr="003E68D3">
        <w:rPr>
          <w:rFonts w:ascii="Arial" w:hAnsi="Arial" w:cs="Arial"/>
          <w:sz w:val="20"/>
          <w:szCs w:val="20"/>
        </w:rPr>
        <w:t xml:space="preserve"> will endeavour to present to the </w:t>
      </w:r>
      <w:r w:rsidRPr="003E68D3">
        <w:rPr>
          <w:rFonts w:ascii="Arial" w:hAnsi="Arial" w:cs="Arial"/>
          <w:b/>
          <w:sz w:val="20"/>
          <w:szCs w:val="20"/>
        </w:rPr>
        <w:t xml:space="preserve">EMCDDA </w:t>
      </w:r>
      <w:r w:rsidRPr="003E68D3">
        <w:rPr>
          <w:rFonts w:ascii="Arial" w:hAnsi="Arial" w:cs="Arial"/>
          <w:sz w:val="20"/>
          <w:szCs w:val="20"/>
        </w:rPr>
        <w:t xml:space="preserve">an annual report on the drug situation in Armenia. The </w:t>
      </w:r>
      <w:r w:rsidRPr="003E68D3">
        <w:rPr>
          <w:rFonts w:ascii="Arial" w:hAnsi="Arial" w:cs="Arial"/>
          <w:b/>
          <w:sz w:val="20"/>
          <w:szCs w:val="20"/>
        </w:rPr>
        <w:t>EMCDDA</w:t>
      </w:r>
      <w:r w:rsidRPr="003E68D3">
        <w:rPr>
          <w:rFonts w:ascii="Arial" w:hAnsi="Arial" w:cs="Arial"/>
          <w:sz w:val="20"/>
          <w:szCs w:val="20"/>
        </w:rPr>
        <w:t xml:space="preserve">, for its part, will facilitate training as well as the exchange of experts and scientific research findings on issues of mutual interest. </w:t>
      </w:r>
    </w:p>
    <w:p w:rsidR="003E68D3" w:rsidRPr="003E68D3" w:rsidRDefault="003E68D3" w:rsidP="003E68D3">
      <w:pPr>
        <w:rPr>
          <w:rFonts w:ascii="Arial" w:hAnsi="Arial" w:cs="Arial"/>
          <w:sz w:val="20"/>
          <w:szCs w:val="20"/>
        </w:rPr>
      </w:pPr>
      <w:r w:rsidRPr="003E68D3">
        <w:rPr>
          <w:rFonts w:ascii="Arial" w:hAnsi="Arial" w:cs="Arial"/>
          <w:sz w:val="20"/>
          <w:szCs w:val="20"/>
        </w:rPr>
        <w:t xml:space="preserve">Both organisations recognise that information on the drugs phenomenon is an essential and indispensable instrument for drafting and implementing drug policies and for assessing the impact of actions to reduce the problems originating from drug use and trafficking. </w:t>
      </w:r>
    </w:p>
    <w:p w:rsidR="003E68D3" w:rsidRPr="003E68D3" w:rsidRDefault="003E68D3" w:rsidP="003E68D3">
      <w:pPr>
        <w:rPr>
          <w:rFonts w:ascii="Arial" w:hAnsi="Arial" w:cs="Arial"/>
          <w:sz w:val="20"/>
          <w:szCs w:val="20"/>
        </w:rPr>
      </w:pPr>
      <w:r w:rsidRPr="003E68D3">
        <w:rPr>
          <w:rFonts w:ascii="Arial" w:hAnsi="Arial" w:cs="Arial"/>
          <w:sz w:val="20"/>
          <w:szCs w:val="20"/>
        </w:rPr>
        <w:t xml:space="preserve">This cooperation takes place within the </w:t>
      </w:r>
      <w:r w:rsidRPr="003E68D3">
        <w:rPr>
          <w:rFonts w:ascii="Arial" w:hAnsi="Arial" w:cs="Arial"/>
          <w:b/>
          <w:sz w:val="20"/>
          <w:szCs w:val="20"/>
        </w:rPr>
        <w:t>EMCDDA</w:t>
      </w:r>
      <w:r w:rsidRPr="003E68D3">
        <w:rPr>
          <w:rFonts w:ascii="Arial" w:hAnsi="Arial" w:cs="Arial"/>
          <w:sz w:val="20"/>
          <w:szCs w:val="20"/>
        </w:rPr>
        <w:t xml:space="preserve">’s mandate for cooperation with third (non-EU) countries in consultation with its Management Board and the </w:t>
      </w:r>
      <w:r w:rsidRPr="003E68D3">
        <w:rPr>
          <w:rFonts w:ascii="Arial" w:hAnsi="Arial" w:cs="Arial"/>
          <w:b/>
          <w:sz w:val="20"/>
          <w:szCs w:val="20"/>
        </w:rPr>
        <w:t>European Commission</w:t>
      </w:r>
      <w:r w:rsidRPr="003E68D3">
        <w:rPr>
          <w:rFonts w:ascii="Arial" w:hAnsi="Arial" w:cs="Arial"/>
          <w:color w:val="000000"/>
          <w:sz w:val="20"/>
          <w:szCs w:val="20"/>
        </w:rPr>
        <w:t xml:space="preserve"> (</w:t>
      </w:r>
      <w:r w:rsidRPr="003E68D3">
        <w:rPr>
          <w:rStyle w:val="A6"/>
          <w:rFonts w:ascii="Arial" w:hAnsi="Arial" w:cs="Arial"/>
          <w:sz w:val="20"/>
          <w:szCs w:val="20"/>
          <w:vertAlign w:val="superscript"/>
        </w:rPr>
        <w:t>3</w:t>
      </w:r>
      <w:r w:rsidRPr="003E68D3">
        <w:rPr>
          <w:rFonts w:ascii="Arial" w:hAnsi="Arial" w:cs="Arial"/>
          <w:color w:val="000000"/>
          <w:sz w:val="20"/>
          <w:szCs w:val="20"/>
        </w:rPr>
        <w:t>)</w:t>
      </w:r>
      <w:r w:rsidRPr="003E68D3">
        <w:rPr>
          <w:rFonts w:ascii="Arial" w:hAnsi="Arial" w:cs="Arial"/>
          <w:sz w:val="20"/>
          <w:szCs w:val="20"/>
        </w:rPr>
        <w:t xml:space="preserve">. </w:t>
      </w:r>
    </w:p>
    <w:p w:rsidR="00BA4EDB" w:rsidRDefault="00BA4EDB" w:rsidP="00BA4EDB">
      <w:pPr>
        <w:pStyle w:val="newsNotes"/>
      </w:pPr>
    </w:p>
    <w:p w:rsidR="00CB49DA" w:rsidRDefault="00BA4EDB" w:rsidP="00BA4EDB">
      <w:pPr>
        <w:pStyle w:val="newsNotes"/>
      </w:pPr>
      <w:r w:rsidRPr="00BA4EDB">
        <w:t>Notes</w:t>
      </w:r>
    </w:p>
    <w:p w:rsidR="00BA4EDB" w:rsidRDefault="00BA4EDB" w:rsidP="00BA4EDB">
      <w:pPr>
        <w:pStyle w:val="newsNotes"/>
      </w:pPr>
    </w:p>
    <w:p w:rsidR="00BA4EDB" w:rsidRDefault="00BA4EDB" w:rsidP="00BA4EDB">
      <w:pPr>
        <w:autoSpaceDE w:val="0"/>
        <w:autoSpaceDN w:val="0"/>
        <w:adjustRightInd w:val="0"/>
        <w:spacing w:after="0"/>
        <w:ind w:right="-198"/>
        <w:rPr>
          <w:rFonts w:ascii="Arial" w:hAnsi="Arial" w:cs="Arial"/>
          <w:sz w:val="18"/>
          <w:szCs w:val="18"/>
        </w:rPr>
      </w:pPr>
      <w:r w:rsidRPr="00BA4EDB">
        <w:rPr>
          <w:rFonts w:ascii="Arial" w:hAnsi="Arial" w:cs="Arial"/>
          <w:color w:val="000000"/>
          <w:sz w:val="18"/>
          <w:szCs w:val="18"/>
        </w:rPr>
        <w:t>(</w:t>
      </w:r>
      <w:r w:rsidRPr="00BA4EDB">
        <w:rPr>
          <w:rStyle w:val="A6"/>
          <w:rFonts w:ascii="Arial" w:hAnsi="Arial" w:cs="Arial"/>
          <w:sz w:val="18"/>
          <w:szCs w:val="18"/>
          <w:vertAlign w:val="superscript"/>
        </w:rPr>
        <w:t>1</w:t>
      </w:r>
      <w:r w:rsidRPr="00BA4EDB">
        <w:rPr>
          <w:rFonts w:ascii="Arial" w:hAnsi="Arial" w:cs="Arial"/>
          <w:color w:val="000000"/>
          <w:sz w:val="18"/>
          <w:szCs w:val="18"/>
        </w:rPr>
        <w:t xml:space="preserve">) </w:t>
      </w:r>
      <w:r w:rsidRPr="00BA4EDB">
        <w:rPr>
          <w:rFonts w:ascii="Arial" w:hAnsi="Arial" w:cs="Arial"/>
          <w:sz w:val="18"/>
          <w:szCs w:val="18"/>
        </w:rPr>
        <w:t xml:space="preserve">See full text at </w:t>
      </w:r>
      <w:hyperlink r:id="rId10" w:history="1">
        <w:r w:rsidRPr="00BA4EDB">
          <w:rPr>
            <w:rStyle w:val="Hyperlink"/>
            <w:rFonts w:cs="Arial"/>
            <w:sz w:val="18"/>
            <w:szCs w:val="18"/>
          </w:rPr>
          <w:t>www.emcdda.europa</w:t>
        </w:r>
      </w:hyperlink>
      <w:r>
        <w:rPr>
          <w:rStyle w:val="Hyperlink"/>
          <w:rFonts w:cs="Arial"/>
          <w:sz w:val="18"/>
          <w:szCs w:val="18"/>
        </w:rPr>
        <w:t xml:space="preserve"> — </w:t>
      </w:r>
      <w:r w:rsidRPr="00BA4EDB">
        <w:rPr>
          <w:rFonts w:ascii="Arial" w:hAnsi="Arial" w:cs="Arial"/>
          <w:sz w:val="18"/>
          <w:szCs w:val="18"/>
        </w:rPr>
        <w:t xml:space="preserve">For more on the NSC, see </w:t>
      </w:r>
      <w:hyperlink r:id="rId11" w:history="1">
        <w:r w:rsidRPr="006C4B6A">
          <w:rPr>
            <w:rStyle w:val="Hyperlink"/>
            <w:rFonts w:cs="Arial"/>
            <w:sz w:val="18"/>
            <w:szCs w:val="18"/>
          </w:rPr>
          <w:t>www.nsc.am/index.php?lang=eng</w:t>
        </w:r>
      </w:hyperlink>
    </w:p>
    <w:p w:rsidR="00BA4EDB" w:rsidRDefault="00BA4EDB" w:rsidP="00BA4EDB">
      <w:pPr>
        <w:spacing w:after="0" w:line="240" w:lineRule="exact"/>
        <w:rPr>
          <w:rFonts w:ascii="Arial" w:hAnsi="Arial" w:cs="Arial"/>
          <w:color w:val="000000"/>
          <w:sz w:val="18"/>
          <w:szCs w:val="18"/>
        </w:rPr>
      </w:pPr>
    </w:p>
    <w:p w:rsidR="00BA4EDB" w:rsidRPr="00BA4EDB" w:rsidRDefault="00BA4EDB" w:rsidP="00BA4EDB">
      <w:pPr>
        <w:spacing w:after="0" w:line="240" w:lineRule="exact"/>
        <w:rPr>
          <w:rFonts w:ascii="Arial" w:hAnsi="Arial" w:cs="Arial"/>
          <w:color w:val="000000"/>
          <w:sz w:val="18"/>
          <w:szCs w:val="18"/>
        </w:rPr>
      </w:pPr>
      <w:r w:rsidRPr="00BA4EDB">
        <w:rPr>
          <w:rFonts w:ascii="Arial" w:hAnsi="Arial" w:cs="Arial"/>
          <w:color w:val="000000"/>
          <w:sz w:val="18"/>
          <w:szCs w:val="18"/>
        </w:rPr>
        <w:t>(</w:t>
      </w:r>
      <w:r w:rsidRPr="00BA4EDB">
        <w:rPr>
          <w:rStyle w:val="A6"/>
          <w:rFonts w:ascii="Arial" w:hAnsi="Arial" w:cs="Arial"/>
          <w:sz w:val="18"/>
          <w:szCs w:val="18"/>
          <w:vertAlign w:val="superscript"/>
        </w:rPr>
        <w:t>2</w:t>
      </w:r>
      <w:r w:rsidRPr="00BA4EDB">
        <w:rPr>
          <w:rFonts w:ascii="Arial" w:hAnsi="Arial" w:cs="Arial"/>
          <w:color w:val="000000"/>
          <w:sz w:val="18"/>
          <w:szCs w:val="18"/>
        </w:rPr>
        <w:t xml:space="preserve">) For more on the ENP, see </w:t>
      </w:r>
      <w:hyperlink r:id="rId12" w:history="1">
        <w:r w:rsidRPr="00BA4EDB">
          <w:rPr>
            <w:rStyle w:val="Hyperlink"/>
            <w:rFonts w:cs="Arial"/>
            <w:sz w:val="18"/>
            <w:szCs w:val="18"/>
          </w:rPr>
          <w:t>www.emcdda.europa.eu/about/partners/nc</w:t>
        </w:r>
      </w:hyperlink>
      <w:r w:rsidRPr="00BA4EDB">
        <w:rPr>
          <w:rFonts w:ascii="Arial" w:hAnsi="Arial" w:cs="Arial"/>
          <w:color w:val="000000"/>
          <w:sz w:val="18"/>
          <w:szCs w:val="18"/>
        </w:rPr>
        <w:t>. The EMCDDA has signed agreements with three other ENP countries (</w:t>
      </w:r>
      <w:r w:rsidR="0002769B" w:rsidRPr="00BA4EDB">
        <w:rPr>
          <w:rFonts w:ascii="Arial" w:hAnsi="Arial" w:cs="Arial"/>
          <w:color w:val="000000"/>
          <w:sz w:val="18"/>
          <w:szCs w:val="18"/>
        </w:rPr>
        <w:t>Israel</w:t>
      </w:r>
      <w:r w:rsidR="0002769B">
        <w:rPr>
          <w:rFonts w:ascii="Arial" w:hAnsi="Arial" w:cs="Arial"/>
          <w:color w:val="000000"/>
          <w:sz w:val="18"/>
          <w:szCs w:val="18"/>
        </w:rPr>
        <w:t xml:space="preserve">, </w:t>
      </w:r>
      <w:r w:rsidRPr="00BA4EDB">
        <w:rPr>
          <w:rFonts w:ascii="Arial" w:hAnsi="Arial" w:cs="Arial"/>
          <w:color w:val="000000"/>
          <w:sz w:val="18"/>
          <w:szCs w:val="18"/>
        </w:rPr>
        <w:t xml:space="preserve">Moldova </w:t>
      </w:r>
      <w:r w:rsidR="0002769B">
        <w:rPr>
          <w:rFonts w:ascii="Arial" w:hAnsi="Arial" w:cs="Arial"/>
          <w:color w:val="000000"/>
          <w:sz w:val="18"/>
          <w:szCs w:val="18"/>
        </w:rPr>
        <w:t xml:space="preserve">and </w:t>
      </w:r>
      <w:r w:rsidR="0002769B" w:rsidRPr="00BA4EDB">
        <w:rPr>
          <w:rFonts w:ascii="Arial" w:hAnsi="Arial" w:cs="Arial"/>
          <w:color w:val="000000"/>
          <w:sz w:val="18"/>
          <w:szCs w:val="18"/>
        </w:rPr>
        <w:t>Ukraine</w:t>
      </w:r>
      <w:r w:rsidRPr="00BA4EDB">
        <w:rPr>
          <w:rFonts w:ascii="Arial" w:hAnsi="Arial" w:cs="Arial"/>
          <w:color w:val="000000"/>
          <w:sz w:val="18"/>
          <w:szCs w:val="18"/>
        </w:rPr>
        <w:t>).</w:t>
      </w:r>
    </w:p>
    <w:p w:rsidR="00BA4EDB" w:rsidRDefault="00BA4EDB" w:rsidP="00BA4EDB">
      <w:pPr>
        <w:spacing w:after="0" w:line="240" w:lineRule="exact"/>
        <w:rPr>
          <w:rFonts w:ascii="Arial" w:hAnsi="Arial" w:cs="Arial"/>
          <w:color w:val="000000"/>
          <w:sz w:val="18"/>
          <w:szCs w:val="18"/>
        </w:rPr>
      </w:pPr>
    </w:p>
    <w:p w:rsidR="00BA4EDB" w:rsidRPr="00BA4EDB" w:rsidRDefault="00BA4EDB" w:rsidP="00BA4EDB">
      <w:pPr>
        <w:spacing w:after="0" w:line="240" w:lineRule="exact"/>
        <w:rPr>
          <w:rFonts w:ascii="Arial" w:hAnsi="Arial" w:cs="Arial"/>
          <w:color w:val="000000"/>
          <w:sz w:val="18"/>
          <w:szCs w:val="18"/>
        </w:rPr>
      </w:pPr>
      <w:r w:rsidRPr="00BA4EDB">
        <w:rPr>
          <w:rFonts w:ascii="Arial" w:hAnsi="Arial" w:cs="Arial"/>
          <w:color w:val="000000"/>
          <w:sz w:val="18"/>
          <w:szCs w:val="18"/>
        </w:rPr>
        <w:t>(</w:t>
      </w:r>
      <w:r w:rsidRPr="00BA4EDB">
        <w:rPr>
          <w:rStyle w:val="A6"/>
          <w:rFonts w:ascii="Arial" w:hAnsi="Arial" w:cs="Arial"/>
          <w:sz w:val="18"/>
          <w:szCs w:val="18"/>
          <w:vertAlign w:val="superscript"/>
        </w:rPr>
        <w:t>3</w:t>
      </w:r>
      <w:r w:rsidRPr="00BA4EDB">
        <w:rPr>
          <w:rFonts w:ascii="Arial" w:hAnsi="Arial" w:cs="Arial"/>
          <w:color w:val="000000"/>
          <w:sz w:val="18"/>
          <w:szCs w:val="18"/>
        </w:rPr>
        <w:t xml:space="preserve">) See EMCDDA founding regulation (recast) </w:t>
      </w:r>
      <w:hyperlink r:id="rId13" w:history="1">
        <w:r w:rsidRPr="00BA4EDB">
          <w:rPr>
            <w:rStyle w:val="Hyperlink"/>
            <w:rFonts w:cs="Arial"/>
            <w:sz w:val="18"/>
            <w:szCs w:val="18"/>
          </w:rPr>
          <w:t>www.emcdda.europa.eu/html.cfm/index24218EN.html</w:t>
        </w:r>
      </w:hyperlink>
    </w:p>
    <w:p w:rsidR="00BA4EDB" w:rsidRPr="00BA4EDB" w:rsidRDefault="00BA4EDB" w:rsidP="00BA4EDB">
      <w:pPr>
        <w:pStyle w:val="newsNotes"/>
        <w:rPr>
          <w:rFonts w:cs="Arial"/>
          <w:sz w:val="18"/>
          <w:szCs w:val="18"/>
        </w:rPr>
      </w:pPr>
    </w:p>
    <w:sectPr w:rsidR="00BA4EDB" w:rsidRPr="00BA4EDB" w:rsidSect="003E68D3">
      <w:headerReference w:type="default" r:id="rId14"/>
      <w:footerReference w:type="default" r:id="rId15"/>
      <w:footerReference w:type="first" r:id="rId16"/>
      <w:type w:val="continuous"/>
      <w:pgSz w:w="11906" w:h="16838" w:code="9"/>
      <w:pgMar w:top="1644" w:right="1133"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6C" w:rsidRDefault="00CE226C" w:rsidP="009A28FB">
      <w:pPr>
        <w:spacing w:after="0" w:line="240" w:lineRule="auto"/>
      </w:pPr>
      <w:r>
        <w:separator/>
      </w:r>
    </w:p>
  </w:endnote>
  <w:endnote w:type="continuationSeparator" w:id="0">
    <w:p w:rsidR="00CE226C" w:rsidRDefault="00CE226C"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EE105F">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7C9EE51D" wp14:editId="76C88863">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E0B3C" w:rsidP="00BF1E3B">
          <w:pPr>
            <w:pStyle w:val="newsReference"/>
            <w:jc w:val="right"/>
          </w:pPr>
          <w:r>
            <w:fldChar w:fldCharType="begin"/>
          </w:r>
          <w:r>
            <w:instrText xml:space="preserve"> PAGE   \* MERGEFORMAT </w:instrText>
          </w:r>
          <w:r>
            <w:fldChar w:fldCharType="separate"/>
          </w:r>
          <w:r w:rsidR="00D753F9">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06252BBD" wp14:editId="5B0BA92E">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CE226C" w:rsidRDefault="0063677C" w:rsidP="003B00EE">
          <w:pPr>
            <w:pStyle w:val="newsCoordinates"/>
            <w:rPr>
              <w:lang w:val="pt-PT"/>
            </w:rPr>
          </w:pPr>
          <w:r w:rsidRPr="00CE226C">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63677C" w:rsidP="00BA4EDB">
          <w:pPr>
            <w:pStyle w:val="newsReference"/>
            <w:jc w:val="right"/>
          </w:pPr>
          <w:r w:rsidRPr="00FC0187">
            <w:t xml:space="preserve">EN — No </w:t>
          </w:r>
          <w:r w:rsidR="00BA4EDB">
            <w:t>6</w:t>
          </w:r>
          <w:r w:rsidRPr="00FC0187">
            <w:t>/</w:t>
          </w:r>
          <w:r w:rsidR="00BA4EDB">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6C" w:rsidRDefault="00CE226C" w:rsidP="009A28FB">
      <w:pPr>
        <w:spacing w:after="0" w:line="240" w:lineRule="auto"/>
      </w:pPr>
      <w:r>
        <w:separator/>
      </w:r>
    </w:p>
  </w:footnote>
  <w:footnote w:type="continuationSeparator" w:id="0">
    <w:p w:rsidR="00CE226C" w:rsidRDefault="00CE226C"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A54C6">
          <w:pPr>
            <w:pStyle w:val="newsEmbargo"/>
          </w:pPr>
          <w:r>
            <w:rPr>
              <w:noProof/>
              <w:lang w:eastAsia="en-GB"/>
            </w:rPr>
            <mc:AlternateContent>
              <mc:Choice Requires="wps">
                <w:drawing>
                  <wp:anchor distT="0" distB="0" distL="114300" distR="114300" simplePos="0" relativeHeight="251661312" behindDoc="1" locked="0" layoutInCell="1" allowOverlap="1" wp14:anchorId="011005EB" wp14:editId="5EBFBC12">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Plauda qu</w:t>
          </w:r>
          <w:r w:rsidR="00CA54C6">
            <w:rPr>
              <w:noProof/>
              <w:lang w:eastAsia="en-GB"/>
            </w:rPr>
            <w:t>aepuda disin rerrovita aut labo</w:t>
          </w:r>
        </w:p>
      </w:tc>
      <w:tc>
        <w:tcPr>
          <w:tcW w:w="3294" w:type="dxa"/>
          <w:vAlign w:val="bottom"/>
        </w:tcPr>
        <w:p w:rsidR="00BF1E3B" w:rsidRDefault="00546A56" w:rsidP="00546A56">
          <w:pPr>
            <w:pStyle w:val="newsReference"/>
            <w:jc w:val="right"/>
          </w:pPr>
          <w:r>
            <w:t>22</w:t>
          </w:r>
          <w:r w:rsidR="00BF1E3B" w:rsidRPr="00CC4FDA">
            <w:t>.</w:t>
          </w:r>
          <w:r>
            <w:t>03</w:t>
          </w:r>
          <w:r w:rsidR="00BF1E3B" w:rsidRPr="00CC4FDA">
            <w:t>.201</w:t>
          </w:r>
          <w:r>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6C"/>
    <w:rsid w:val="00014E8E"/>
    <w:rsid w:val="000173AC"/>
    <w:rsid w:val="0002769B"/>
    <w:rsid w:val="00036DAA"/>
    <w:rsid w:val="000535B7"/>
    <w:rsid w:val="00067DD3"/>
    <w:rsid w:val="000C6200"/>
    <w:rsid w:val="00105BFC"/>
    <w:rsid w:val="00107C96"/>
    <w:rsid w:val="0017713E"/>
    <w:rsid w:val="001800D0"/>
    <w:rsid w:val="001A3338"/>
    <w:rsid w:val="001B2488"/>
    <w:rsid w:val="001C795A"/>
    <w:rsid w:val="001D2B6E"/>
    <w:rsid w:val="001D5C26"/>
    <w:rsid w:val="001F70B4"/>
    <w:rsid w:val="00223753"/>
    <w:rsid w:val="002557B0"/>
    <w:rsid w:val="002646E4"/>
    <w:rsid w:val="0027252D"/>
    <w:rsid w:val="0028141E"/>
    <w:rsid w:val="002948E2"/>
    <w:rsid w:val="002A61F7"/>
    <w:rsid w:val="002B05CE"/>
    <w:rsid w:val="002B45AC"/>
    <w:rsid w:val="0033158E"/>
    <w:rsid w:val="0036121D"/>
    <w:rsid w:val="00387D02"/>
    <w:rsid w:val="003B41B1"/>
    <w:rsid w:val="003C0395"/>
    <w:rsid w:val="003E68D3"/>
    <w:rsid w:val="00411499"/>
    <w:rsid w:val="004137B0"/>
    <w:rsid w:val="00415B84"/>
    <w:rsid w:val="004221D3"/>
    <w:rsid w:val="0044111C"/>
    <w:rsid w:val="00444086"/>
    <w:rsid w:val="00445080"/>
    <w:rsid w:val="0045468D"/>
    <w:rsid w:val="004847FB"/>
    <w:rsid w:val="004A6498"/>
    <w:rsid w:val="004C3028"/>
    <w:rsid w:val="004D6E0C"/>
    <w:rsid w:val="00520EF1"/>
    <w:rsid w:val="00542CEE"/>
    <w:rsid w:val="00546A56"/>
    <w:rsid w:val="005A0DC8"/>
    <w:rsid w:val="005B05A0"/>
    <w:rsid w:val="005B0882"/>
    <w:rsid w:val="005B1B63"/>
    <w:rsid w:val="005C4033"/>
    <w:rsid w:val="005D1C61"/>
    <w:rsid w:val="00600A76"/>
    <w:rsid w:val="006116D9"/>
    <w:rsid w:val="00623A55"/>
    <w:rsid w:val="0063677C"/>
    <w:rsid w:val="00666A63"/>
    <w:rsid w:val="006C595E"/>
    <w:rsid w:val="0072784A"/>
    <w:rsid w:val="00730132"/>
    <w:rsid w:val="00773814"/>
    <w:rsid w:val="00791F09"/>
    <w:rsid w:val="007B0E03"/>
    <w:rsid w:val="007B1CCD"/>
    <w:rsid w:val="007E0B3C"/>
    <w:rsid w:val="007F5D0A"/>
    <w:rsid w:val="00813FB5"/>
    <w:rsid w:val="00841E86"/>
    <w:rsid w:val="00881730"/>
    <w:rsid w:val="008A3335"/>
    <w:rsid w:val="008C1172"/>
    <w:rsid w:val="008D54B3"/>
    <w:rsid w:val="008F177B"/>
    <w:rsid w:val="008F399E"/>
    <w:rsid w:val="00902300"/>
    <w:rsid w:val="00955F0C"/>
    <w:rsid w:val="00974A27"/>
    <w:rsid w:val="009A28FB"/>
    <w:rsid w:val="009D6255"/>
    <w:rsid w:val="009F4FB0"/>
    <w:rsid w:val="00A0788A"/>
    <w:rsid w:val="00A16B77"/>
    <w:rsid w:val="00A311EF"/>
    <w:rsid w:val="00A3254D"/>
    <w:rsid w:val="00A661E2"/>
    <w:rsid w:val="00A856B7"/>
    <w:rsid w:val="00AD7BFC"/>
    <w:rsid w:val="00AE093C"/>
    <w:rsid w:val="00AE1738"/>
    <w:rsid w:val="00AE2272"/>
    <w:rsid w:val="00AF13B3"/>
    <w:rsid w:val="00AF259D"/>
    <w:rsid w:val="00B11B73"/>
    <w:rsid w:val="00B20A9F"/>
    <w:rsid w:val="00B272F1"/>
    <w:rsid w:val="00B51E08"/>
    <w:rsid w:val="00B57464"/>
    <w:rsid w:val="00B61036"/>
    <w:rsid w:val="00B72DD3"/>
    <w:rsid w:val="00B7335C"/>
    <w:rsid w:val="00B97BC5"/>
    <w:rsid w:val="00BA4EDB"/>
    <w:rsid w:val="00BB60CF"/>
    <w:rsid w:val="00BF1E3B"/>
    <w:rsid w:val="00C34F19"/>
    <w:rsid w:val="00C36BC1"/>
    <w:rsid w:val="00C628C4"/>
    <w:rsid w:val="00C63254"/>
    <w:rsid w:val="00C874C0"/>
    <w:rsid w:val="00CA2FF5"/>
    <w:rsid w:val="00CA54C6"/>
    <w:rsid w:val="00CB49DA"/>
    <w:rsid w:val="00CC1F19"/>
    <w:rsid w:val="00CC4FDA"/>
    <w:rsid w:val="00CC6A8B"/>
    <w:rsid w:val="00CE226C"/>
    <w:rsid w:val="00D01335"/>
    <w:rsid w:val="00D03EC6"/>
    <w:rsid w:val="00D3312B"/>
    <w:rsid w:val="00D37865"/>
    <w:rsid w:val="00D57367"/>
    <w:rsid w:val="00D753F9"/>
    <w:rsid w:val="00D84AE3"/>
    <w:rsid w:val="00D92A34"/>
    <w:rsid w:val="00D96CF6"/>
    <w:rsid w:val="00E57C9D"/>
    <w:rsid w:val="00E66CCD"/>
    <w:rsid w:val="00E81F3D"/>
    <w:rsid w:val="00E83FC3"/>
    <w:rsid w:val="00EB5C54"/>
    <w:rsid w:val="00EE105F"/>
    <w:rsid w:val="00EE23CC"/>
    <w:rsid w:val="00F06CDE"/>
    <w:rsid w:val="00F21CA9"/>
    <w:rsid w:val="00F24096"/>
    <w:rsid w:val="00F414EF"/>
    <w:rsid w:val="00F47542"/>
    <w:rsid w:val="00FB3095"/>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335"/>
    <w:pPr>
      <w:keepNext/>
      <w:spacing w:after="0" w:line="400" w:lineRule="exact"/>
      <w:outlineLvl w:val="0"/>
    </w:pPr>
    <w:rPr>
      <w:rFonts w:ascii="Arial" w:eastAsia="Times New Roman" w:hAnsi="Arial" w:cs="Times New Roman"/>
      <w:caps/>
      <w:color w:val="00008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A6498"/>
    <w:pPr>
      <w:tabs>
        <w:tab w:val="left" w:pos="5205"/>
      </w:tabs>
      <w:spacing w:before="36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A3335"/>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BA4EDB"/>
    <w:pPr>
      <w:spacing w:after="0" w:line="220" w:lineRule="exact"/>
    </w:pPr>
    <w:rPr>
      <w:b/>
      <w:color w:val="auto"/>
      <w:szCs w:val="20"/>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BA4EDB"/>
    <w:rPr>
      <w:rFonts w:ascii="Arial" w:hAnsi="Arial"/>
      <w:b/>
      <w:color w:val="000000" w:themeColor="text1"/>
      <w:sz w:val="20"/>
      <w:szCs w:val="20"/>
    </w:rPr>
  </w:style>
  <w:style w:type="character" w:customStyle="1" w:styleId="newsNotesNumberChar">
    <w:name w:val="newsNotesNumber Char"/>
    <w:basedOn w:val="newsNotesChar"/>
    <w:link w:val="newsNotesNumber"/>
    <w:rsid w:val="00CB49DA"/>
    <w:rPr>
      <w:rFonts w:ascii="Arial" w:hAnsi="Arial"/>
      <w:b/>
      <w:color w:val="000000" w:themeColor="text1"/>
      <w:sz w:val="17"/>
      <w:szCs w:val="20"/>
      <w:vertAlign w:val="superscript"/>
    </w:rPr>
  </w:style>
  <w:style w:type="character" w:customStyle="1" w:styleId="Heading1Char">
    <w:name w:val="Heading 1 Char"/>
    <w:basedOn w:val="DefaultParagraphFont"/>
    <w:link w:val="Heading1"/>
    <w:rsid w:val="008A3335"/>
    <w:rPr>
      <w:rFonts w:ascii="Arial" w:eastAsia="Times New Roman" w:hAnsi="Arial" w:cs="Times New Roman"/>
      <w:caps/>
      <w:color w:val="000080"/>
      <w:kern w:val="28"/>
      <w:sz w:val="24"/>
      <w:szCs w:val="20"/>
    </w:rPr>
  </w:style>
  <w:style w:type="character" w:customStyle="1" w:styleId="A6">
    <w:name w:val="A6"/>
    <w:uiPriority w:val="99"/>
    <w:rsid w:val="008A3335"/>
    <w:rPr>
      <w:rFonts w:ascii="Trivia Sans Book" w:hAnsi="Trivia Sans Book" w:cs="Trivia Sans Book"/>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3335"/>
    <w:pPr>
      <w:keepNext/>
      <w:spacing w:after="0" w:line="400" w:lineRule="exact"/>
      <w:outlineLvl w:val="0"/>
    </w:pPr>
    <w:rPr>
      <w:rFonts w:ascii="Arial" w:eastAsia="Times New Roman" w:hAnsi="Arial" w:cs="Times New Roman"/>
      <w:caps/>
      <w:color w:val="00008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4A6498"/>
    <w:pPr>
      <w:tabs>
        <w:tab w:val="left" w:pos="5205"/>
      </w:tabs>
      <w:spacing w:before="36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A3335"/>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BA4EDB"/>
    <w:pPr>
      <w:spacing w:after="0" w:line="220" w:lineRule="exact"/>
    </w:pPr>
    <w:rPr>
      <w:b/>
      <w:color w:val="auto"/>
      <w:szCs w:val="20"/>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BA4EDB"/>
    <w:rPr>
      <w:rFonts w:ascii="Arial" w:hAnsi="Arial"/>
      <w:b/>
      <w:color w:val="000000" w:themeColor="text1"/>
      <w:sz w:val="20"/>
      <w:szCs w:val="20"/>
    </w:rPr>
  </w:style>
  <w:style w:type="character" w:customStyle="1" w:styleId="newsNotesNumberChar">
    <w:name w:val="newsNotesNumber Char"/>
    <w:basedOn w:val="newsNotesChar"/>
    <w:link w:val="newsNotesNumber"/>
    <w:rsid w:val="00CB49DA"/>
    <w:rPr>
      <w:rFonts w:ascii="Arial" w:hAnsi="Arial"/>
      <w:b/>
      <w:color w:val="000000" w:themeColor="text1"/>
      <w:sz w:val="17"/>
      <w:szCs w:val="20"/>
      <w:vertAlign w:val="superscript"/>
    </w:rPr>
  </w:style>
  <w:style w:type="character" w:customStyle="1" w:styleId="Heading1Char">
    <w:name w:val="Heading 1 Char"/>
    <w:basedOn w:val="DefaultParagraphFont"/>
    <w:link w:val="Heading1"/>
    <w:rsid w:val="008A3335"/>
    <w:rPr>
      <w:rFonts w:ascii="Arial" w:eastAsia="Times New Roman" w:hAnsi="Arial" w:cs="Times New Roman"/>
      <w:caps/>
      <w:color w:val="000080"/>
      <w:kern w:val="28"/>
      <w:sz w:val="24"/>
      <w:szCs w:val="20"/>
    </w:rPr>
  </w:style>
  <w:style w:type="character" w:customStyle="1" w:styleId="A6">
    <w:name w:val="A6"/>
    <w:uiPriority w:val="99"/>
    <w:rsid w:val="008A3335"/>
    <w:rPr>
      <w:rFonts w:ascii="Trivia Sans Book" w:hAnsi="Trivia Sans Book" w:cs="Trivia Sans Book"/>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html.cfm/index24218E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about/partners/n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am/index.php?lang=e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cdda.euro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Fact_sheet_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D419-69D8-499C-9867-20A941A6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Fact_sheet_EN_2014</Template>
  <TotalTime>34</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10</cp:revision>
  <cp:lastPrinted>2015-07-13T18:19:00Z</cp:lastPrinted>
  <dcterms:created xsi:type="dcterms:W3CDTF">2015-07-07T15:00:00Z</dcterms:created>
  <dcterms:modified xsi:type="dcterms:W3CDTF">2015-07-13T18:20:00Z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