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4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D669B7" w:rsidP="00EE23CC">
            <w:r w:rsidRPr="00E51A15">
              <w:rPr>
                <w:noProof/>
                <w:lang w:val="en-GB" w:eastAsia="en-GB" w:bidi="ar-SA"/>
              </w:rPr>
              <w:drawing>
                <wp:inline distT="0" distB="0" distL="0" distR="0">
                  <wp:extent cx="2904602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60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D669B7" w:rsidP="001F70B4">
            <w:r w:rsidRPr="00E51A15">
              <w:rPr>
                <w:noProof/>
                <w:lang w:val="en-GB" w:eastAsia="en-GB" w:bidi="ar-SA"/>
              </w:rPr>
              <w:drawing>
                <wp:inline distT="0" distB="0" distL="0" distR="0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074" w:rsidRPr="0015333D" w:rsidRDefault="00B15FA6" w:rsidP="0015333D">
      <w:pPr>
        <w:pStyle w:val="newsTitle"/>
      </w:pPr>
      <w:r w:rsidRPr="0015333D">
        <w:t>2015. évi európai kábítószer</w:t>
      </w:r>
      <w:r w:rsidR="00652996" w:rsidRPr="0015333D">
        <w:t>-</w:t>
      </w:r>
      <w:r w:rsidRPr="0015333D">
        <w:t xml:space="preserve">jelentés – A </w:t>
      </w:r>
      <w:r w:rsidR="00B00A59" w:rsidRPr="0015333D">
        <w:t xml:space="preserve">monitorozás </w:t>
      </w:r>
      <w:r w:rsidRPr="0015333D">
        <w:t>20 éve</w:t>
      </w:r>
    </w:p>
    <w:p w:rsidR="000C1074" w:rsidRDefault="0045053C" w:rsidP="004D2188">
      <w:pPr>
        <w:pStyle w:val="newsSubTitle"/>
      </w:pPr>
      <w:r>
        <w:t>Az EMCDDA az európai drogprobléma újfajta dinamikáját és dimenzióit vizsgálja</w:t>
      </w:r>
    </w:p>
    <w:p w:rsidR="000C1074" w:rsidRPr="00D669B7" w:rsidRDefault="0008340F" w:rsidP="00D669B7">
      <w:pPr>
        <w:pStyle w:val="newsContent"/>
        <w:rPr>
          <w:rFonts w:eastAsia="Times New Roman"/>
        </w:rPr>
      </w:pPr>
      <w:r w:rsidRPr="00D669B7">
        <w:t xml:space="preserve">(2015.6.4., </w:t>
      </w:r>
      <w:r w:rsidRPr="00D669B7">
        <w:rPr>
          <w:caps/>
        </w:rPr>
        <w:t xml:space="preserve">Lisszabon </w:t>
      </w:r>
      <w:r w:rsidRPr="00D669B7">
        <w:rPr>
          <w:b/>
          <w:color w:val="FF0000"/>
        </w:rPr>
        <w:t>HÍRZÁRLAT WET/lisszaboni idő szerint 10.00 óráig</w:t>
      </w:r>
      <w:r w:rsidRPr="00D669B7">
        <w:t xml:space="preserve">) A heroinpiac változó dinamikája, a kannabiszhasználat legújabb következményei és a stimulánsok és „új kábítószerek” használatának új vonásai és dimenziói – többek között ezekre a témákra hívja fel a figyelmet az </w:t>
      </w:r>
      <w:r w:rsidRPr="00D669B7">
        <w:rPr>
          <w:b/>
        </w:rPr>
        <w:t xml:space="preserve">EU </w:t>
      </w:r>
      <w:r w:rsidRPr="00373848">
        <w:rPr>
          <w:b/>
        </w:rPr>
        <w:t xml:space="preserve">kábítószerügyi </w:t>
      </w:r>
      <w:r w:rsidR="00505DE0">
        <w:rPr>
          <w:b/>
        </w:rPr>
        <w:t>központja</w:t>
      </w:r>
      <w:r w:rsidR="00505DE0" w:rsidRPr="00D669B7">
        <w:rPr>
          <w:b/>
        </w:rPr>
        <w:t xml:space="preserve"> </w:t>
      </w:r>
      <w:r w:rsidRPr="00D669B7">
        <w:rPr>
          <w:b/>
        </w:rPr>
        <w:t xml:space="preserve">(EMCDDA) </w:t>
      </w:r>
      <w:r w:rsidRPr="00D669B7">
        <w:t xml:space="preserve">a Lisszabonban ma bemutatott </w:t>
      </w:r>
      <w:r w:rsidRPr="0015333D">
        <w:rPr>
          <w:b/>
          <w:i/>
        </w:rPr>
        <w:t>2015.</w:t>
      </w:r>
      <w:r w:rsidRPr="00D669B7">
        <w:rPr>
          <w:i/>
        </w:rPr>
        <w:t xml:space="preserve"> </w:t>
      </w:r>
      <w:r w:rsidRPr="00D669B7">
        <w:rPr>
          <w:b/>
          <w:i/>
        </w:rPr>
        <w:t xml:space="preserve">évi </w:t>
      </w:r>
      <w:r w:rsidR="00B00A59">
        <w:rPr>
          <w:b/>
          <w:i/>
        </w:rPr>
        <w:t>E</w:t>
      </w:r>
      <w:r w:rsidRPr="00D669B7">
        <w:rPr>
          <w:b/>
          <w:i/>
        </w:rPr>
        <w:t>urópai kábítószer</w:t>
      </w:r>
      <w:r w:rsidR="00B00A59">
        <w:rPr>
          <w:b/>
          <w:i/>
        </w:rPr>
        <w:t>-</w:t>
      </w:r>
      <w:r w:rsidRPr="00D669B7">
        <w:rPr>
          <w:b/>
          <w:i/>
        </w:rPr>
        <w:t>jelentés: Tendenciák és fejlemények</w:t>
      </w:r>
      <w:r w:rsidRPr="00D669B7">
        <w:t xml:space="preserve"> című kiadványában (</w:t>
      </w:r>
      <w:r w:rsidRPr="00D669B7">
        <w:rPr>
          <w:vertAlign w:val="superscript"/>
        </w:rPr>
        <w:t>1</w:t>
      </w:r>
      <w:r w:rsidRPr="00D669B7">
        <w:t xml:space="preserve">). Az ügynökség az éves összefoglalójában 20 évnyi </w:t>
      </w:r>
      <w:r w:rsidR="00107FC7">
        <w:t>monitorozási</w:t>
      </w:r>
      <w:r w:rsidR="00107FC7" w:rsidRPr="00D669B7">
        <w:t xml:space="preserve"> </w:t>
      </w:r>
      <w:r w:rsidRPr="00D669B7">
        <w:t>munkára tekint vissza, azt vizsgálva, hogy milyen globális hatások és helyi eltérések mutatkoztak a folyamatos változásban lévő európai drogproblémában.</w:t>
      </w:r>
    </w:p>
    <w:p w:rsidR="000C1074" w:rsidRDefault="00362CD8" w:rsidP="00362CD8">
      <w:pPr>
        <w:spacing w:after="260" w:line="260" w:lineRule="exact"/>
        <w:rPr>
          <w:rFonts w:eastAsia="Times New Roman" w:cs="Arial"/>
          <w:szCs w:val="20"/>
        </w:rPr>
      </w:pPr>
      <w:r>
        <w:rPr>
          <w:b/>
        </w:rPr>
        <w:t>Dimitris Avramopoulos, a migrációs ügyekért, az uniós belügyekért és az uniós polgárságért felelős európai biztos</w:t>
      </w:r>
      <w:r>
        <w:t xml:space="preserve"> így nyilatkozott: „A jelentés azt mutatja, hogy gyorsan változó, globalizált kábítószerpiaccal állunk szemben, ezért egységes, gyors és határozott válaszlépésekkel kell reagálnunk a kábítószerek jelentette fenyegetésre.</w:t>
      </w:r>
      <w:r>
        <w:rPr>
          <w:b/>
        </w:rPr>
        <w:t xml:space="preserve"> </w:t>
      </w:r>
      <w:r>
        <w:t>Különösen aggasztó jelenségnek tartom, hogy az internet egyre inkább a kínálat új forrása lett, az ellenőrzött és a nem ellenőrzött pszichoaktív anyagok esetében egyaránt”.</w:t>
      </w:r>
    </w:p>
    <w:p w:rsidR="000C1074" w:rsidRDefault="00362CD8" w:rsidP="00362CD8">
      <w:r>
        <w:rPr>
          <w:b/>
        </w:rPr>
        <w:t>Avramopoulos biztos</w:t>
      </w:r>
      <w:r>
        <w:t xml:space="preserve"> a továbbiakban elmondta: „Európa vezető szerepet játszik az »új kábítószerek« jelenségének kezelésében, és a polgáraink jóléte és biztonsága érdekében ezután is így fogunk tenni. 2014-ben 101 új, nem ellenőrzött pszichoaktív anyagot jelentettek be, ami komolyan próbára teszi a meglévő ellenőrzési mechanizmusainkat. Nagy reményekkel tekintek az e területen készülő új uniós jogszabály elé, amelyről most folynak a tárgyalások. Ez tovább fogja erősíteni a válaszlépéseinket, és jobb eszközöket ad a kezünkbe, hogy ezeket az anyagokat gyorsabban, hatékonyabban tudjuk kezelni”.</w:t>
      </w:r>
    </w:p>
    <w:p w:rsidR="000C1074" w:rsidRDefault="004E5A93" w:rsidP="004E5A93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>A heroin visszaszorulóban van, de a piaci változások miatt kell a szoros megfigyelés</w:t>
      </w:r>
    </w:p>
    <w:p w:rsidR="000C1074" w:rsidRPr="0043414B" w:rsidRDefault="00D67E7B" w:rsidP="00D67E7B">
      <w:pPr>
        <w:spacing w:before="100" w:beforeAutospacing="1" w:after="100" w:afterAutospacing="1"/>
        <w:rPr>
          <w:rFonts w:cs="Arial"/>
          <w:szCs w:val="20"/>
        </w:rPr>
      </w:pPr>
      <w:r>
        <w:t xml:space="preserve">A heroinhoz köthető problémák még mindig jelentős részt tesznek ki a kábítószerekkel összefüggő európai egészségügyi és szociális költségekből, de az ezen a területen észlelt újabb tendenciák „viszonylag kedvezőek” voltak – véli az </w:t>
      </w:r>
      <w:r>
        <w:rPr>
          <w:b/>
        </w:rPr>
        <w:t>EMCDDA</w:t>
      </w:r>
      <w:r>
        <w:t>, hozzátéve, hogy „az e kábítószer iránti kereslet összességében stagnál”. Most már kevesebben vannak azok, akik első alkalommal heroinproblémák miatt jelentkeznek a drogfogyasztóknak szóló speciális kezelésre: 2013-ban 23 000 volt a számuk, szemben a 2007-es 59 000-rel. Becslések szerint az Európában élő 1,3 millió problémás opioidhasználó (azaz tartós, függő szerhasználó) több mint fele (700 000) ma már opioid</w:t>
      </w:r>
      <w:r w:rsidR="00704F02">
        <w:t xml:space="preserve"> </w:t>
      </w:r>
      <w:r>
        <w:t>helyettesítő kezelés alatt áll (3.6. ábra).</w:t>
      </w:r>
    </w:p>
    <w:p w:rsidR="000C1074" w:rsidRDefault="004E5A93" w:rsidP="00C929E0">
      <w:pPr>
        <w:spacing w:before="100" w:beforeAutospacing="1" w:after="260" w:line="260" w:lineRule="exact"/>
        <w:rPr>
          <w:rFonts w:eastAsia="Times New Roman" w:cs="Arial"/>
          <w:szCs w:val="20"/>
        </w:rPr>
      </w:pPr>
      <w:r>
        <w:t xml:space="preserve">A heroinkínálat alakulásának megismerését segítő, bejelentett lefoglalási adatok ugyancsak visszaesést mutatnak. Az EU-ban lefoglalt heroin mennyisége 2013-ban (5,6 tonna) az utóbbi tíz év egyik legalacsonyabb értéke volt, a 2002-ben lefoglalt mennyiségnek (10 tonna) pedig csak a felét tette ki. </w:t>
      </w:r>
      <w:r w:rsidR="0015333D">
        <w:t xml:space="preserve">          </w:t>
      </w:r>
      <w:r>
        <w:t xml:space="preserve">A heroinlefoglalások száma szintén csökkent, a 2002-es 45 000 körüliről 2013-ban 32 000-re (1.6. ábra). A kedvező háttér ellenére az </w:t>
      </w:r>
      <w:r>
        <w:rPr>
          <w:b/>
        </w:rPr>
        <w:t>EMCDDA</w:t>
      </w:r>
      <w:r>
        <w:t xml:space="preserve"> több olyan piaci változásra is rámutatott, amelyek szoros megfigyelést tesznek szükségessé.</w:t>
      </w:r>
    </w:p>
    <w:p w:rsidR="000C1074" w:rsidRDefault="004E5A93" w:rsidP="004E5A93">
      <w:pPr>
        <w:spacing w:before="100" w:beforeAutospacing="1" w:after="260" w:line="260" w:lineRule="exact"/>
        <w:rPr>
          <w:rFonts w:eastAsia="Times New Roman" w:cs="Arial"/>
          <w:szCs w:val="20"/>
        </w:rPr>
      </w:pPr>
      <w:r>
        <w:lastRenderedPageBreak/>
        <w:t xml:space="preserve">Az </w:t>
      </w:r>
      <w:r>
        <w:rPr>
          <w:b/>
        </w:rPr>
        <w:t>ENSZ</w:t>
      </w:r>
      <w:r>
        <w:t xml:space="preserve"> legfrissebb becslései (</w:t>
      </w:r>
      <w:r>
        <w:rPr>
          <w:vertAlign w:val="superscript"/>
        </w:rPr>
        <w:t>2</w:t>
      </w:r>
      <w:r>
        <w:t xml:space="preserve">) szerint például 2013-ban és 2014-ben jelentősen nőtt az ópiumtermelés </w:t>
      </w:r>
      <w:r>
        <w:rPr>
          <w:b/>
        </w:rPr>
        <w:t>Afganisztánban</w:t>
      </w:r>
      <w:r>
        <w:t xml:space="preserve">, az Európában használt heroin legnagyobb részét szállító országban. Ennek a potenciális hatása az lehet, hogy az európai piacon könnyebben hozzá lehet jutni a heroinhoz. </w:t>
      </w:r>
      <w:r w:rsidR="0015333D">
        <w:t xml:space="preserve">  </w:t>
      </w:r>
      <w:r>
        <w:t xml:space="preserve">A jelentés a piaci innováció jeleire is felhívja a figyelmet, köztük az Európán belül felfedezett heroinfeldolgozó laboratóriumokra, amire az 1970-es évek óta nem volt példa. </w:t>
      </w:r>
      <w:r>
        <w:rPr>
          <w:b/>
        </w:rPr>
        <w:t>Spanyolországban</w:t>
      </w:r>
      <w:r>
        <w:t xml:space="preserve"> 2013-ban és 2014-ben két olyan laboratóriumot lepleztek le, ahol a morfint heroinná alakították.</w:t>
      </w:r>
    </w:p>
    <w:p w:rsidR="000C1074" w:rsidRDefault="004E5A93" w:rsidP="004E5A93">
      <w:pPr>
        <w:spacing w:before="100" w:beforeAutospacing="1" w:after="260" w:line="260" w:lineRule="exact"/>
        <w:rPr>
          <w:rFonts w:eastAsia="SimSun" w:cs="Arial"/>
          <w:szCs w:val="20"/>
        </w:rPr>
      </w:pPr>
      <w:r>
        <w:t>Az Európába tartó heroincsempészetben is figyelemre méltó változások történtek. Bár továbbra is a hagyományosan használt „</w:t>
      </w:r>
      <w:r>
        <w:rPr>
          <w:b/>
        </w:rPr>
        <w:t>balkáni folyosó</w:t>
      </w:r>
      <w:r>
        <w:t>” dominál, bizonyos jelek a „</w:t>
      </w:r>
      <w:r>
        <w:rPr>
          <w:b/>
        </w:rPr>
        <w:t>déli útvonal</w:t>
      </w:r>
      <w:r>
        <w:t xml:space="preserve">” térnyerésére mutatnak. (Ez utóbbi Iránból és Pakisztánból indulva Európát közvetlenül vagy közvetve az Arab-félsziget, illetve Kelet-, Dél- és Nyugat-Afrika országain keresztül éri el.) Az </w:t>
      </w:r>
      <w:r>
        <w:rPr>
          <w:b/>
        </w:rPr>
        <w:t>Ázsiából Európába</w:t>
      </w:r>
      <w:r>
        <w:t xml:space="preserve"> tartó opioidcsempészetről ma kiadott új elemzés szerint diverzifikálódnak mind a forgalmazott terméke</w:t>
      </w:r>
      <w:bookmarkStart w:id="0" w:name="_GoBack"/>
      <w:bookmarkEnd w:id="0"/>
      <w:r>
        <w:t xml:space="preserve">k </w:t>
      </w:r>
      <w:r w:rsidR="00373848">
        <w:t xml:space="preserve">          </w:t>
      </w:r>
      <w:r>
        <w:t xml:space="preserve">(pl. a heroin mellett morfin bázis és ópium), mind az alkalmazott közlekedési eszközök és </w:t>
      </w:r>
      <w:r w:rsidRPr="00373848">
        <w:t xml:space="preserve">útvonalak </w:t>
      </w:r>
      <w:r w:rsidR="00373848">
        <w:t xml:space="preserve"> </w:t>
      </w:r>
      <w:r w:rsidRPr="00373848">
        <w:t xml:space="preserve">(lásd </w:t>
      </w:r>
      <w:r w:rsidR="0015333D" w:rsidRPr="00373848">
        <w:t>„</w:t>
      </w:r>
      <w:r w:rsidRPr="00373848">
        <w:t>Kábítószerügyi kiemelt témák</w:t>
      </w:r>
      <w:r w:rsidR="0015333D" w:rsidRPr="00373848">
        <w:t xml:space="preserve">” — </w:t>
      </w:r>
      <w:r w:rsidR="0015333D" w:rsidRPr="00373848">
        <w:rPr>
          <w:i/>
        </w:rPr>
        <w:t>Perspectives on Drugs</w:t>
      </w:r>
      <w:r w:rsidRPr="00373848">
        <w:t>/POD).</w:t>
      </w:r>
    </w:p>
    <w:p w:rsidR="000C1074" w:rsidRDefault="004E5A93" w:rsidP="004E5A93">
      <w:pPr>
        <w:spacing w:before="100" w:beforeAutospacing="1" w:after="260" w:line="260" w:lineRule="exact"/>
        <w:rPr>
          <w:rFonts w:cs="Arial"/>
          <w:szCs w:val="20"/>
        </w:rPr>
      </w:pPr>
      <w:r>
        <w:t xml:space="preserve">Mai észrevételeiben az </w:t>
      </w:r>
      <w:r>
        <w:rPr>
          <w:b/>
        </w:rPr>
        <w:t>EMCDDA igazgatója, Wolfgang Götz</w:t>
      </w:r>
      <w:r>
        <w:t xml:space="preserve"> ezt mondta: „A bűnüldözési aktivitásban bekövetkezett változások, az instabilitás, a fegyveres konfliktusok és a globalizációnak köszönhető sokoldalú, gyors összeköttetések egyformán jelen vannak a csempészútvonalakat befolyásoló tényezők sokaságában. Napjainkban az afganisztáni ópiumtermelés nagyarányú növekedését és a diverzifikálódást figyelhetjük meg, mind a forgalmazott termékek, mind az alkalmazott csempészeti módszerek és útvonalak terén. Ehhez társul az a tény, hogy a heroinfeldolgozás folyamatának egyes döntő szakaszait ma már Európában végzik. A heroinproblémák potenciális visszatérése aggodalomra ad okot, ezért a helyzet feltétlenül szoros megfigyelést igényel”.</w:t>
      </w:r>
    </w:p>
    <w:p w:rsidR="000C1074" w:rsidRDefault="00D67E7B" w:rsidP="004E5A93">
      <w:pPr>
        <w:spacing w:before="100" w:beforeAutospacing="1" w:after="260" w:line="260" w:lineRule="exact"/>
        <w:rPr>
          <w:rFonts w:cs="Arial"/>
        </w:rPr>
      </w:pPr>
      <w:r>
        <w:t>A heroin mellett az európai országok bűnüldöző hatóságai 2013-ban más opioidokat is lefoglaltak, többek között ópiumot, nyers ópiumkészítményeket (pl. „kompót”), gyógyszereket (morfin, metadon, buprenorfin, fentanil és tramadol), valamint új szintetikus opioidokat.</w:t>
      </w:r>
    </w:p>
    <w:p w:rsidR="005C1394" w:rsidRPr="005C1394" w:rsidRDefault="00194867" w:rsidP="005C1394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>Testre szabott szolgáltatásokra szoruló, idősebb opioidhasználók</w:t>
      </w:r>
    </w:p>
    <w:p w:rsidR="000C1074" w:rsidRDefault="005C40D1" w:rsidP="005C1394">
      <w:pPr>
        <w:spacing w:after="260" w:line="260" w:lineRule="exact"/>
        <w:rPr>
          <w:rFonts w:cs="Arial"/>
          <w:szCs w:val="20"/>
        </w:rPr>
      </w:pPr>
      <w:r>
        <w:t xml:space="preserve">Az opioidfüggőség gyakran krónikus állapot, a kezelő és szociális szolgálatokat pedig manapság </w:t>
      </w:r>
      <w:r w:rsidR="0015333D">
        <w:t xml:space="preserve">           </w:t>
      </w:r>
      <w:r>
        <w:t xml:space="preserve">egyre nagyobb kihívások elé állítja a hosszú távú opioidhasználók megfelelő kezelése és gondozása. </w:t>
      </w:r>
      <w:r w:rsidR="0015333D">
        <w:t xml:space="preserve">       </w:t>
      </w:r>
      <w:r>
        <w:t>A jelentésből kiderül, hogyan emelkedett az opipoidproblémák miatt kezelésre jelentkezők átlagéletkora: a medián életkor 2006 és 2013 között 5 évvel lett magasabb (2.11. ábra). Az Európában élő, hosszú politoxikomán múlttal rendelkező opioidhasználók jelentős része ma már a negyvenes-ötvenes éveiben jár. A korábbi rossz fizikai és mentális egészségi állapot, a rossz életkörülmények, a fertőzések és a szerek sokaságának használata (beleértve a dohányzást és az alkoholt) együttesen krónikus egészségügyi problémák egész sorára (pl. szív-érrendszeri, légzőszervi, májproblémák) hajlamosítja ezt a csoportot.</w:t>
      </w:r>
    </w:p>
    <w:p w:rsidR="000C1074" w:rsidRDefault="005C1394" w:rsidP="0002521E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„Olyan klinikai iránymutatások kellenek, amelyek figyelembe veszik az európai problémás opioidhasználók körében zajló demográfiai változást” – állítja a jelentés. Ez támogatná a hatékony klinikai gyakorlatot, és olyan kérdésekre terjedne ki, mint a kábítószerek kölcsönhatása; a helyettesítő kezelésben használt gyógyszerek (pl. metadon, buprenorfin) elvitelre történő adagolása; a fájdalom kezelése és a fertőzések kezelése. Az idősebb kábítószer-használóknak szóló célzott programok működéséről kevés országból számoltak be. Ezt a csoportot általában integrálják a meglévő kezelési szolgáltatásokba (3.10. ábra). </w:t>
      </w:r>
      <w:r>
        <w:rPr>
          <w:b/>
        </w:rPr>
        <w:t>Hollandia</w:t>
      </w:r>
      <w:r>
        <w:t xml:space="preserve"> egyike annak a néhány országnak, ahol nyugdíjasotthonokat hoztak létre az idősebb kábítószer-használók igényeinek kiszolgálására.</w:t>
      </w:r>
    </w:p>
    <w:p w:rsidR="000C1074" w:rsidRDefault="00105FE2" w:rsidP="00435B19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>Javul a hepatitis C kezelése, stagnál az új HIV-diagnózisok száma</w:t>
      </w:r>
    </w:p>
    <w:p w:rsidR="007F03EB" w:rsidRPr="00EA3584" w:rsidRDefault="00B96281" w:rsidP="00FC0378">
      <w:pPr>
        <w:spacing w:after="260" w:line="260" w:lineRule="exact"/>
        <w:rPr>
          <w:rFonts w:eastAsia="Times New Roman" w:cs="Arial"/>
          <w:szCs w:val="20"/>
        </w:rPr>
      </w:pPr>
      <w:r>
        <w:t xml:space="preserve">Európában a tűk, fecskendők és más injektáló eszközök közös használatával terjedő hepatitis C a leggyakoribb fertőző betegség a kábítószereket injektálók körében, ahol az egyes országokból vett minták alapján a 2012–2013 közötti időszakban az injektáló szerhasználók 14–84%-a közé tehető a hepatitis C vírussal való fertőzöttség (2.14. ábra). A hepatitis C fertőzés gyakran tünetmentes, és akár </w:t>
      </w:r>
      <w:r>
        <w:lastRenderedPageBreak/>
        <w:t>évtizedekig is fennállhat, mielőtt diagnosztizálják. A fertőzötteknél sok esetben krónikus hepatitis alakul ki, és a májbetegségek kialakulása (pl. cirrózis, rák) is fenyegeti őket.</w:t>
      </w:r>
    </w:p>
    <w:p w:rsidR="000C1074" w:rsidRDefault="00D10437" w:rsidP="002B76D8">
      <w:pPr>
        <w:spacing w:after="260" w:line="260" w:lineRule="exact"/>
        <w:rPr>
          <w:rFonts w:eastAsia="Times New Roman" w:cs="Arial"/>
          <w:szCs w:val="20"/>
        </w:rPr>
      </w:pPr>
      <w:r>
        <w:t>Egyre több ország fogad el vagy készít kifejezetten a hepatitis C elleni stratégiákat, amelyek különösen a hepatitis C szűréséhez való hozzáférést hivatottak biztosítani. Bár már vannak új vírusellenes gyógyszerek – amelyek megállítják a betegség előrehaladását, vagy teljes felépülést tesznek lehetővé –, a diagnózis hiánya és a magas gyógyszerköltségek együttesen határt szabnak az ilyen új kezelések igénybevételének.</w:t>
      </w:r>
    </w:p>
    <w:p w:rsidR="000C1074" w:rsidRDefault="00105FE2" w:rsidP="002B76D8">
      <w:pPr>
        <w:spacing w:after="260" w:line="260" w:lineRule="exact"/>
        <w:rPr>
          <w:rFonts w:cs="Arial"/>
          <w:szCs w:val="20"/>
        </w:rPr>
      </w:pPr>
      <w:r>
        <w:t xml:space="preserve">A legfrissebb adatok azt mutatják, hogy az új európai, injektáláshoz köthető HIV-diagnózisok számának a 2011/12-es </w:t>
      </w:r>
      <w:r>
        <w:rPr>
          <w:b/>
        </w:rPr>
        <w:t>görögországi</w:t>
      </w:r>
      <w:r>
        <w:t xml:space="preserve"> és </w:t>
      </w:r>
      <w:r>
        <w:rPr>
          <w:b/>
        </w:rPr>
        <w:t>romániai</w:t>
      </w:r>
      <w:r>
        <w:t xml:space="preserve"> járványkitörések következtében történt emelkedése mára megállt, és az uniós összesített érték visszaesett a járványkitörések előtti szintre (2.13. ábra). A 2013-ra vonatkozó </w:t>
      </w:r>
      <w:r w:rsidR="00704F02">
        <w:t xml:space="preserve">előzetes </w:t>
      </w:r>
      <w:r>
        <w:t>adatok 1</w:t>
      </w:r>
      <w:r w:rsidR="0015333D">
        <w:t xml:space="preserve"> </w:t>
      </w:r>
      <w:r>
        <w:t>458 újonnan bejelentett HIV-fertőzést mutatnak a 2012-es 1</w:t>
      </w:r>
      <w:r w:rsidR="0015333D">
        <w:t xml:space="preserve"> </w:t>
      </w:r>
      <w:r>
        <w:t xml:space="preserve">974-gyel szemben, tehát megfordult a 2010 óta tartó emelkedő tendencia. Az e téren elért előrehaladás ellenére az </w:t>
      </w:r>
      <w:r>
        <w:rPr>
          <w:b/>
        </w:rPr>
        <w:t>EMCDDA</w:t>
      </w:r>
      <w:r>
        <w:t xml:space="preserve"> hangsúlyozza a folyamatos éberség és a megfelelő szolgáltatás</w:t>
      </w:r>
      <w:r w:rsidR="00704F02">
        <w:t>ok</w:t>
      </w:r>
      <w:r>
        <w:t xml:space="preserve"> szükségességét.</w:t>
      </w:r>
    </w:p>
    <w:p w:rsidR="000C1074" w:rsidRDefault="009F3555" w:rsidP="00E522AE">
      <w:r>
        <w:rPr>
          <w:b/>
        </w:rPr>
        <w:t xml:space="preserve">A kábítószer-túladagolások kezelése – </w:t>
      </w:r>
      <w:r w:rsidR="00704F02">
        <w:rPr>
          <w:b/>
        </w:rPr>
        <w:t xml:space="preserve">népegészségügyi </w:t>
      </w:r>
      <w:r>
        <w:rPr>
          <w:b/>
        </w:rPr>
        <w:t>kihívás</w:t>
      </w:r>
    </w:p>
    <w:p w:rsidR="000C1074" w:rsidRPr="004A1615" w:rsidRDefault="00AD2A0A" w:rsidP="00AD2A0A">
      <w:pPr>
        <w:spacing w:after="260" w:line="260" w:lineRule="exact"/>
        <w:rPr>
          <w:rFonts w:cs="Arial"/>
          <w:szCs w:val="20"/>
        </w:rPr>
      </w:pPr>
      <w:r>
        <w:t xml:space="preserve">Az európai </w:t>
      </w:r>
      <w:r w:rsidR="00704F02">
        <w:t xml:space="preserve">népegészségügyi </w:t>
      </w:r>
      <w:r>
        <w:t>politika számára ma is fontos kihívást jelent a halálos kimenetelű kábítószer-túladagolások és a kábítószerekkel összefüggő más halálesetek (pl. a kábítószer-használathoz köthető betegségek, balesetek, öngyilkosságok) számának csökkentése. Az EU-ban becslések szerint 2013-ban legalább 6 100 túladagolásos haláleset történt, főként a heroinhoz és más opioidokhoz köthetően.</w:t>
      </w:r>
    </w:p>
    <w:p w:rsidR="000D3B2D" w:rsidRPr="006304FE" w:rsidRDefault="000D3B2D" w:rsidP="000D3B2D">
      <w:pPr>
        <w:spacing w:after="260" w:line="260" w:lineRule="exact"/>
        <w:rPr>
          <w:rFonts w:cs="Arial"/>
          <w:szCs w:val="20"/>
        </w:rPr>
      </w:pPr>
      <w:r>
        <w:t xml:space="preserve">A mai jelentéshez kapcsolódó új elemzés a benzodiazepinekkel való visszaélést vizsgálja a nagykockázatú opioidhasználók körében, akik ezeket a gyógyszereket öngyógyszerezésre vagy az opioidok hatásainak fokozására </w:t>
      </w:r>
      <w:r w:rsidRPr="00373848">
        <w:t xml:space="preserve">használhatják (lásd a </w:t>
      </w:r>
      <w:r w:rsidR="0015333D" w:rsidRPr="00373848">
        <w:t>POD</w:t>
      </w:r>
      <w:r w:rsidRPr="00373848">
        <w:t>). Az</w:t>
      </w:r>
      <w:r>
        <w:t xml:space="preserve"> elemzés azt mutatja, hogy az opioidok benzodiazepinekkel és központi idegrendszeri depresszánsokkal (pl. alkohol) kombinált használata hozzájárul a túladagolásos halál kockázatának növekedéséhez. A receptírási és klinikai gyakorlati iránymutatások döntő szerepet játszhatnak ennek az összetett kérdésnek a kezelésében.</w:t>
      </w:r>
    </w:p>
    <w:p w:rsidR="000C1074" w:rsidRPr="006304FE" w:rsidRDefault="00AD2A0A" w:rsidP="00AD2A0A">
      <w:pPr>
        <w:spacing w:after="260" w:line="260" w:lineRule="exact"/>
        <w:rPr>
          <w:rFonts w:cs="Arial"/>
          <w:szCs w:val="20"/>
        </w:rPr>
      </w:pPr>
      <w:r>
        <w:t>A túladagolás megelőzésére irányuló beavatkozások célzott stratégiákat, kockázati oktatást és a túladagolás kezelésére való felkészítést foglalnak magukban, amibe az elvihető naloxon terjesztése is beletartozik (</w:t>
      </w:r>
      <w:r>
        <w:rPr>
          <w:vertAlign w:val="superscript"/>
        </w:rPr>
        <w:t>3</w:t>
      </w:r>
      <w:r>
        <w:t xml:space="preserve">). Néhány országban régóta bevált gyakorlat a felügyelettel működő „ellenőrzött fogyasztói szobák” biztosítása is. Az </w:t>
      </w:r>
      <w:r>
        <w:rPr>
          <w:b/>
        </w:rPr>
        <w:t>EMCDDA</w:t>
      </w:r>
      <w:r>
        <w:t xml:space="preserve"> felé adatokat közlő országok közül jelenleg hat biztosít ilyen szolgáltatást, ami összesen nagyjából 70 létesítményt jelent (</w:t>
      </w:r>
      <w:r>
        <w:rPr>
          <w:b/>
        </w:rPr>
        <w:t>Dánia, Németország, Spanyolország, Luxemburg, Hollandia, Norvégia</w:t>
      </w:r>
      <w:r>
        <w:t xml:space="preserve">), </w:t>
      </w:r>
      <w:r>
        <w:rPr>
          <w:b/>
        </w:rPr>
        <w:t>Franciaországban</w:t>
      </w:r>
      <w:r>
        <w:t xml:space="preserve"> pedig a közelmúltban hagyták jóvá fogyasztói szob</w:t>
      </w:r>
      <w:r w:rsidR="00505DE0">
        <w:t>ák</w:t>
      </w:r>
      <w:r>
        <w:t xml:space="preserve"> kísérleti bevezetését. Az idei elemzést az ilyen helyszíneken nyújtott szolgáltatásokról szóló áttekintés egészíti </w:t>
      </w:r>
      <w:r w:rsidRPr="00373848">
        <w:t xml:space="preserve">ki (lásd a </w:t>
      </w:r>
      <w:r w:rsidR="0015333D" w:rsidRPr="00373848">
        <w:t>POD</w:t>
      </w:r>
      <w:r w:rsidRPr="00373848">
        <w:t>), amelyből</w:t>
      </w:r>
      <w:r>
        <w:t xml:space="preserve"> kiderül, hogy a fogyasztói szobák hogyan adnak helyi választ a helyi problémákra. A fogyasztói szobáknak szerepük lehet többek között a kábítószerekhez köthető ártalmak (köztük a túladagolásos halálesetek) csökkentésében, egyúttal hasznos terepet biztosítanak ahhoz, hogy a nehezen elérhető szerhasználók kapcsolatba kerüljenek az egészségügyi szolgálatokkal.</w:t>
      </w:r>
    </w:p>
    <w:p w:rsidR="000C1074" w:rsidRDefault="0089193D" w:rsidP="00226E8D">
      <w:pPr>
        <w:rPr>
          <w:rFonts w:cs="Arial"/>
          <w:b/>
          <w:szCs w:val="20"/>
        </w:rPr>
      </w:pPr>
      <w:r>
        <w:rPr>
          <w:b/>
        </w:rPr>
        <w:t>A kannabisz egyre fontosabb az európai kezelési rendszerekben</w:t>
      </w:r>
    </w:p>
    <w:p w:rsidR="000C1074" w:rsidRDefault="0089193D" w:rsidP="00D669B7">
      <w:pPr>
        <w:pStyle w:val="newsContent"/>
        <w:rPr>
          <w:noProof/>
        </w:rPr>
      </w:pPr>
      <w:r>
        <w:t>Európában változatlanul a kannabisz számít a legszélesebb körben fogyasztott tiltott kábítószernek: becslések szerint 19,3 millió felnőtt (15–64 éves) jelezte, hogy az elmúlt évben használta, és közülük 14,6 millióan a fiatal felnőttek (15–34 évesek) közé tartoznak. A napi vagy közel napi szintű használók arányát a felnőtt népesség nagyjából 1%-ára teszik.</w:t>
      </w:r>
    </w:p>
    <w:p w:rsidR="00275AED" w:rsidRPr="002331A0" w:rsidRDefault="00621C22" w:rsidP="00275AED">
      <w:pPr>
        <w:spacing w:after="260" w:line="260" w:lineRule="exact"/>
        <w:rPr>
          <w:rFonts w:cs="Arial"/>
          <w:szCs w:val="20"/>
        </w:rPr>
      </w:pPr>
      <w:r>
        <w:t>Három ország (</w:t>
      </w:r>
      <w:r>
        <w:rPr>
          <w:b/>
        </w:rPr>
        <w:t xml:space="preserve">Németország, Spanyolország </w:t>
      </w:r>
      <w:r>
        <w:t>és az</w:t>
      </w:r>
      <w:r>
        <w:rPr>
          <w:b/>
        </w:rPr>
        <w:t xml:space="preserve"> Egyesült Királyság</w:t>
      </w:r>
      <w:r>
        <w:t>) esetében a populációs felmérések az elmúlt évtizedben a kannabiszhasználat csökkenő vagy stagnáló előfordulásáról számolnak be.</w:t>
      </w:r>
      <w:r>
        <w:rPr>
          <w:i/>
        </w:rPr>
        <w:t xml:space="preserve"> </w:t>
      </w:r>
      <w:r>
        <w:rPr>
          <w:b/>
        </w:rPr>
        <w:t>Bulgáriában</w:t>
      </w:r>
      <w:r>
        <w:t xml:space="preserve">, </w:t>
      </w:r>
      <w:r>
        <w:rPr>
          <w:b/>
        </w:rPr>
        <w:t>Franciaországban</w:t>
      </w:r>
      <w:r>
        <w:t xml:space="preserve"> és </w:t>
      </w:r>
      <w:r>
        <w:rPr>
          <w:b/>
        </w:rPr>
        <w:t xml:space="preserve">négy </w:t>
      </w:r>
      <w:r>
        <w:t>skandináv országban (</w:t>
      </w:r>
      <w:r>
        <w:rPr>
          <w:b/>
        </w:rPr>
        <w:t>Dánia, Finnország, Svédország, Norvégia</w:t>
      </w:r>
      <w:r>
        <w:t>) ezzel szemben a használat emelkedését figyelték meg. A legfrissebb felmérési eredmények alapján a fiatal felnőttek elmúlt évi kannabiszhasználata összességében véve eltérő tendenciákat mutat (2.1. ábra).</w:t>
      </w:r>
    </w:p>
    <w:p w:rsidR="000C1074" w:rsidRDefault="00275AED" w:rsidP="00D669B7">
      <w:pPr>
        <w:pStyle w:val="newsContent"/>
      </w:pPr>
      <w:r>
        <w:lastRenderedPageBreak/>
        <w:t>A kábítószer magas előfordulási arányát jól tükrözi a kábítószer-használóknak szóló speciális kezelésre jelentkezők száma, ahol a kezelést első alkalommal megkezdők legnagyobb csoportja most már a kannabiszt nevezte meg fő problémás kábítószerként. A kannabiszproblémák miatt első alkalommal kezelésre jelentkezők teljes száma Európában a 2006-os 45 000-ről 2013-ban 61 000-re nőtt. Bár a kezelést megkezdő, kannabiszhasználó jelentkezők legnagyobb valószínűséggel önként jelentkeznek (34%), az elemzés megjegyzi, hogy az elsődleges kannabiszhasználat miatt kezelésre jelentkezők nagyjából egynegyedét (23 000) a büntetőjogi rendszerből utalják be. A bizonyítékok alátámasztják a pszichoszociális beavatkozások használatát a kábítószer-fogyasztási problémák kezelésében, és ezeket széles körben alkalmazzák is a kannabisszal összefüggő problémák kezelésére. Ezekkel a módszerekkel a mai jelentéshez tartozó elemzés (</w:t>
      </w:r>
      <w:r w:rsidRPr="00373848">
        <w:t xml:space="preserve">lásd a </w:t>
      </w:r>
      <w:r w:rsidR="00B20DF5" w:rsidRPr="00373848">
        <w:t>POD</w:t>
      </w:r>
      <w:r w:rsidRPr="00373848">
        <w:t>) és</w:t>
      </w:r>
      <w:r>
        <w:t xml:space="preserve"> az </w:t>
      </w:r>
      <w:r>
        <w:rPr>
          <w:b/>
        </w:rPr>
        <w:t>EMCDDA</w:t>
      </w:r>
      <w:r>
        <w:t xml:space="preserve"> közelmúltban megjelent </w:t>
      </w:r>
      <w:r>
        <w:rPr>
          <w:i/>
        </w:rPr>
        <w:t>Insights</w:t>
      </w:r>
      <w:r>
        <w:t xml:space="preserve"> kiadványa foglalkozik (</w:t>
      </w:r>
      <w:r>
        <w:rPr>
          <w:vertAlign w:val="superscript"/>
        </w:rPr>
        <w:t>4</w:t>
      </w:r>
      <w:r>
        <w:t>).</w:t>
      </w:r>
    </w:p>
    <w:p w:rsidR="00F6333E" w:rsidRDefault="00F6333E" w:rsidP="00F6333E">
      <w:pPr>
        <w:spacing w:after="260" w:line="260" w:lineRule="exact"/>
        <w:rPr>
          <w:rFonts w:cs="Arial"/>
          <w:szCs w:val="20"/>
        </w:rPr>
      </w:pPr>
      <w:r>
        <w:t>Bár a kannabisszal összefüggő akut sürgősségi esetek ritkák, az anyag fogyasztása után előfordulhatnak, különösen nagy adagok esetén (lásd alább a tisztaságról szóló részt). Egy friss, sürgősségi ellátásban végzett vizsgálat azt mutatta, hogy 2008 és 2012 között az elemzésben szereplő 13 európai országból 11-ben emelkedett a kannabiszhoz köthető bejelentett sürgősségi esetek száma.</w:t>
      </w:r>
    </w:p>
    <w:p w:rsidR="000C1074" w:rsidRDefault="00F6333E" w:rsidP="00F6333E">
      <w:pPr>
        <w:pStyle w:val="CommentText"/>
        <w:spacing w:after="260" w:line="260" w:lineRule="exact"/>
        <w:rPr>
          <w:rFonts w:cs="Arial"/>
        </w:rPr>
      </w:pPr>
      <w:r>
        <w:t>A mai jelentés felhívja a figyelmet arra, hogy a kannabisz milyen nagy szerepet játszik a kábítószerrel összefüggő bűnügyi statisztikákban, hiszen Európában ez a kábítószer teszi ki a lefoglalások számának 80%-át, és a kannabiszhasználat vagy személyes használati célú birtoklás a kábítószertörvények bejelentett megsértéseinek több mint 60%-át jelenti (lásd az 1. ábrát).</w:t>
      </w:r>
    </w:p>
    <w:p w:rsidR="000C1074" w:rsidRDefault="00226E8D" w:rsidP="00F6333E">
      <w:pPr>
        <w:spacing w:before="100" w:beforeAutospacing="1" w:after="260" w:line="260" w:lineRule="exact"/>
        <w:rPr>
          <w:rFonts w:cs="Arial"/>
          <w:szCs w:val="20"/>
        </w:rPr>
      </w:pPr>
      <w:r>
        <w:t xml:space="preserve">A marihuána-lefoglalások száma Európában 2009-ben előzte meg a hasis-lefoglalásokét, és azóta </w:t>
      </w:r>
      <w:r w:rsidR="0015333D">
        <w:t xml:space="preserve">           </w:t>
      </w:r>
      <w:r>
        <w:t xml:space="preserve">csak tovább nőtt közöttük a különbség (1.3. ábra). 2013-ban az EU-ban bejelentett 671 000 kannabiszlefoglalásból 431 000 esetben marihuánát, 240 000 esetben hasist foglaltak le. Ezt a tendenciát nagyrészt az vezérelte, hogy Európán belül megnőtt a belföldi termesztésű marihuána hozzáférhetősége, amit a kannabisznövények lefoglalásainak növekedése is tükröz. </w:t>
      </w:r>
      <w:r>
        <w:rPr>
          <w:color w:val="000000"/>
        </w:rPr>
        <w:t>Az EU-ban lefoglalt hasismennyiség még mindig sokkal nagyobb, mint a marihuána mennyisége (460 tonna a 130 tonnával szemben).</w:t>
      </w:r>
    </w:p>
    <w:p w:rsidR="000C1074" w:rsidRDefault="00F6333E" w:rsidP="00F6333E">
      <w:pPr>
        <w:spacing w:before="100" w:beforeAutospacing="1" w:after="260" w:line="260" w:lineRule="exact"/>
        <w:rPr>
          <w:rFonts w:cs="Arial"/>
          <w:szCs w:val="20"/>
        </w:rPr>
      </w:pPr>
      <w:r>
        <w:t xml:space="preserve">Az </w:t>
      </w:r>
      <w:r>
        <w:rPr>
          <w:b/>
        </w:rPr>
        <w:t xml:space="preserve">EU </w:t>
      </w:r>
      <w:r w:rsidR="003B122E">
        <w:rPr>
          <w:b/>
        </w:rPr>
        <w:t>K</w:t>
      </w:r>
      <w:r>
        <w:rPr>
          <w:b/>
        </w:rPr>
        <w:t>orai jelzőrendszere (EWS)</w:t>
      </w:r>
      <w:r>
        <w:t xml:space="preserve"> eddig több mint 130, a kannabisz legális helyettesítőjeként árusított szintetikus kannabinoidot azonosított, ami új dimenziókat nyit a kannabiszpiacon. Az ilyen anyagok használata káros egészségügyi következményekkel járhat (pl. vesekárosodás, légzőszervi és szív-érrendszeri hatások, görcsrohamok). Az ilyen anyagokhoz köthető, Európában és világviszonylatban bekövetkezett közelmúltbeli halálesetek és akut mérgezések </w:t>
      </w:r>
      <w:r w:rsidR="003B122E">
        <w:t xml:space="preserve">népegészségügyi </w:t>
      </w:r>
      <w:r>
        <w:t xml:space="preserve">figyelmeztetések kiadására késztették az </w:t>
      </w:r>
      <w:r>
        <w:rPr>
          <w:b/>
        </w:rPr>
        <w:t>EMCDDA</w:t>
      </w:r>
      <w:r>
        <w:t>-t.</w:t>
      </w:r>
    </w:p>
    <w:p w:rsidR="000C1074" w:rsidRDefault="00050E92" w:rsidP="009434EF">
      <w:pPr>
        <w:spacing w:after="0" w:line="240" w:lineRule="auto"/>
        <w:outlineLvl w:val="2"/>
        <w:rPr>
          <w:rFonts w:eastAsia="Times New Roman" w:cs="Arial"/>
          <w:b/>
          <w:szCs w:val="20"/>
        </w:rPr>
      </w:pPr>
      <w:r>
        <w:rPr>
          <w:b/>
        </w:rPr>
        <w:t>Verseny a stimulánsok telített piacán</w:t>
      </w:r>
    </w:p>
    <w:p w:rsidR="009434EF" w:rsidRPr="00362CD8" w:rsidRDefault="009434EF" w:rsidP="009434EF">
      <w:pPr>
        <w:spacing w:after="0" w:line="240" w:lineRule="auto"/>
        <w:outlineLvl w:val="2"/>
        <w:rPr>
          <w:rFonts w:eastAsia="Times New Roman" w:cs="Arial"/>
          <w:szCs w:val="20"/>
        </w:rPr>
      </w:pPr>
    </w:p>
    <w:p w:rsidR="007C5BE9" w:rsidRPr="00B44912" w:rsidRDefault="0080459C" w:rsidP="00F613F0">
      <w:pPr>
        <w:spacing w:after="260" w:line="260" w:lineRule="exact"/>
        <w:outlineLvl w:val="2"/>
        <w:rPr>
          <w:rFonts w:eastAsia="Times New Roman" w:cs="Arial"/>
          <w:szCs w:val="20"/>
        </w:rPr>
      </w:pPr>
      <w:r>
        <w:t xml:space="preserve">A stimulánsok piaca Európában már meglehetősen telített, hiszen a kokain, az amfetaminszármazékok, az ecstasy és a szintetikus kábítószerek egyre növekvő száma ugyanazokat a fogyasztói csoportokat célozza meg. Európában még mindig a kokain a legáltalánosabban használt tiltott stimuláns kábítószer, noha a kokainhasználók többségének a nyugat-európai országok egy kis csoportja ad otthont. Körülbelül 3,4 millió (15–64 év közötti) felnőtt használt az elmúlt év folyamán kokaint, és közülük 2,3 millióan a fiatal felnőttek (15–34 évesek) közé tartoztak. </w:t>
      </w:r>
      <w:r>
        <w:rPr>
          <w:color w:val="000000"/>
        </w:rPr>
        <w:t>Csak néhány országból jelezték a kokainhasználat 3%-ot meghaladó előző évi előfordulását a fiatal felnőttek körében (2.4. ábra). A legfrissebb adatokból a kokainhasználat csökkenését lehet megfigyelni. A 2012 óta felmérést készítő országok közül nyolcból jelentettek alacsonyabb becsléseket, háromból pedig magasabb becsléseket, mint az előző, összehasonlítható felmérésben.</w:t>
      </w:r>
    </w:p>
    <w:p w:rsidR="009434EF" w:rsidRPr="00B44912" w:rsidRDefault="009434EF" w:rsidP="005870C5">
      <w:pPr>
        <w:spacing w:after="260" w:line="260" w:lineRule="exact"/>
        <w:outlineLvl w:val="2"/>
        <w:rPr>
          <w:rFonts w:cs="Arial"/>
          <w:szCs w:val="20"/>
        </w:rPr>
      </w:pPr>
      <w:r>
        <w:t xml:space="preserve">Európában az amfetaminszármazékok (azaz az amfetamin és a metamfetamin) használata összességében továbbra is alacsonyabb szintű, mint a kokainé: az elmúlt évi használatot kb. 1,6 millió felnőtt jelezte, akik közül 1,3 millióan fiatal felnőttek (15–34 évesek) (2.5. ábra). A mai jelentés a metamfetamin használatában megfigyelt új mintákra is felhívja a figyelmet. A </w:t>
      </w:r>
      <w:r>
        <w:rPr>
          <w:b/>
        </w:rPr>
        <w:t>Cseh Köztársaságban</w:t>
      </w:r>
      <w:r>
        <w:t xml:space="preserve"> például a nagykockázatú metamfetaminhasználat (főként az injektálás) számottevő növekedését figyelték meg, ami azt jelenti, hogy a szer használóinak becsült száma 2007 és 2013 között kb. 21 000-ről 34 000 fölé emelkedett. Több európai országból jelezték a metamfetamin más stimulánsokkal (pl. szintetikus katinonokkal) való együttes injekciós használatát olyan férfiak kis csoportjaiban, akik más férfiakkal </w:t>
      </w:r>
      <w:r>
        <w:lastRenderedPageBreak/>
        <w:t>létesítenek szexuális kapcsolatot. Ezek az úgynevezett „slamming” gyakorlatok azért aggályosak, mert a kábítószer-használatban és a szexuális viselkedésben egyaránt jelen van a kockázatvállalás.</w:t>
      </w:r>
    </w:p>
    <w:p w:rsidR="000C1074" w:rsidRPr="002331A0" w:rsidRDefault="009434EF" w:rsidP="009434EF">
      <w:pPr>
        <w:spacing w:after="260" w:line="260" w:lineRule="exact"/>
        <w:rPr>
          <w:rFonts w:cs="Arial"/>
          <w:szCs w:val="20"/>
        </w:rPr>
      </w:pPr>
      <w:r>
        <w:t>Becslések szerint az elmúlt évben 2,1 millió felnőtt (15–64 éves) használt ecstasyt, akik közül 1,8 millióan fiatal felnőttek (15–34 évesek) (2.6. ábra). Miután egy időben a fogyasztók körében híre ment az „ecstasyként” árusított tabletták rossz minőségének és a termékhamisításnak, mára sokkal gyakrabban lehet hozzájutni nagy tisztaságú MDMA porhoz és tablettákhoz (lásd alább a tisztaságról szóló részt).</w:t>
      </w:r>
    </w:p>
    <w:p w:rsidR="009434EF" w:rsidRPr="00B40F29" w:rsidRDefault="009434EF" w:rsidP="009434EF">
      <w:pPr>
        <w:spacing w:after="260" w:line="260" w:lineRule="exact"/>
        <w:rPr>
          <w:rFonts w:cs="Arial"/>
          <w:szCs w:val="20"/>
          <w:u w:val="single"/>
        </w:rPr>
      </w:pPr>
      <w:r>
        <w:t xml:space="preserve">A szintetikus katinonok (pl. mefedron, pentedron és MDPV) néhány európai országban mára stabil helyet szereztek maguknak a tiltott stimulánsok piacán, és ezeket gyakran az amfetaminnal és az ecstasyval felcserélhetően használják. A szintetikus katinonok injektálása Európában ugyan nem elterjedt, de egyes országokban a </w:t>
      </w:r>
      <w:r w:rsidR="003B122E">
        <w:t xml:space="preserve">magas kockázatú </w:t>
      </w:r>
      <w:r>
        <w:t xml:space="preserve">szerhasználók csoportjaira korlátozódó, aggasztó problémát jelent. </w:t>
      </w:r>
      <w:r w:rsidR="00B20DF5">
        <w:t xml:space="preserve">       </w:t>
      </w:r>
      <w:r>
        <w:t xml:space="preserve">Az ilyen anyagokhoz kötődő kezelési igények számának emelkedését jelezték </w:t>
      </w:r>
      <w:r>
        <w:rPr>
          <w:b/>
        </w:rPr>
        <w:t>Magyarországról, Romániából</w:t>
      </w:r>
      <w:r>
        <w:t xml:space="preserve"> és az </w:t>
      </w:r>
      <w:r>
        <w:rPr>
          <w:b/>
        </w:rPr>
        <w:t>Egyesült Királyságból</w:t>
      </w:r>
      <w:r>
        <w:t>.</w:t>
      </w:r>
    </w:p>
    <w:p w:rsidR="000C1074" w:rsidRPr="00142679" w:rsidRDefault="007C5BE9" w:rsidP="00D669B7">
      <w:pPr>
        <w:pStyle w:val="newsContent"/>
        <w:rPr>
          <w:b/>
        </w:rPr>
      </w:pPr>
      <w:r w:rsidRPr="00142679">
        <w:rPr>
          <w:b/>
        </w:rPr>
        <w:t>Aggodalomra ad okot a kábítószerek erősségének és tisztaságának növekedése</w:t>
      </w:r>
    </w:p>
    <w:p w:rsidR="007C5BE9" w:rsidRPr="00362CD8" w:rsidRDefault="007C5BE9" w:rsidP="007C5BE9">
      <w:pPr>
        <w:spacing w:after="260" w:line="260" w:lineRule="exact"/>
        <w:rPr>
          <w:rFonts w:cs="Arial"/>
          <w:szCs w:val="20"/>
        </w:rPr>
      </w:pPr>
      <w:r>
        <w:t xml:space="preserve">Az idei jelentés egyik fontos megállapítása, hogy az Európában leggyakrabban használt tiltott kábítószerek erőssége és tisztasága jelentősen nőtt, ami alapot ad a szerhasználók egészsége miatti aggodalomra, mivel így – tudatosan vagy akaratlanul – erősebb termékeket fogyaszthatnak (1. fejezet). </w:t>
      </w:r>
      <w:r w:rsidR="00B20DF5">
        <w:t xml:space="preserve">   </w:t>
      </w:r>
      <w:r>
        <w:t>A 2006–2013 közötti időszakban látott összesített tendenciák azt mutatják, hogy a kannabisz erőssége (THC-tartalom), a kokain tisztasága és az ecstasytabletták MDMA-tartalma következetesen emelkedett az adatközlő országokban, de 2013-ban a heroin tisztasága is nőtt. A technikai innováció és a piaci verseny valószínűleg jelen van a tendenciát irányító tényezők között.</w:t>
      </w:r>
    </w:p>
    <w:p w:rsidR="000C1074" w:rsidRDefault="007C5BE9" w:rsidP="007C5BE9">
      <w:pPr>
        <w:spacing w:after="260" w:line="260" w:lineRule="exact"/>
        <w:rPr>
          <w:rFonts w:cs="Arial"/>
          <w:szCs w:val="20"/>
        </w:rPr>
      </w:pPr>
      <w:r>
        <w:t>A jelentés külön felhívja a figyelmet az MDMA-t nagy arányban tartalmazó, gyakran jól megkülönböztethető formában és logóval árusított ecstasy</w:t>
      </w:r>
      <w:r w:rsidR="003B122E">
        <w:t xml:space="preserve"> </w:t>
      </w:r>
      <w:r>
        <w:t xml:space="preserve">tabletták miatti aggályokra. Az elmúlt évben az </w:t>
      </w:r>
      <w:r>
        <w:rPr>
          <w:b/>
        </w:rPr>
        <w:t>EMCDDA</w:t>
      </w:r>
      <w:r>
        <w:t xml:space="preserve"> és az </w:t>
      </w:r>
      <w:r>
        <w:rPr>
          <w:b/>
        </w:rPr>
        <w:t>Europol</w:t>
      </w:r>
      <w:r>
        <w:t xml:space="preserve"> </w:t>
      </w:r>
      <w:r w:rsidR="003B122E">
        <w:t xml:space="preserve">népegészségügyi </w:t>
      </w:r>
      <w:r>
        <w:t>figyelmeztetésekben jelezték az ilyen termékek fogyasztásának veszélyeit. Figyelmeztetéseket adtak ki ezenkívül az ecstasyként árult, de más káros anyagokat, például PMMA-t tartalmazó tabletták miatt is, miután sorozatos halálesetek történtek.</w:t>
      </w:r>
    </w:p>
    <w:p w:rsidR="000C1074" w:rsidRDefault="000D1C68" w:rsidP="007C5BE9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t>Új kábítószerekből heti kettőt mutatnak ki</w:t>
      </w:r>
    </w:p>
    <w:p w:rsidR="00C175B5" w:rsidRPr="00D669B7" w:rsidRDefault="00C175B5" w:rsidP="00D669B7">
      <w:pPr>
        <w:pStyle w:val="newsContent"/>
      </w:pPr>
      <w:r w:rsidRPr="00D669B7">
        <w:t xml:space="preserve">Az új pszichoaktív anyagokból (avagy „új kábítószerek”, amelyeket gyakran „legal high” szerként árusítanak) az EU-ban az elmúlt évben nagyjából heti kettőt fedeztek fel. A </w:t>
      </w:r>
      <w:r w:rsidR="003B122E" w:rsidRPr="00B20DF5">
        <w:rPr>
          <w:b/>
        </w:rPr>
        <w:t>Ko</w:t>
      </w:r>
      <w:r w:rsidRPr="001E568A">
        <w:rPr>
          <w:b/>
        </w:rPr>
        <w:t>rai jelzőrendszerhez</w:t>
      </w:r>
      <w:r w:rsidRPr="00D669B7">
        <w:t xml:space="preserve"> 2014-ben összesen 101 anyagot jelentettek be (2013-ban 81-et), ezáltal folytatódott az egy év alatt bejelentett anyagok számának emelkedése (1.12. ábra). Az ügynökség megfigyelése alatt álló anyagok teljes száma ezzel 450 fölé emelkedett, és ennek a számnak több mint felét az elmúlt három évben mutatták ki.</w:t>
      </w:r>
    </w:p>
    <w:p w:rsidR="00C175B5" w:rsidRPr="00D669B7" w:rsidRDefault="00C175B5" w:rsidP="00D669B7">
      <w:pPr>
        <w:pStyle w:val="newsContent"/>
      </w:pPr>
      <w:r w:rsidRPr="00D669B7">
        <w:t xml:space="preserve">A 2014-ben bejelentett anyagok listájában továbbra is két csoport dominált: a szintetikus katinonok (31 anyag) és a szintetikus kannabinoidok (30 anyag) – amelyeket gyakran a stimulánsok, illetve a kannabisz legális helyettesítőjeként árusítanak. Ezek jelentik a </w:t>
      </w:r>
      <w:r w:rsidR="003B122E" w:rsidRPr="00B20DF5">
        <w:rPr>
          <w:b/>
        </w:rPr>
        <w:t>K</w:t>
      </w:r>
      <w:r w:rsidRPr="001E568A">
        <w:rPr>
          <w:b/>
        </w:rPr>
        <w:t xml:space="preserve">orai jelzőrendszer </w:t>
      </w:r>
      <w:r w:rsidRPr="00D669B7">
        <w:t>megfigyelése alatt álló két legnagyobb csoportot, és együttesen a 2014-ben bejelentett új kábítószerek közel kétharmadát teszik ki. Az új lefoglalási adatok azt mutatják, hogy az EU-ban 2013-ban körülbelül 35 000 alkalommal foglaltak le új pszichoaktív anyagokat (bár ezt inkább becsült minimumnak kell tekinteni, mivel ezen a területen nincs rutinszerű adatközlés). Ezek a lefoglalások a leggyakrabban szintetikus kannabinoidokat és szintetikus katinonokat jelentettek (1.2. ábra).</w:t>
      </w:r>
    </w:p>
    <w:p w:rsidR="00C175B5" w:rsidRPr="00D669B7" w:rsidRDefault="00C175B5" w:rsidP="00D669B7">
      <w:pPr>
        <w:pStyle w:val="newsContent"/>
      </w:pPr>
      <w:r w:rsidRPr="00D669B7">
        <w:t>Az új vizsgálatok és felmérések egyre többet foglalkoznak az új pszichoaktív anyagok használatával, sőt, kilenc ország most már be is építi az új pszichoaktív anyagok előfordulását az országos kábítószerügyi felmérésébe. A legtöbb uniós országban az ilyen szerek használatának előfordulása alacsonynak tűnik. Az új pszichoaktív anyagok némelyikének súlyos toxicitása miatt azonban még a korlátozott használatuk is aggodalomra adhat okot. Az új pszichoaktív anyagokra adott egészségügyi és szociális válaszlépések egyre lendületesebbek, és tükrözik a jobban ismert kábítószereknél használt válaszlépések teljes skáláját (pl. a kábítószerekkel foglalkozó oktatás; internetes alapú beavatkozások; tűcsere</w:t>
      </w:r>
      <w:r w:rsidR="003B122E">
        <w:t xml:space="preserve"> </w:t>
      </w:r>
      <w:r w:rsidRPr="00D669B7">
        <w:t>programok).</w:t>
      </w:r>
    </w:p>
    <w:p w:rsidR="0001152D" w:rsidRPr="00AC750C" w:rsidRDefault="0001152D" w:rsidP="0001152D">
      <w:pPr>
        <w:spacing w:after="260" w:line="260" w:lineRule="exact"/>
        <w:rPr>
          <w:rFonts w:cs="Arial"/>
          <w:b/>
          <w:szCs w:val="20"/>
        </w:rPr>
      </w:pPr>
      <w:r>
        <w:rPr>
          <w:b/>
        </w:rPr>
        <w:lastRenderedPageBreak/>
        <w:t>Az internet és az alkalmazások: a virtuális kábítószerpiacok megjelenése</w:t>
      </w:r>
    </w:p>
    <w:p w:rsidR="000C1074" w:rsidRPr="00CD3FFC" w:rsidRDefault="0001152D" w:rsidP="006C59B0">
      <w:pPr>
        <w:pStyle w:val="NormalWeb"/>
        <w:spacing w:after="260" w:afterAutospacing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Az internetnek egyre nagyobb szerepe van a kábítószerek európai kínálatában és forgalmazásában, így ma már az új pszichoaktív anyagokat és a jól ismert kábítószereket egyaránt online kínálják eladásra. </w:t>
      </w:r>
      <w:r w:rsidR="00B20DF5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 xml:space="preserve">Az elmúlt évtizedben nagyobb figyelmet kapott a „felszíni” (közönséges keresőkkel elérhető) világháló használata az új pszichoaktív anyagok értékesítésében; az </w:t>
      </w:r>
      <w:r>
        <w:rPr>
          <w:rFonts w:ascii="Arial" w:hAnsi="Arial"/>
          <w:b/>
          <w:sz w:val="20"/>
        </w:rPr>
        <w:t>EMCDDA</w:t>
      </w:r>
      <w:r>
        <w:rPr>
          <w:rFonts w:ascii="Arial" w:hAnsi="Arial"/>
          <w:sz w:val="20"/>
        </w:rPr>
        <w:t xml:space="preserve"> megfigyelő tevékenységével mintegy 650 olyan weboldalt talált, ahol „legal high” szereket árusítottak európai lakosoknak. Az online piac egyik aggasztó fejleménye, hogy a tiltott kábítószereket a titkos piacokon vagy a rejtett web online piacterein értékesítik (ezekhez titkosító szoftverrel lehet hozzáférni). Ezek a piacterek lehetővé teszik az áruk és szolgáltatások névtelen adásvételét, és a rejtett tranzakciók megkönnyítésére gyakran virtuális fizetőeszközöket használnak (pl. Bitcoin). Megjelentek az úgynevezett szürke piacok is, ahol az oldalak a felszíni és a rejtett weben egyaránt működnek. A jelentés felhívja a figyelmet arra, hogy a közösségi média és az alkalmazások ugyancsak aktív szerepet játszanak a kábítószerpiacokon, akár közvetlenül a kábítószerek eladására és vételére használják, akár közvetve, a marketing, véleményformálás vagy a tapasztalatok megosztásának eszközeként.</w:t>
      </w:r>
    </w:p>
    <w:p w:rsidR="000C1074" w:rsidRDefault="0001152D" w:rsidP="0002521E">
      <w:pPr>
        <w:spacing w:after="120"/>
        <w:rPr>
          <w:rFonts w:cs="Arial"/>
          <w:szCs w:val="20"/>
        </w:rPr>
      </w:pPr>
      <w:r>
        <w:t>„Az online és virtuális kábítószerpiacok növekedése együttesen véve nagy kihívások elé állítja a bűnüldözést és a kábítószer-ellenőrzési politikát” – olvasható a jelentésben. „A meglévő szabályozási modelleket át kell alakítani, hogy igazodjanak a globális és virtuális közeghez”.</w:t>
      </w:r>
    </w:p>
    <w:p w:rsidR="0080459C" w:rsidRPr="0084714F" w:rsidRDefault="00EB603B" w:rsidP="0015333D">
      <w:pPr>
        <w:spacing w:afterLines="80" w:after="192"/>
        <w:rPr>
          <w:rStyle w:val="header-line-3"/>
          <w:rFonts w:cs="Arial"/>
          <w:szCs w:val="20"/>
        </w:rPr>
      </w:pPr>
      <w:r>
        <w:rPr>
          <w:rStyle w:val="header-line-3"/>
        </w:rPr>
        <w:t>-----</w:t>
      </w:r>
    </w:p>
    <w:p w:rsidR="000C1074" w:rsidRDefault="00DB5716" w:rsidP="0015333D">
      <w:pPr>
        <w:spacing w:afterLines="80" w:after="192"/>
        <w:rPr>
          <w:rStyle w:val="header-line-3"/>
          <w:rFonts w:cs="Arial"/>
          <w:color w:val="FF0000"/>
          <w:szCs w:val="20"/>
          <w:highlight w:val="yellow"/>
        </w:rPr>
      </w:pPr>
      <w:r>
        <w:rPr>
          <w:rStyle w:val="header-line-3"/>
          <w:b/>
        </w:rPr>
        <w:t>Az EMCDDA igazgatóságának elnöke, João Goulão</w:t>
      </w:r>
      <w:r>
        <w:rPr>
          <w:rStyle w:val="header-line-3"/>
        </w:rPr>
        <w:t xml:space="preserve"> összegzésképpen elmondta: „Az európai kábítószer</w:t>
      </w:r>
      <w:r w:rsidR="003B122E">
        <w:rPr>
          <w:rStyle w:val="header-line-3"/>
        </w:rPr>
        <w:t>-</w:t>
      </w:r>
      <w:r>
        <w:rPr>
          <w:rStyle w:val="header-line-3"/>
        </w:rPr>
        <w:t>helyzetről készített 20. elemzés jól mutatja, mennyi minden megváltozott az EMCDDA első, 1996-os jelentése óta, és az ügynökség mára mennyivel jobban megismerte ezt a kérdéskört. A kábítószerek problémája ma már sokkal összetettebb, hiszen két évtizeddel ezelőtt a ma tárgyalt anyagok közül sok gyakorlatilag ismeretlen volt a szerhasználók előtt. Egyre nehezebb meghúzni a határt a régi és az új kábítószerek között, mivel az új anyagok egyre inkább az ellenőrzött kábítószereket igyekeznek utánozni. Az európai drogproblémáról szóló éves körkép hasznos alapot ad ahhoz, hogy a drogpolitika mai megvitatásában tényekre lehessen támaszkodni. A jelentés egyszersmind a jövőben szükséges szakpolitikákhoz is fontos betekintést kínál”.</w:t>
      </w:r>
    </w:p>
    <w:p w:rsidR="00C6303A" w:rsidRDefault="00C6303A" w:rsidP="00D57CC0">
      <w:pPr>
        <w:spacing w:after="0" w:line="240" w:lineRule="auto"/>
        <w:rPr>
          <w:rStyle w:val="header-line-3"/>
          <w:rFonts w:cs="Arial"/>
          <w:b/>
          <w:sz w:val="16"/>
          <w:szCs w:val="16"/>
        </w:rPr>
      </w:pPr>
    </w:p>
    <w:p w:rsidR="008C53EC" w:rsidRPr="0002521E" w:rsidRDefault="001F4003" w:rsidP="00D57CC0">
      <w:pPr>
        <w:spacing w:after="0" w:line="240" w:lineRule="auto"/>
        <w:rPr>
          <w:rStyle w:val="header-line-3"/>
          <w:rFonts w:cs="Arial"/>
          <w:b/>
          <w:sz w:val="16"/>
          <w:szCs w:val="16"/>
        </w:rPr>
      </w:pPr>
      <w:r>
        <w:rPr>
          <w:rStyle w:val="header-line-3"/>
          <w:b/>
          <w:sz w:val="16"/>
        </w:rPr>
        <w:t>Megjegyzések</w:t>
      </w:r>
    </w:p>
    <w:p w:rsidR="000C1074" w:rsidRDefault="008C53EC" w:rsidP="00184E73">
      <w:pPr>
        <w:spacing w:after="0" w:line="240" w:lineRule="auto"/>
        <w:rPr>
          <w:rFonts w:cs="Arial"/>
          <w:sz w:val="16"/>
          <w:szCs w:val="16"/>
        </w:rPr>
      </w:pPr>
      <w:r>
        <w:rPr>
          <w:rStyle w:val="header-line-3"/>
          <w:sz w:val="16"/>
        </w:rPr>
        <w:t>(</w:t>
      </w:r>
      <w:r>
        <w:rPr>
          <w:rStyle w:val="header-line-3"/>
          <w:sz w:val="16"/>
          <w:vertAlign w:val="superscript"/>
        </w:rPr>
        <w:t>1</w:t>
      </w:r>
      <w:r>
        <w:rPr>
          <w:rStyle w:val="header-line-3"/>
          <w:sz w:val="16"/>
        </w:rPr>
        <w:t xml:space="preserve">) </w:t>
      </w:r>
      <w:r>
        <w:rPr>
          <w:sz w:val="16"/>
        </w:rPr>
        <w:t xml:space="preserve">A </w:t>
      </w:r>
      <w:r>
        <w:rPr>
          <w:b/>
          <w:i/>
          <w:sz w:val="16"/>
        </w:rPr>
        <w:t xml:space="preserve">2015. évi </w:t>
      </w:r>
      <w:r w:rsidR="006A771D">
        <w:rPr>
          <w:b/>
          <w:i/>
          <w:sz w:val="16"/>
        </w:rPr>
        <w:t>E</w:t>
      </w:r>
      <w:r>
        <w:rPr>
          <w:b/>
          <w:i/>
          <w:sz w:val="16"/>
        </w:rPr>
        <w:t>urópai kábítószer</w:t>
      </w:r>
      <w:r w:rsidR="003B122E">
        <w:rPr>
          <w:b/>
          <w:i/>
          <w:sz w:val="16"/>
        </w:rPr>
        <w:t>-</w:t>
      </w:r>
      <w:r>
        <w:rPr>
          <w:b/>
          <w:i/>
          <w:sz w:val="16"/>
        </w:rPr>
        <w:t>jelentés</w:t>
      </w:r>
      <w:r>
        <w:rPr>
          <w:sz w:val="16"/>
        </w:rPr>
        <w:t xml:space="preserve"> teljes csomagja itt érhető el: </w:t>
      </w:r>
      <w:hyperlink r:id="rId10">
        <w:r>
          <w:rPr>
            <w:rStyle w:val="Hyperlink"/>
            <w:sz w:val="16"/>
          </w:rPr>
          <w:t>www.emcdda.europa.eu/edr2015</w:t>
        </w:r>
      </w:hyperlink>
    </w:p>
    <w:p w:rsidR="000C1074" w:rsidRDefault="000A4F68" w:rsidP="00184E73">
      <w:pPr>
        <w:spacing w:after="0" w:line="240" w:lineRule="auto"/>
        <w:rPr>
          <w:rFonts w:cs="Arial"/>
          <w:sz w:val="16"/>
          <w:szCs w:val="16"/>
        </w:rPr>
      </w:pPr>
      <w:r>
        <w:rPr>
          <w:sz w:val="16"/>
        </w:rPr>
        <w:t>A jelentésben szereplő adatok 2013-ra vagy az utolsó rendelkezésre álló évre vonatkoznak.</w:t>
      </w:r>
    </w:p>
    <w:p w:rsidR="000C1074" w:rsidRDefault="008C53EC" w:rsidP="00184E73">
      <w:pPr>
        <w:spacing w:after="0" w:line="240" w:lineRule="auto"/>
        <w:rPr>
          <w:rFonts w:cs="Arial"/>
          <w:sz w:val="16"/>
          <w:szCs w:val="16"/>
          <w:highlight w:val="yellow"/>
        </w:rPr>
      </w:pPr>
      <w:r>
        <w:rPr>
          <w:rStyle w:val="header-line-3"/>
          <w:sz w:val="16"/>
        </w:rPr>
        <w:t>(</w:t>
      </w:r>
      <w:r>
        <w:rPr>
          <w:rStyle w:val="header-line-3"/>
          <w:sz w:val="16"/>
          <w:vertAlign w:val="superscript"/>
        </w:rPr>
        <w:t>2</w:t>
      </w:r>
      <w:r>
        <w:rPr>
          <w:rStyle w:val="header-line-3"/>
          <w:sz w:val="16"/>
        </w:rPr>
        <w:t xml:space="preserve">) </w:t>
      </w:r>
      <w:hyperlink r:id="rId11">
        <w:r>
          <w:rPr>
            <w:rStyle w:val="Hyperlink"/>
            <w:sz w:val="16"/>
          </w:rPr>
          <w:t>www.unodc.org/documents/wdr2014/World_Drug_Report_2014_web.pdf</w:t>
        </w:r>
      </w:hyperlink>
    </w:p>
    <w:p w:rsidR="008C53EC" w:rsidRPr="0002521E" w:rsidRDefault="00373848" w:rsidP="00184E73">
      <w:pPr>
        <w:spacing w:after="0" w:line="240" w:lineRule="auto"/>
        <w:rPr>
          <w:rFonts w:cs="Arial"/>
          <w:sz w:val="16"/>
          <w:szCs w:val="16"/>
        </w:rPr>
      </w:pPr>
      <w:hyperlink r:id="rId12">
        <w:r w:rsidR="00117596">
          <w:rPr>
            <w:rStyle w:val="Hyperlink"/>
            <w:sz w:val="16"/>
          </w:rPr>
          <w:t>www.unodc.org/documents/crop-monitoring/Afghanistan/Afghan-opium-survey-2014.pdf</w:t>
        </w:r>
      </w:hyperlink>
    </w:p>
    <w:p w:rsidR="000C1074" w:rsidRDefault="0002128C" w:rsidP="00184E73">
      <w:pPr>
        <w:spacing w:after="0" w:line="240" w:lineRule="auto"/>
        <w:rPr>
          <w:rStyle w:val="Hyperlink"/>
          <w:rFonts w:cs="Arial"/>
          <w:sz w:val="16"/>
          <w:szCs w:val="16"/>
        </w:rPr>
      </w:pPr>
      <w:r>
        <w:rPr>
          <w:rStyle w:val="header-line-3"/>
          <w:sz w:val="16"/>
        </w:rPr>
        <w:t>(</w:t>
      </w:r>
      <w:r>
        <w:rPr>
          <w:rStyle w:val="header-line-3"/>
          <w:sz w:val="16"/>
          <w:vertAlign w:val="superscript"/>
        </w:rPr>
        <w:t>3</w:t>
      </w:r>
      <w:r>
        <w:rPr>
          <w:rStyle w:val="header-line-3"/>
          <w:sz w:val="16"/>
        </w:rPr>
        <w:t xml:space="preserve">) </w:t>
      </w:r>
      <w:hyperlink r:id="rId13">
        <w:r>
          <w:rPr>
            <w:rStyle w:val="Hyperlink"/>
            <w:sz w:val="16"/>
          </w:rPr>
          <w:t>www.emcdda.europa.eu/news/2015/naloxone</w:t>
        </w:r>
      </w:hyperlink>
    </w:p>
    <w:p w:rsidR="00EC5A9C" w:rsidRDefault="0060343A" w:rsidP="00184E73">
      <w:pPr>
        <w:spacing w:after="0" w:line="240" w:lineRule="auto"/>
        <w:rPr>
          <w:rStyle w:val="Hyperlink"/>
          <w:sz w:val="16"/>
        </w:rPr>
      </w:pPr>
      <w:r>
        <w:rPr>
          <w:rStyle w:val="header-line-3"/>
          <w:sz w:val="16"/>
        </w:rPr>
        <w:t>(</w:t>
      </w:r>
      <w:r>
        <w:rPr>
          <w:rStyle w:val="header-line-3"/>
          <w:sz w:val="16"/>
          <w:vertAlign w:val="superscript"/>
        </w:rPr>
        <w:t>4</w:t>
      </w:r>
      <w:r>
        <w:rPr>
          <w:rStyle w:val="header-line-3"/>
          <w:sz w:val="16"/>
        </w:rPr>
        <w:t xml:space="preserve">) </w:t>
      </w:r>
      <w:hyperlink r:id="rId14">
        <w:r>
          <w:rPr>
            <w:rStyle w:val="Hyperlink"/>
            <w:sz w:val="16"/>
          </w:rPr>
          <w:t>www.emcdda.europa.eu/news/2015/treatment-of-cannabis-related-disorders-in-Europe</w:t>
        </w:r>
      </w:hyperlink>
    </w:p>
    <w:p w:rsidR="00D669B7" w:rsidRDefault="00D669B7" w:rsidP="00184E73">
      <w:pPr>
        <w:spacing w:after="0" w:line="240" w:lineRule="auto"/>
        <w:rPr>
          <w:rStyle w:val="Hyperlink"/>
          <w:sz w:val="16"/>
        </w:rPr>
      </w:pPr>
    </w:p>
    <w:p w:rsidR="00D669B7" w:rsidRDefault="00D669B7" w:rsidP="00184E73">
      <w:pPr>
        <w:spacing w:after="0" w:line="240" w:lineRule="auto"/>
        <w:rPr>
          <w:rStyle w:val="Hyperlink"/>
          <w:rFonts w:cs="Arial"/>
          <w:sz w:val="16"/>
          <w:szCs w:val="16"/>
        </w:rPr>
      </w:pPr>
    </w:p>
    <w:sectPr w:rsidR="00D669B7" w:rsidSect="00F57B5A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276" w:right="1274" w:bottom="709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53" w:rsidRDefault="00424C53" w:rsidP="009A28FB">
      <w:pPr>
        <w:spacing w:after="0" w:line="240" w:lineRule="auto"/>
      </w:pPr>
      <w:r>
        <w:separator/>
      </w:r>
    </w:p>
  </w:endnote>
  <w:endnote w:type="continuationSeparator" w:id="0">
    <w:p w:rsidR="00424C53" w:rsidRDefault="00424C53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altName w:val="Zapf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3B122E" w:rsidTr="002F4635">
      <w:tc>
        <w:tcPr>
          <w:tcW w:w="1444" w:type="dxa"/>
        </w:tcPr>
        <w:p w:rsidR="003B122E" w:rsidRDefault="00373848" w:rsidP="00D37865">
          <w:pPr>
            <w:pStyle w:val="newsCoordinates"/>
          </w:pPr>
          <w:r>
            <w:rPr>
              <w:noProof/>
              <w:lang w:val="fr-LU" w:eastAsia="fr-LU" w:bidi="ar-SA"/>
            </w:rPr>
            <w:pict>
              <v:line id="Straight Connector 14" o:spid="_x0000_s2050" style="position:absolute;left:0;text-align:lef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<w10:wrap anchorx="page" anchory="page"/>
              </v:line>
            </w:pict>
          </w:r>
          <w:r w:rsidR="003B122E">
            <w:t xml:space="preserve">emcdda.europa.eu </w:t>
          </w:r>
        </w:p>
      </w:tc>
      <w:tc>
        <w:tcPr>
          <w:tcW w:w="3294" w:type="dxa"/>
          <w:vAlign w:val="bottom"/>
        </w:tcPr>
        <w:p w:rsidR="003B122E" w:rsidRDefault="00B20DF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384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3B122E" w:rsidRDefault="003B1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3B122E" w:rsidTr="00031350">
      <w:tc>
        <w:tcPr>
          <w:tcW w:w="7196" w:type="dxa"/>
        </w:tcPr>
        <w:p w:rsidR="003B122E" w:rsidRDefault="00373848" w:rsidP="00031350">
          <w:pPr>
            <w:pStyle w:val="newsCoordinates"/>
          </w:pPr>
          <w:r>
            <w:rPr>
              <w:noProof/>
              <w:lang w:val="fr-LU" w:eastAsia="fr-LU" w:bidi="ar-SA"/>
            </w:rPr>
            <w:pict>
              <v:line id="Straight Connector 4" o:spid="_x0000_s2049" style="position:absolute;left:0;text-align:left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<w10:wrap anchorx="page" anchory="page"/>
              </v:line>
            </w:pict>
          </w:r>
          <w:r w:rsidR="003B122E">
            <w:t>Kapcsolat: Kathy Robertson, Sajtókapcsolatok</w:t>
          </w:r>
        </w:p>
        <w:p w:rsidR="003B122E" w:rsidRDefault="003B122E" w:rsidP="00031350">
          <w:pPr>
            <w:pStyle w:val="newsCoordinates"/>
          </w:pPr>
          <w:r>
            <w:t>Praça Europa 1, Cais do Sodré, 1249-289 Lisszabon, Portugália</w:t>
          </w:r>
        </w:p>
        <w:p w:rsidR="003B122E" w:rsidRPr="000C1074" w:rsidRDefault="003B122E" w:rsidP="00031350">
          <w:pPr>
            <w:pStyle w:val="newsCoordinates"/>
          </w:pPr>
          <w:r>
            <w:t xml:space="preserve">Tel. (351) 211 21 02 00 </w:t>
          </w:r>
          <w:r>
            <w:rPr>
              <w:sz w:val="18"/>
            </w:rPr>
            <w:t xml:space="preserve">I </w:t>
          </w:r>
          <w:r>
            <w:t xml:space="preserve">press@emcdda.europa.eu </w:t>
          </w:r>
          <w:r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3B122E" w:rsidRDefault="003B122E" w:rsidP="000A4F68">
          <w:pPr>
            <w:pStyle w:val="newsReference"/>
            <w:jc w:val="right"/>
          </w:pPr>
          <w:r>
            <w:t>HU — 2015/4 sz.</w:t>
          </w:r>
        </w:p>
      </w:tc>
    </w:tr>
  </w:tbl>
  <w:p w:rsidR="003B122E" w:rsidRDefault="003B1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53" w:rsidRDefault="00424C53" w:rsidP="009A28FB">
      <w:pPr>
        <w:spacing w:after="0" w:line="240" w:lineRule="auto"/>
      </w:pPr>
      <w:r>
        <w:separator/>
      </w:r>
    </w:p>
  </w:footnote>
  <w:footnote w:type="continuationSeparator" w:id="0">
    <w:p w:rsidR="00424C53" w:rsidRDefault="00424C53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3B122E" w:rsidTr="00BF1E3B">
      <w:tc>
        <w:tcPr>
          <w:tcW w:w="7196" w:type="dxa"/>
        </w:tcPr>
        <w:p w:rsidR="003B122E" w:rsidRDefault="00373848" w:rsidP="00CC4FDA">
          <w:pPr>
            <w:pStyle w:val="newsEmbargo"/>
          </w:pPr>
          <w:r>
            <w:rPr>
              <w:noProof/>
              <w:lang w:val="fr-LU" w:eastAsia="fr-LU" w:bidi="ar-SA"/>
            </w:rPr>
            <w:pict>
              <v:line id="Straight Connector 11" o:spid="_x0000_s2051" style="position:absolute;left:0;text-align:lef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<w10:wrap anchorx="page" anchory="page"/>
              </v:line>
            </w:pict>
          </w:r>
          <w:r w:rsidR="003B122E">
            <w:t xml:space="preserve">2015. évi európai kábítószerjelentés </w:t>
          </w:r>
          <w:r w:rsidR="003B122E">
            <w:rPr>
              <w:noProof/>
              <w:sz w:val="18"/>
            </w:rPr>
            <w:t>I</w:t>
          </w:r>
          <w:r w:rsidR="003B122E">
            <w:t xml:space="preserve"> </w:t>
          </w:r>
          <w:r w:rsidR="003B122E">
            <w:rPr>
              <w:b/>
              <w:noProof/>
              <w:color w:val="FF0000"/>
            </w:rPr>
            <w:t>HÍRZÁRLAT WET/lisszaboni idő szerint 10.00 óráig</w:t>
          </w:r>
        </w:p>
      </w:tc>
      <w:tc>
        <w:tcPr>
          <w:tcW w:w="3294" w:type="dxa"/>
          <w:vAlign w:val="bottom"/>
        </w:tcPr>
        <w:p w:rsidR="003B122E" w:rsidRDefault="003B122E" w:rsidP="00A13D42">
          <w:pPr>
            <w:pStyle w:val="newsReference"/>
            <w:jc w:val="right"/>
          </w:pPr>
          <w:r>
            <w:t>2015.6.4.</w:t>
          </w:r>
        </w:p>
      </w:tc>
    </w:tr>
  </w:tbl>
  <w:p w:rsidR="003B122E" w:rsidRDefault="003B1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F89"/>
    <w:rsid w:val="00006E04"/>
    <w:rsid w:val="0001152D"/>
    <w:rsid w:val="00011655"/>
    <w:rsid w:val="00012CCC"/>
    <w:rsid w:val="00014E8E"/>
    <w:rsid w:val="00017CF2"/>
    <w:rsid w:val="0002128C"/>
    <w:rsid w:val="0002521E"/>
    <w:rsid w:val="0002642F"/>
    <w:rsid w:val="00030F8E"/>
    <w:rsid w:val="00031350"/>
    <w:rsid w:val="000341E6"/>
    <w:rsid w:val="00036DAA"/>
    <w:rsid w:val="00042704"/>
    <w:rsid w:val="0004569C"/>
    <w:rsid w:val="000457B2"/>
    <w:rsid w:val="00050E92"/>
    <w:rsid w:val="000535B7"/>
    <w:rsid w:val="00067C0A"/>
    <w:rsid w:val="00067DD3"/>
    <w:rsid w:val="0008340F"/>
    <w:rsid w:val="000940B9"/>
    <w:rsid w:val="00094B2A"/>
    <w:rsid w:val="000A1C65"/>
    <w:rsid w:val="000A4F68"/>
    <w:rsid w:val="000B2DDF"/>
    <w:rsid w:val="000C00EF"/>
    <w:rsid w:val="000C1074"/>
    <w:rsid w:val="000C1799"/>
    <w:rsid w:val="000C3FA2"/>
    <w:rsid w:val="000C6200"/>
    <w:rsid w:val="000D1C68"/>
    <w:rsid w:val="000D371F"/>
    <w:rsid w:val="000D3B2D"/>
    <w:rsid w:val="000D6DB7"/>
    <w:rsid w:val="000F2A75"/>
    <w:rsid w:val="000F7D57"/>
    <w:rsid w:val="00100F42"/>
    <w:rsid w:val="00101B89"/>
    <w:rsid w:val="00105BFC"/>
    <w:rsid w:val="00105FE2"/>
    <w:rsid w:val="00107C96"/>
    <w:rsid w:val="00107CE0"/>
    <w:rsid w:val="00107FC7"/>
    <w:rsid w:val="00110BD2"/>
    <w:rsid w:val="001119A8"/>
    <w:rsid w:val="00111DD7"/>
    <w:rsid w:val="00113F76"/>
    <w:rsid w:val="001165FD"/>
    <w:rsid w:val="00117596"/>
    <w:rsid w:val="00121121"/>
    <w:rsid w:val="00142679"/>
    <w:rsid w:val="001518D5"/>
    <w:rsid w:val="0015333D"/>
    <w:rsid w:val="00156CE8"/>
    <w:rsid w:val="001575A4"/>
    <w:rsid w:val="00161BC1"/>
    <w:rsid w:val="001622F3"/>
    <w:rsid w:val="00164F37"/>
    <w:rsid w:val="00172DB0"/>
    <w:rsid w:val="0017713E"/>
    <w:rsid w:val="0017757B"/>
    <w:rsid w:val="001800D0"/>
    <w:rsid w:val="00182270"/>
    <w:rsid w:val="00184E73"/>
    <w:rsid w:val="00192C85"/>
    <w:rsid w:val="00193596"/>
    <w:rsid w:val="00194867"/>
    <w:rsid w:val="00196CAB"/>
    <w:rsid w:val="001A18C6"/>
    <w:rsid w:val="001A1E56"/>
    <w:rsid w:val="001A3338"/>
    <w:rsid w:val="001A579D"/>
    <w:rsid w:val="001A69E6"/>
    <w:rsid w:val="001B17B3"/>
    <w:rsid w:val="001B188F"/>
    <w:rsid w:val="001B5593"/>
    <w:rsid w:val="001C1D39"/>
    <w:rsid w:val="001C383B"/>
    <w:rsid w:val="001C795A"/>
    <w:rsid w:val="001D18F4"/>
    <w:rsid w:val="001D22AF"/>
    <w:rsid w:val="001D43CB"/>
    <w:rsid w:val="001D4B78"/>
    <w:rsid w:val="001D5C26"/>
    <w:rsid w:val="001D6720"/>
    <w:rsid w:val="001E568A"/>
    <w:rsid w:val="001E7122"/>
    <w:rsid w:val="001F067B"/>
    <w:rsid w:val="001F1D05"/>
    <w:rsid w:val="001F2A80"/>
    <w:rsid w:val="001F4003"/>
    <w:rsid w:val="001F44C6"/>
    <w:rsid w:val="001F5B61"/>
    <w:rsid w:val="001F70B4"/>
    <w:rsid w:val="001F76C7"/>
    <w:rsid w:val="0021417F"/>
    <w:rsid w:val="002142A8"/>
    <w:rsid w:val="00220E2D"/>
    <w:rsid w:val="002228DE"/>
    <w:rsid w:val="00223753"/>
    <w:rsid w:val="00224BE2"/>
    <w:rsid w:val="00226E8D"/>
    <w:rsid w:val="002331A0"/>
    <w:rsid w:val="00246D13"/>
    <w:rsid w:val="00250AD6"/>
    <w:rsid w:val="002545D9"/>
    <w:rsid w:val="002557B0"/>
    <w:rsid w:val="00261883"/>
    <w:rsid w:val="002646E4"/>
    <w:rsid w:val="002662DA"/>
    <w:rsid w:val="0027189B"/>
    <w:rsid w:val="00271C5B"/>
    <w:rsid w:val="0027252D"/>
    <w:rsid w:val="002730DF"/>
    <w:rsid w:val="00275AED"/>
    <w:rsid w:val="00275F30"/>
    <w:rsid w:val="0027733D"/>
    <w:rsid w:val="00277F89"/>
    <w:rsid w:val="0028141E"/>
    <w:rsid w:val="00283951"/>
    <w:rsid w:val="002919EA"/>
    <w:rsid w:val="002948E2"/>
    <w:rsid w:val="00294B1A"/>
    <w:rsid w:val="00296408"/>
    <w:rsid w:val="00297B50"/>
    <w:rsid w:val="002A2566"/>
    <w:rsid w:val="002A3971"/>
    <w:rsid w:val="002A3C24"/>
    <w:rsid w:val="002A6038"/>
    <w:rsid w:val="002A61F7"/>
    <w:rsid w:val="002A7504"/>
    <w:rsid w:val="002B05CE"/>
    <w:rsid w:val="002B225D"/>
    <w:rsid w:val="002B45AC"/>
    <w:rsid w:val="002B4631"/>
    <w:rsid w:val="002B57E1"/>
    <w:rsid w:val="002B76D8"/>
    <w:rsid w:val="002C14B6"/>
    <w:rsid w:val="002C457A"/>
    <w:rsid w:val="002C6982"/>
    <w:rsid w:val="002E139D"/>
    <w:rsid w:val="002E5C77"/>
    <w:rsid w:val="002E6E4B"/>
    <w:rsid w:val="002E7B7E"/>
    <w:rsid w:val="002F041B"/>
    <w:rsid w:val="002F13E4"/>
    <w:rsid w:val="002F15DC"/>
    <w:rsid w:val="002F1DC5"/>
    <w:rsid w:val="002F4635"/>
    <w:rsid w:val="00300989"/>
    <w:rsid w:val="00304ED3"/>
    <w:rsid w:val="00313B77"/>
    <w:rsid w:val="0032347B"/>
    <w:rsid w:val="0033158E"/>
    <w:rsid w:val="00334B9B"/>
    <w:rsid w:val="003366A1"/>
    <w:rsid w:val="003423CF"/>
    <w:rsid w:val="00346A2D"/>
    <w:rsid w:val="00352A65"/>
    <w:rsid w:val="00356C18"/>
    <w:rsid w:val="0036121D"/>
    <w:rsid w:val="003621BA"/>
    <w:rsid w:val="00362CD8"/>
    <w:rsid w:val="003728ED"/>
    <w:rsid w:val="00373848"/>
    <w:rsid w:val="00380C21"/>
    <w:rsid w:val="003849C1"/>
    <w:rsid w:val="00387D02"/>
    <w:rsid w:val="00392E6E"/>
    <w:rsid w:val="003953B8"/>
    <w:rsid w:val="00396377"/>
    <w:rsid w:val="00397BE5"/>
    <w:rsid w:val="003B122E"/>
    <w:rsid w:val="003B1D7B"/>
    <w:rsid w:val="003B2845"/>
    <w:rsid w:val="003B41B1"/>
    <w:rsid w:val="003B7A42"/>
    <w:rsid w:val="003C0395"/>
    <w:rsid w:val="003C21DD"/>
    <w:rsid w:val="003C52DA"/>
    <w:rsid w:val="003C6E5F"/>
    <w:rsid w:val="003D2A4C"/>
    <w:rsid w:val="003D4C63"/>
    <w:rsid w:val="003F26CE"/>
    <w:rsid w:val="00410873"/>
    <w:rsid w:val="00410CA5"/>
    <w:rsid w:val="004137B0"/>
    <w:rsid w:val="00416CB0"/>
    <w:rsid w:val="004204A7"/>
    <w:rsid w:val="004221D3"/>
    <w:rsid w:val="00424C53"/>
    <w:rsid w:val="0043414B"/>
    <w:rsid w:val="00435B19"/>
    <w:rsid w:val="00436BB4"/>
    <w:rsid w:val="0044111C"/>
    <w:rsid w:val="00445080"/>
    <w:rsid w:val="00446E8A"/>
    <w:rsid w:val="0045053C"/>
    <w:rsid w:val="00453A6F"/>
    <w:rsid w:val="0045468D"/>
    <w:rsid w:val="00457495"/>
    <w:rsid w:val="004616FC"/>
    <w:rsid w:val="00463747"/>
    <w:rsid w:val="00464316"/>
    <w:rsid w:val="00466EF3"/>
    <w:rsid w:val="00470469"/>
    <w:rsid w:val="0047107C"/>
    <w:rsid w:val="00472386"/>
    <w:rsid w:val="00476147"/>
    <w:rsid w:val="004847FB"/>
    <w:rsid w:val="004851A4"/>
    <w:rsid w:val="00486797"/>
    <w:rsid w:val="00496E01"/>
    <w:rsid w:val="004A1615"/>
    <w:rsid w:val="004A5D08"/>
    <w:rsid w:val="004B1BC3"/>
    <w:rsid w:val="004B3A1C"/>
    <w:rsid w:val="004C0D27"/>
    <w:rsid w:val="004C3028"/>
    <w:rsid w:val="004C4312"/>
    <w:rsid w:val="004C5510"/>
    <w:rsid w:val="004C7511"/>
    <w:rsid w:val="004D0D9E"/>
    <w:rsid w:val="004D1ED2"/>
    <w:rsid w:val="004D2188"/>
    <w:rsid w:val="004D494C"/>
    <w:rsid w:val="004D6E0C"/>
    <w:rsid w:val="004E1FAE"/>
    <w:rsid w:val="004E539A"/>
    <w:rsid w:val="004E5A93"/>
    <w:rsid w:val="004E7B44"/>
    <w:rsid w:val="004F4969"/>
    <w:rsid w:val="004F594D"/>
    <w:rsid w:val="00500777"/>
    <w:rsid w:val="00503F3F"/>
    <w:rsid w:val="0050431E"/>
    <w:rsid w:val="00505482"/>
    <w:rsid w:val="00505DE0"/>
    <w:rsid w:val="00505DE2"/>
    <w:rsid w:val="00511FFE"/>
    <w:rsid w:val="00513192"/>
    <w:rsid w:val="00520EF1"/>
    <w:rsid w:val="0052228C"/>
    <w:rsid w:val="005338AE"/>
    <w:rsid w:val="00534FDD"/>
    <w:rsid w:val="00540BE4"/>
    <w:rsid w:val="00542CEE"/>
    <w:rsid w:val="005432B9"/>
    <w:rsid w:val="00546D90"/>
    <w:rsid w:val="005518FF"/>
    <w:rsid w:val="005546C3"/>
    <w:rsid w:val="00554E99"/>
    <w:rsid w:val="00557061"/>
    <w:rsid w:val="00562415"/>
    <w:rsid w:val="005630CC"/>
    <w:rsid w:val="00567518"/>
    <w:rsid w:val="005870C5"/>
    <w:rsid w:val="005A0DC8"/>
    <w:rsid w:val="005A2CDF"/>
    <w:rsid w:val="005A527F"/>
    <w:rsid w:val="005A66D8"/>
    <w:rsid w:val="005B05A0"/>
    <w:rsid w:val="005B0882"/>
    <w:rsid w:val="005B1B63"/>
    <w:rsid w:val="005C1394"/>
    <w:rsid w:val="005C4033"/>
    <w:rsid w:val="005C40D1"/>
    <w:rsid w:val="005C55AC"/>
    <w:rsid w:val="005C7DB9"/>
    <w:rsid w:val="005D6630"/>
    <w:rsid w:val="005E69A2"/>
    <w:rsid w:val="0060343A"/>
    <w:rsid w:val="00605AC6"/>
    <w:rsid w:val="00605DD5"/>
    <w:rsid w:val="00605FE0"/>
    <w:rsid w:val="006116D9"/>
    <w:rsid w:val="0061677E"/>
    <w:rsid w:val="00620411"/>
    <w:rsid w:val="00621210"/>
    <w:rsid w:val="00621C22"/>
    <w:rsid w:val="00623A55"/>
    <w:rsid w:val="006304FE"/>
    <w:rsid w:val="0063235A"/>
    <w:rsid w:val="006328A3"/>
    <w:rsid w:val="0063370E"/>
    <w:rsid w:val="00634F35"/>
    <w:rsid w:val="0063677C"/>
    <w:rsid w:val="00636FDC"/>
    <w:rsid w:val="00640D05"/>
    <w:rsid w:val="00642E25"/>
    <w:rsid w:val="00646888"/>
    <w:rsid w:val="00646DD0"/>
    <w:rsid w:val="00652996"/>
    <w:rsid w:val="00656F97"/>
    <w:rsid w:val="00662A1B"/>
    <w:rsid w:val="00664312"/>
    <w:rsid w:val="00666A63"/>
    <w:rsid w:val="0067480A"/>
    <w:rsid w:val="00683B65"/>
    <w:rsid w:val="00692FCC"/>
    <w:rsid w:val="006950E8"/>
    <w:rsid w:val="00697DC6"/>
    <w:rsid w:val="006A1A74"/>
    <w:rsid w:val="006A4A9F"/>
    <w:rsid w:val="006A771D"/>
    <w:rsid w:val="006B01D4"/>
    <w:rsid w:val="006B599C"/>
    <w:rsid w:val="006B5AAD"/>
    <w:rsid w:val="006C35F4"/>
    <w:rsid w:val="006C59B0"/>
    <w:rsid w:val="006D5289"/>
    <w:rsid w:val="006D664F"/>
    <w:rsid w:val="006E187F"/>
    <w:rsid w:val="006E4951"/>
    <w:rsid w:val="006E7456"/>
    <w:rsid w:val="006F28AB"/>
    <w:rsid w:val="006F3DE0"/>
    <w:rsid w:val="006F4E96"/>
    <w:rsid w:val="00704F02"/>
    <w:rsid w:val="007050A1"/>
    <w:rsid w:val="00705646"/>
    <w:rsid w:val="0071598F"/>
    <w:rsid w:val="00717FF3"/>
    <w:rsid w:val="0072365E"/>
    <w:rsid w:val="00724454"/>
    <w:rsid w:val="00730132"/>
    <w:rsid w:val="00736408"/>
    <w:rsid w:val="007473D9"/>
    <w:rsid w:val="00753C9D"/>
    <w:rsid w:val="007547D4"/>
    <w:rsid w:val="00754D07"/>
    <w:rsid w:val="007550F3"/>
    <w:rsid w:val="00760F82"/>
    <w:rsid w:val="00763314"/>
    <w:rsid w:val="00764747"/>
    <w:rsid w:val="00767BEF"/>
    <w:rsid w:val="00771E5A"/>
    <w:rsid w:val="00773814"/>
    <w:rsid w:val="007741E8"/>
    <w:rsid w:val="00776161"/>
    <w:rsid w:val="00776C34"/>
    <w:rsid w:val="007770EB"/>
    <w:rsid w:val="007779A2"/>
    <w:rsid w:val="0078292B"/>
    <w:rsid w:val="00784911"/>
    <w:rsid w:val="007854E3"/>
    <w:rsid w:val="00791747"/>
    <w:rsid w:val="00791F09"/>
    <w:rsid w:val="007956DF"/>
    <w:rsid w:val="007A07A7"/>
    <w:rsid w:val="007A1A26"/>
    <w:rsid w:val="007A6CA7"/>
    <w:rsid w:val="007B0E03"/>
    <w:rsid w:val="007B1CCD"/>
    <w:rsid w:val="007B4942"/>
    <w:rsid w:val="007C23FC"/>
    <w:rsid w:val="007C5BE9"/>
    <w:rsid w:val="007E171E"/>
    <w:rsid w:val="007F03EB"/>
    <w:rsid w:val="007F2B3B"/>
    <w:rsid w:val="00802C85"/>
    <w:rsid w:val="0080459C"/>
    <w:rsid w:val="00805BF9"/>
    <w:rsid w:val="008073F2"/>
    <w:rsid w:val="00813FB5"/>
    <w:rsid w:val="0082389D"/>
    <w:rsid w:val="00824119"/>
    <w:rsid w:val="00824A01"/>
    <w:rsid w:val="00827FD7"/>
    <w:rsid w:val="00830695"/>
    <w:rsid w:val="00841E86"/>
    <w:rsid w:val="00842B37"/>
    <w:rsid w:val="00844C8B"/>
    <w:rsid w:val="0084714F"/>
    <w:rsid w:val="008529CD"/>
    <w:rsid w:val="00857DF0"/>
    <w:rsid w:val="00860797"/>
    <w:rsid w:val="00863DB6"/>
    <w:rsid w:val="008666C2"/>
    <w:rsid w:val="00874568"/>
    <w:rsid w:val="00874F64"/>
    <w:rsid w:val="00881730"/>
    <w:rsid w:val="0089193D"/>
    <w:rsid w:val="008A3DFC"/>
    <w:rsid w:val="008C06D1"/>
    <w:rsid w:val="008C1172"/>
    <w:rsid w:val="008C39A8"/>
    <w:rsid w:val="008C53EC"/>
    <w:rsid w:val="008D1D9C"/>
    <w:rsid w:val="008D54B3"/>
    <w:rsid w:val="008E02FE"/>
    <w:rsid w:val="008E0611"/>
    <w:rsid w:val="008E15DC"/>
    <w:rsid w:val="008E4A06"/>
    <w:rsid w:val="008E65C2"/>
    <w:rsid w:val="008F177B"/>
    <w:rsid w:val="008F399E"/>
    <w:rsid w:val="008F5C8B"/>
    <w:rsid w:val="00902300"/>
    <w:rsid w:val="00911592"/>
    <w:rsid w:val="00913348"/>
    <w:rsid w:val="00916556"/>
    <w:rsid w:val="00916EB9"/>
    <w:rsid w:val="009215E8"/>
    <w:rsid w:val="0092217A"/>
    <w:rsid w:val="00925F49"/>
    <w:rsid w:val="009307CE"/>
    <w:rsid w:val="00931D2D"/>
    <w:rsid w:val="0093680B"/>
    <w:rsid w:val="009370DA"/>
    <w:rsid w:val="0093775D"/>
    <w:rsid w:val="00941F43"/>
    <w:rsid w:val="009434EF"/>
    <w:rsid w:val="00951E0B"/>
    <w:rsid w:val="0095472E"/>
    <w:rsid w:val="00955F0C"/>
    <w:rsid w:val="009562C5"/>
    <w:rsid w:val="0096116A"/>
    <w:rsid w:val="0097400D"/>
    <w:rsid w:val="009749D3"/>
    <w:rsid w:val="00974A27"/>
    <w:rsid w:val="00984544"/>
    <w:rsid w:val="00984FCF"/>
    <w:rsid w:val="00987558"/>
    <w:rsid w:val="00992D9C"/>
    <w:rsid w:val="00996773"/>
    <w:rsid w:val="009A28FB"/>
    <w:rsid w:val="009A7E53"/>
    <w:rsid w:val="009D6255"/>
    <w:rsid w:val="009E2487"/>
    <w:rsid w:val="009E38C9"/>
    <w:rsid w:val="009F02D9"/>
    <w:rsid w:val="009F2AD1"/>
    <w:rsid w:val="009F3555"/>
    <w:rsid w:val="009F4FB0"/>
    <w:rsid w:val="009F5145"/>
    <w:rsid w:val="009F6E84"/>
    <w:rsid w:val="00A03F8C"/>
    <w:rsid w:val="00A06142"/>
    <w:rsid w:val="00A0788A"/>
    <w:rsid w:val="00A108BC"/>
    <w:rsid w:val="00A133E9"/>
    <w:rsid w:val="00A13D42"/>
    <w:rsid w:val="00A15C9B"/>
    <w:rsid w:val="00A16B77"/>
    <w:rsid w:val="00A26486"/>
    <w:rsid w:val="00A3087A"/>
    <w:rsid w:val="00A311EF"/>
    <w:rsid w:val="00A3254D"/>
    <w:rsid w:val="00A32EF2"/>
    <w:rsid w:val="00A37D57"/>
    <w:rsid w:val="00A4004A"/>
    <w:rsid w:val="00A41A51"/>
    <w:rsid w:val="00A424D4"/>
    <w:rsid w:val="00A529BA"/>
    <w:rsid w:val="00A53D93"/>
    <w:rsid w:val="00A661E2"/>
    <w:rsid w:val="00A71431"/>
    <w:rsid w:val="00A7204F"/>
    <w:rsid w:val="00A73AE7"/>
    <w:rsid w:val="00A770AD"/>
    <w:rsid w:val="00A805C1"/>
    <w:rsid w:val="00A830C1"/>
    <w:rsid w:val="00A8385C"/>
    <w:rsid w:val="00A856B7"/>
    <w:rsid w:val="00A86D66"/>
    <w:rsid w:val="00A951CF"/>
    <w:rsid w:val="00AB07FD"/>
    <w:rsid w:val="00AB3CF0"/>
    <w:rsid w:val="00AB3EE9"/>
    <w:rsid w:val="00AB769E"/>
    <w:rsid w:val="00AC4EF8"/>
    <w:rsid w:val="00AD2A0A"/>
    <w:rsid w:val="00AD4800"/>
    <w:rsid w:val="00AD7BFC"/>
    <w:rsid w:val="00AE093C"/>
    <w:rsid w:val="00AE1738"/>
    <w:rsid w:val="00AE6B04"/>
    <w:rsid w:val="00AF0654"/>
    <w:rsid w:val="00AF13B3"/>
    <w:rsid w:val="00AF1862"/>
    <w:rsid w:val="00AF1BA7"/>
    <w:rsid w:val="00AF259D"/>
    <w:rsid w:val="00AF34AB"/>
    <w:rsid w:val="00AF7F31"/>
    <w:rsid w:val="00B00559"/>
    <w:rsid w:val="00B00A59"/>
    <w:rsid w:val="00B030A8"/>
    <w:rsid w:val="00B11B73"/>
    <w:rsid w:val="00B1345A"/>
    <w:rsid w:val="00B1517F"/>
    <w:rsid w:val="00B15FA6"/>
    <w:rsid w:val="00B20DF5"/>
    <w:rsid w:val="00B249BB"/>
    <w:rsid w:val="00B25554"/>
    <w:rsid w:val="00B26499"/>
    <w:rsid w:val="00B26AFA"/>
    <w:rsid w:val="00B272F1"/>
    <w:rsid w:val="00B40F29"/>
    <w:rsid w:val="00B432C8"/>
    <w:rsid w:val="00B44912"/>
    <w:rsid w:val="00B51E08"/>
    <w:rsid w:val="00B57464"/>
    <w:rsid w:val="00B57DDE"/>
    <w:rsid w:val="00B61036"/>
    <w:rsid w:val="00B66555"/>
    <w:rsid w:val="00B66DDC"/>
    <w:rsid w:val="00B711CD"/>
    <w:rsid w:val="00B72DD3"/>
    <w:rsid w:val="00B7335C"/>
    <w:rsid w:val="00B737E6"/>
    <w:rsid w:val="00B73B34"/>
    <w:rsid w:val="00B907C8"/>
    <w:rsid w:val="00B95414"/>
    <w:rsid w:val="00B96281"/>
    <w:rsid w:val="00B97BC5"/>
    <w:rsid w:val="00BA15CB"/>
    <w:rsid w:val="00BA170A"/>
    <w:rsid w:val="00BA71FB"/>
    <w:rsid w:val="00BA728B"/>
    <w:rsid w:val="00BB2BEE"/>
    <w:rsid w:val="00BB60CF"/>
    <w:rsid w:val="00BC2240"/>
    <w:rsid w:val="00BD2DD8"/>
    <w:rsid w:val="00BE17DE"/>
    <w:rsid w:val="00BE28E2"/>
    <w:rsid w:val="00BE51BC"/>
    <w:rsid w:val="00BF1DBA"/>
    <w:rsid w:val="00BF1E3B"/>
    <w:rsid w:val="00C024B9"/>
    <w:rsid w:val="00C03D93"/>
    <w:rsid w:val="00C13291"/>
    <w:rsid w:val="00C175B5"/>
    <w:rsid w:val="00C205A8"/>
    <w:rsid w:val="00C340B5"/>
    <w:rsid w:val="00C36154"/>
    <w:rsid w:val="00C36BC1"/>
    <w:rsid w:val="00C4778C"/>
    <w:rsid w:val="00C47E5C"/>
    <w:rsid w:val="00C52720"/>
    <w:rsid w:val="00C540EA"/>
    <w:rsid w:val="00C62010"/>
    <w:rsid w:val="00C628C4"/>
    <w:rsid w:val="00C6303A"/>
    <w:rsid w:val="00C63254"/>
    <w:rsid w:val="00C76B0A"/>
    <w:rsid w:val="00C83467"/>
    <w:rsid w:val="00C84047"/>
    <w:rsid w:val="00C85AAA"/>
    <w:rsid w:val="00C874C0"/>
    <w:rsid w:val="00C915FE"/>
    <w:rsid w:val="00C929E0"/>
    <w:rsid w:val="00C94998"/>
    <w:rsid w:val="00C94A01"/>
    <w:rsid w:val="00CA0825"/>
    <w:rsid w:val="00CA2FF5"/>
    <w:rsid w:val="00CA43D8"/>
    <w:rsid w:val="00CB49DA"/>
    <w:rsid w:val="00CB5F04"/>
    <w:rsid w:val="00CC1F19"/>
    <w:rsid w:val="00CC3108"/>
    <w:rsid w:val="00CC4FDA"/>
    <w:rsid w:val="00CC6A8B"/>
    <w:rsid w:val="00CD3EA5"/>
    <w:rsid w:val="00CD3FFC"/>
    <w:rsid w:val="00CE161F"/>
    <w:rsid w:val="00CE24C4"/>
    <w:rsid w:val="00CE3C57"/>
    <w:rsid w:val="00CE4CEB"/>
    <w:rsid w:val="00CF432D"/>
    <w:rsid w:val="00D0019A"/>
    <w:rsid w:val="00D01335"/>
    <w:rsid w:val="00D02CF3"/>
    <w:rsid w:val="00D03355"/>
    <w:rsid w:val="00D03EC6"/>
    <w:rsid w:val="00D0422C"/>
    <w:rsid w:val="00D0675E"/>
    <w:rsid w:val="00D10437"/>
    <w:rsid w:val="00D2058B"/>
    <w:rsid w:val="00D20D65"/>
    <w:rsid w:val="00D235E3"/>
    <w:rsid w:val="00D27054"/>
    <w:rsid w:val="00D272CD"/>
    <w:rsid w:val="00D2784A"/>
    <w:rsid w:val="00D30BCA"/>
    <w:rsid w:val="00D31764"/>
    <w:rsid w:val="00D3312B"/>
    <w:rsid w:val="00D37865"/>
    <w:rsid w:val="00D4082E"/>
    <w:rsid w:val="00D54649"/>
    <w:rsid w:val="00D55E8F"/>
    <w:rsid w:val="00D56DD3"/>
    <w:rsid w:val="00D57367"/>
    <w:rsid w:val="00D57CC0"/>
    <w:rsid w:val="00D65832"/>
    <w:rsid w:val="00D669B7"/>
    <w:rsid w:val="00D67E7B"/>
    <w:rsid w:val="00D83011"/>
    <w:rsid w:val="00D84AE3"/>
    <w:rsid w:val="00D9012C"/>
    <w:rsid w:val="00D90A1D"/>
    <w:rsid w:val="00D92A34"/>
    <w:rsid w:val="00DA1D8E"/>
    <w:rsid w:val="00DA26B0"/>
    <w:rsid w:val="00DB33D2"/>
    <w:rsid w:val="00DB5716"/>
    <w:rsid w:val="00DC16DB"/>
    <w:rsid w:val="00DC1D26"/>
    <w:rsid w:val="00DC2E98"/>
    <w:rsid w:val="00DC6D6C"/>
    <w:rsid w:val="00DD2021"/>
    <w:rsid w:val="00DD547A"/>
    <w:rsid w:val="00DD5674"/>
    <w:rsid w:val="00DE1589"/>
    <w:rsid w:val="00DE511A"/>
    <w:rsid w:val="00DE7E29"/>
    <w:rsid w:val="00DF0372"/>
    <w:rsid w:val="00DF4A60"/>
    <w:rsid w:val="00E02F97"/>
    <w:rsid w:val="00E11205"/>
    <w:rsid w:val="00E13334"/>
    <w:rsid w:val="00E16EF2"/>
    <w:rsid w:val="00E23E1B"/>
    <w:rsid w:val="00E30B08"/>
    <w:rsid w:val="00E31C66"/>
    <w:rsid w:val="00E321BA"/>
    <w:rsid w:val="00E329E8"/>
    <w:rsid w:val="00E40B83"/>
    <w:rsid w:val="00E42045"/>
    <w:rsid w:val="00E42D8B"/>
    <w:rsid w:val="00E42F45"/>
    <w:rsid w:val="00E45914"/>
    <w:rsid w:val="00E51BDC"/>
    <w:rsid w:val="00E522AE"/>
    <w:rsid w:val="00E5288D"/>
    <w:rsid w:val="00E529A8"/>
    <w:rsid w:val="00E53EF6"/>
    <w:rsid w:val="00E547B6"/>
    <w:rsid w:val="00E57C9D"/>
    <w:rsid w:val="00E60A6A"/>
    <w:rsid w:val="00E66CCD"/>
    <w:rsid w:val="00E71191"/>
    <w:rsid w:val="00E81F3D"/>
    <w:rsid w:val="00E8301B"/>
    <w:rsid w:val="00E83FC3"/>
    <w:rsid w:val="00E84D58"/>
    <w:rsid w:val="00E851A1"/>
    <w:rsid w:val="00E9226F"/>
    <w:rsid w:val="00EA0906"/>
    <w:rsid w:val="00EA2412"/>
    <w:rsid w:val="00EA3584"/>
    <w:rsid w:val="00EB5B38"/>
    <w:rsid w:val="00EB603B"/>
    <w:rsid w:val="00EC2D32"/>
    <w:rsid w:val="00EC4D3E"/>
    <w:rsid w:val="00EC5A9C"/>
    <w:rsid w:val="00ED3786"/>
    <w:rsid w:val="00ED3F0D"/>
    <w:rsid w:val="00EE23CC"/>
    <w:rsid w:val="00EF39B3"/>
    <w:rsid w:val="00EF6088"/>
    <w:rsid w:val="00EF7C66"/>
    <w:rsid w:val="00F0248E"/>
    <w:rsid w:val="00F04A5A"/>
    <w:rsid w:val="00F0504A"/>
    <w:rsid w:val="00F06CDE"/>
    <w:rsid w:val="00F078D7"/>
    <w:rsid w:val="00F139B1"/>
    <w:rsid w:val="00F21CA9"/>
    <w:rsid w:val="00F24096"/>
    <w:rsid w:val="00F40746"/>
    <w:rsid w:val="00F414EF"/>
    <w:rsid w:val="00F4152C"/>
    <w:rsid w:val="00F442E1"/>
    <w:rsid w:val="00F47542"/>
    <w:rsid w:val="00F57B5A"/>
    <w:rsid w:val="00F613F0"/>
    <w:rsid w:val="00F6333E"/>
    <w:rsid w:val="00F64D52"/>
    <w:rsid w:val="00F7610F"/>
    <w:rsid w:val="00F76DAF"/>
    <w:rsid w:val="00F854F6"/>
    <w:rsid w:val="00F93AB5"/>
    <w:rsid w:val="00FA0F3D"/>
    <w:rsid w:val="00FA2A93"/>
    <w:rsid w:val="00FA606A"/>
    <w:rsid w:val="00FB2A43"/>
    <w:rsid w:val="00FB351B"/>
    <w:rsid w:val="00FB3D72"/>
    <w:rsid w:val="00FB5E5C"/>
    <w:rsid w:val="00FC0187"/>
    <w:rsid w:val="00FC0378"/>
    <w:rsid w:val="00FC24C0"/>
    <w:rsid w:val="00FC25A0"/>
    <w:rsid w:val="00FC7816"/>
    <w:rsid w:val="00FD65C5"/>
    <w:rsid w:val="00FD688A"/>
    <w:rsid w:val="00FD6AD0"/>
    <w:rsid w:val="00FD70AF"/>
    <w:rsid w:val="00FE359B"/>
    <w:rsid w:val="00FE3721"/>
    <w:rsid w:val="00FE4789"/>
    <w:rsid w:val="00FF06DC"/>
    <w:rsid w:val="00FF1C0F"/>
    <w:rsid w:val="00FF3539"/>
    <w:rsid w:val="00FF60EB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6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5333D"/>
    <w:pPr>
      <w:tabs>
        <w:tab w:val="left" w:pos="5205"/>
      </w:tabs>
      <w:spacing w:before="160" w:after="112" w:line="260" w:lineRule="exact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D2188"/>
    <w:pPr>
      <w:spacing w:after="300" w:line="300" w:lineRule="exact"/>
    </w:pPr>
    <w:rPr>
      <w:b/>
      <w:sz w:val="24"/>
      <w:szCs w:val="24"/>
    </w:rPr>
  </w:style>
  <w:style w:type="paragraph" w:customStyle="1" w:styleId="newsContent">
    <w:name w:val="newsContent"/>
    <w:basedOn w:val="Normal"/>
    <w:link w:val="newsContentChar"/>
    <w:qFormat/>
    <w:rsid w:val="00D669B7"/>
    <w:pPr>
      <w:spacing w:after="260" w:line="260" w:lineRule="exact"/>
    </w:pPr>
    <w:rPr>
      <w:rFonts w:cs="Arial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D669B7"/>
    <w:rPr>
      <w:rFonts w:ascii="Arial" w:hAnsi="Arial" w:cs="Arial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</w:rPr>
  </w:style>
  <w:style w:type="character" w:styleId="Strong">
    <w:name w:val="Strong"/>
    <w:basedOn w:val="DefaultParagraphFont"/>
    <w:uiPriority w:val="99"/>
    <w:qFormat/>
    <w:rsid w:val="00860797"/>
    <w:rPr>
      <w:b/>
      <w:bCs/>
    </w:rPr>
  </w:style>
  <w:style w:type="paragraph" w:customStyle="1" w:styleId="Pa5">
    <w:name w:val="Pa5"/>
    <w:basedOn w:val="Normal"/>
    <w:next w:val="Normal"/>
    <w:uiPriority w:val="99"/>
    <w:rsid w:val="00860797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860797"/>
    <w:pPr>
      <w:autoSpaceDE w:val="0"/>
      <w:autoSpaceDN w:val="0"/>
      <w:adjustRightInd w:val="0"/>
      <w:spacing w:after="0" w:line="161" w:lineRule="atLeast"/>
    </w:pPr>
    <w:rPr>
      <w:rFonts w:ascii="Trivia Sans Regular" w:hAnsi="Trivia Sans Regular"/>
      <w:sz w:val="24"/>
      <w:szCs w:val="24"/>
    </w:rPr>
  </w:style>
  <w:style w:type="character" w:customStyle="1" w:styleId="A9">
    <w:name w:val="A9"/>
    <w:uiPriority w:val="99"/>
    <w:rsid w:val="00860797"/>
    <w:rPr>
      <w:rFonts w:cs="Trivia Sans Regular"/>
      <w:b/>
      <w:bCs/>
      <w:color w:val="FFFFFF"/>
      <w:sz w:val="16"/>
      <w:szCs w:val="16"/>
      <w:u w:val="single"/>
    </w:rPr>
  </w:style>
  <w:style w:type="paragraph" w:customStyle="1" w:styleId="CarcterCarcter">
    <w:name w:val="Carácter Carácter"/>
    <w:basedOn w:val="Normal"/>
    <w:rsid w:val="003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3">
    <w:name w:val="A13"/>
    <w:uiPriority w:val="99"/>
    <w:rsid w:val="004E539A"/>
    <w:rPr>
      <w:rFonts w:ascii="Zapf Dingbats" w:hAnsi="Zapf Dingbats" w:cs="Zapf Dingbats"/>
      <w:color w:val="000000"/>
      <w:sz w:val="8"/>
      <w:szCs w:val="8"/>
    </w:rPr>
  </w:style>
  <w:style w:type="character" w:customStyle="1" w:styleId="tgc">
    <w:name w:val="_tgc"/>
    <w:rsid w:val="00D9012C"/>
  </w:style>
  <w:style w:type="character" w:customStyle="1" w:styleId="header-line-3">
    <w:name w:val="header-line-3"/>
    <w:rsid w:val="00D9012C"/>
  </w:style>
  <w:style w:type="character" w:styleId="CommentReference">
    <w:name w:val="annotation reference"/>
    <w:basedOn w:val="DefaultParagraphFont"/>
    <w:uiPriority w:val="99"/>
    <w:semiHidden/>
    <w:unhideWhenUsed/>
    <w:rsid w:val="00E60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A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B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1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289"/>
    <w:rPr>
      <w:i/>
      <w:iCs/>
    </w:rPr>
  </w:style>
  <w:style w:type="paragraph" w:customStyle="1" w:styleId="Default">
    <w:name w:val="Default"/>
    <w:rsid w:val="00805B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Pa4">
    <w:name w:val="Pa4"/>
    <w:basedOn w:val="Default"/>
    <w:next w:val="Default"/>
    <w:uiPriority w:val="99"/>
    <w:rsid w:val="00DF03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Trivia Sans Book" w:eastAsiaTheme="minorHAnsi" w:hAnsi="Trivia Sans Book" w:cstheme="minorBidi"/>
      <w:color w:val="auto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C1074"/>
    <w:pPr>
      <w:ind w:left="720"/>
      <w:contextualSpacing/>
    </w:pPr>
  </w:style>
  <w:style w:type="character" w:customStyle="1" w:styleId="DoNotTranslateInternal1">
    <w:name w:val="DoNotTranslateInternal1"/>
    <w:basedOn w:val="DefaultParagraphFont"/>
    <w:uiPriority w:val="1"/>
    <w:qFormat/>
    <w:rsid w:val="00EC5A9C"/>
    <w:rPr>
      <w:rFonts w:ascii="Arial" w:hAnsi="Arial" w:cs="Arial"/>
      <w:b/>
      <w:color w:val="0000FF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6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B57DDE"/>
    <w:pPr>
      <w:tabs>
        <w:tab w:val="left" w:pos="5205"/>
      </w:tabs>
      <w:spacing w:before="160" w:after="112" w:line="260" w:lineRule="exac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D2188"/>
    <w:pPr>
      <w:spacing w:after="300" w:line="300" w:lineRule="exact"/>
    </w:pPr>
    <w:rPr>
      <w:b/>
      <w:sz w:val="24"/>
      <w:szCs w:val="24"/>
    </w:rPr>
  </w:style>
  <w:style w:type="paragraph" w:customStyle="1" w:styleId="newsContent">
    <w:name w:val="newsContent"/>
    <w:basedOn w:val="Normal"/>
    <w:link w:val="newsContentChar"/>
    <w:qFormat/>
    <w:rsid w:val="00D669B7"/>
    <w:pPr>
      <w:spacing w:after="260" w:line="260" w:lineRule="exact"/>
    </w:pPr>
    <w:rPr>
      <w:rFonts w:cs="Arial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D669B7"/>
    <w:rPr>
      <w:rFonts w:ascii="Arial" w:hAnsi="Arial" w:cs="Arial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Arial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Arial"/>
      <w:color w:val="000000" w:themeColor="text1"/>
      <w:sz w:val="17"/>
      <w:szCs w:val="20"/>
      <w:vertAlign w:val="superscript"/>
    </w:rPr>
  </w:style>
  <w:style w:type="character" w:styleId="Strong">
    <w:name w:val="Strong"/>
    <w:basedOn w:val="DefaultParagraphFont"/>
    <w:uiPriority w:val="99"/>
    <w:qFormat/>
    <w:rsid w:val="00860797"/>
    <w:rPr>
      <w:b/>
      <w:bCs/>
    </w:rPr>
  </w:style>
  <w:style w:type="paragraph" w:customStyle="1" w:styleId="Pa5">
    <w:name w:val="Pa5"/>
    <w:basedOn w:val="Normal"/>
    <w:next w:val="Normal"/>
    <w:uiPriority w:val="99"/>
    <w:rsid w:val="00860797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860797"/>
    <w:pPr>
      <w:autoSpaceDE w:val="0"/>
      <w:autoSpaceDN w:val="0"/>
      <w:adjustRightInd w:val="0"/>
      <w:spacing w:after="0" w:line="161" w:lineRule="atLeast"/>
    </w:pPr>
    <w:rPr>
      <w:rFonts w:ascii="Trivia Sans Regular" w:hAnsi="Trivia Sans Regular"/>
      <w:sz w:val="24"/>
      <w:szCs w:val="24"/>
    </w:rPr>
  </w:style>
  <w:style w:type="character" w:customStyle="1" w:styleId="A9">
    <w:name w:val="A9"/>
    <w:uiPriority w:val="99"/>
    <w:rsid w:val="00860797"/>
    <w:rPr>
      <w:rFonts w:cs="Trivia Sans Regular"/>
      <w:b/>
      <w:bCs/>
      <w:color w:val="FFFFFF"/>
      <w:sz w:val="16"/>
      <w:szCs w:val="16"/>
      <w:u w:val="single"/>
    </w:rPr>
  </w:style>
  <w:style w:type="paragraph" w:customStyle="1" w:styleId="CarcterCarcter">
    <w:name w:val="Carácter Carácter"/>
    <w:basedOn w:val="Normal"/>
    <w:rsid w:val="003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3">
    <w:name w:val="A13"/>
    <w:uiPriority w:val="99"/>
    <w:rsid w:val="004E539A"/>
    <w:rPr>
      <w:rFonts w:ascii="Zapf Dingbats" w:hAnsi="Zapf Dingbats" w:cs="Zapf Dingbats"/>
      <w:color w:val="000000"/>
      <w:sz w:val="8"/>
      <w:szCs w:val="8"/>
    </w:rPr>
  </w:style>
  <w:style w:type="character" w:customStyle="1" w:styleId="tgc">
    <w:name w:val="_tgc"/>
    <w:rsid w:val="00D9012C"/>
  </w:style>
  <w:style w:type="character" w:customStyle="1" w:styleId="header-line-3">
    <w:name w:val="header-line-3"/>
    <w:rsid w:val="00D9012C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BC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1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289"/>
    <w:rPr>
      <w:i/>
      <w:iCs/>
    </w:rPr>
  </w:style>
  <w:style w:type="paragraph" w:customStyle="1" w:styleId="Default">
    <w:name w:val="Default"/>
    <w:rsid w:val="00805B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Pa4">
    <w:name w:val="Pa4"/>
    <w:basedOn w:val="Default"/>
    <w:next w:val="Default"/>
    <w:uiPriority w:val="99"/>
    <w:rsid w:val="00DF03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Trivia Sans Book" w:eastAsiaTheme="minorHAnsi" w:hAnsi="Trivia Sans Book" w:cstheme="minorBidi"/>
      <w:color w:val="auto"/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C1074"/>
    <w:pPr>
      <w:ind w:left="720"/>
      <w:contextualSpacing/>
    </w:pPr>
  </w:style>
  <w:style w:type="character" w:customStyle="1" w:styleId="DoNotTranslateInternal1">
    <w:name w:val="DoNotTranslateInternal1"/>
    <w:basedOn w:val="DefaultParagraphFont"/>
    <w:uiPriority w:val="1"/>
    <w:qFormat/>
    <w:rsid w:val="00EC5A9C"/>
    <w:rPr>
      <w:rFonts w:ascii="Arial" w:hAnsi="Arial" w:cs="Arial"/>
      <w:b/>
      <w:color w:val="0000F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news/2015/naloxon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nodc.org/documents/crop-monitoring/Afghanistan/Afghan-opium-survey-2014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odc.org/documents/wdr2014/World_Drug_Report_2014_web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cdda.europa.eu/edr20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5/treatment-of-cannabis-related-disorders-in-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07D3-34CA-4897-8F82-5317C6B1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3613</Words>
  <Characters>20599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News release EN</vt:lpstr>
      <vt:lpstr>News release EN</vt:lpstr>
    </vt:vector>
  </TitlesOfParts>
  <Company>Translation Centre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5</cp:revision>
  <cp:lastPrinted>2015-04-28T08:44:00Z</cp:lastPrinted>
  <dcterms:created xsi:type="dcterms:W3CDTF">2015-05-14T16:31:00Z</dcterms:created>
  <dcterms:modified xsi:type="dcterms:W3CDTF">2015-05-15T08:10:00Z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