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70" w:rightFromText="170" w:vertAnchor="page" w:horzAnchor="page" w:tblpX="738" w:tblpY="738"/>
        <w:tblW w:w="561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42" w:type="dxa"/>
          <w:right w:w="0" w:type="dxa"/>
        </w:tblCellMar>
        <w:tblLook w:val="0680" w:firstRow="0" w:lastRow="0" w:firstColumn="1" w:lastColumn="0" w:noHBand="1" w:noVBand="1"/>
      </w:tblPr>
      <w:tblGrid>
        <w:gridCol w:w="4972"/>
        <w:gridCol w:w="5692"/>
      </w:tblGrid>
      <w:tr w:rsidR="00EE23CC" w:rsidRPr="00776B9A" w:rsidTr="00837F8F">
        <w:trPr>
          <w:trHeight w:val="1695"/>
        </w:trPr>
        <w:tc>
          <w:tcPr>
            <w:tcW w:w="2331" w:type="pct"/>
          </w:tcPr>
          <w:p w:rsidR="00EE23CC" w:rsidRPr="00776B9A" w:rsidRDefault="00EE23CC" w:rsidP="00837F8F">
            <w:r w:rsidRPr="00776B9A">
              <w:rPr>
                <w:noProof/>
                <w:lang w:val="en-GB" w:eastAsia="en-GB"/>
              </w:rPr>
              <w:drawing>
                <wp:inline distT="0" distB="0" distL="0" distR="0" wp14:anchorId="747D542B" wp14:editId="0712DDA0">
                  <wp:extent cx="3042000" cy="61200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logo.emf"/>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42000" cy="612000"/>
                          </a:xfrm>
                          <a:prstGeom prst="rect">
                            <a:avLst/>
                          </a:prstGeom>
                          <a:noFill/>
                          <a:ln>
                            <a:noFill/>
                          </a:ln>
                        </pic:spPr>
                      </pic:pic>
                    </a:graphicData>
                  </a:graphic>
                </wp:inline>
              </w:drawing>
            </w:r>
          </w:p>
        </w:tc>
        <w:tc>
          <w:tcPr>
            <w:tcW w:w="2669" w:type="pct"/>
          </w:tcPr>
          <w:p w:rsidR="00EE23CC" w:rsidRPr="00776B9A" w:rsidRDefault="00EE23CC" w:rsidP="00837F8F"/>
        </w:tc>
      </w:tr>
    </w:tbl>
    <w:tbl>
      <w:tblPr>
        <w:tblStyle w:val="TableGrid"/>
        <w:tblW w:w="12796" w:type="dxa"/>
        <w:tblInd w:w="-12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2796"/>
      </w:tblGrid>
      <w:tr w:rsidR="00EE23CC" w:rsidRPr="00776B9A" w:rsidTr="001F70B4">
        <w:trPr>
          <w:trHeight w:val="1304"/>
        </w:trPr>
        <w:tc>
          <w:tcPr>
            <w:tcW w:w="12796" w:type="dxa"/>
            <w:vAlign w:val="bottom"/>
          </w:tcPr>
          <w:p w:rsidR="00EE23CC" w:rsidRPr="00776B9A" w:rsidRDefault="001F70B4" w:rsidP="001F70B4">
            <w:r w:rsidRPr="00776B9A">
              <w:rPr>
                <w:noProof/>
                <w:lang w:val="en-GB" w:eastAsia="en-GB"/>
              </w:rPr>
              <w:drawing>
                <wp:inline distT="0" distB="0" distL="0" distR="0" wp14:anchorId="22666D5C" wp14:editId="4E7E2123">
                  <wp:extent cx="7562850" cy="92095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ing-EN.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62850" cy="920959"/>
                          </a:xfrm>
                          <a:prstGeom prst="rect">
                            <a:avLst/>
                          </a:prstGeom>
                        </pic:spPr>
                      </pic:pic>
                    </a:graphicData>
                  </a:graphic>
                </wp:inline>
              </w:drawing>
            </w:r>
          </w:p>
        </w:tc>
      </w:tr>
    </w:tbl>
    <w:p w:rsidR="00F05167" w:rsidRPr="00F05167" w:rsidRDefault="00F05167" w:rsidP="00F05167">
      <w:pPr>
        <w:pStyle w:val="newsTitle"/>
      </w:pPr>
      <w:r w:rsidRPr="00F05167">
        <w:t xml:space="preserve">ευρωπαϊκή έκθεση για τα ναρκωτικά </w:t>
      </w:r>
      <w:r w:rsidR="00C9589B">
        <w:t>2015</w:t>
      </w:r>
      <w:r w:rsidRPr="00F05167">
        <w:t xml:space="preserve"> — 20 χρόνια παρακολούθησης</w:t>
      </w:r>
    </w:p>
    <w:p w:rsidR="009D4461" w:rsidRPr="009D4461" w:rsidRDefault="009D4461" w:rsidP="009D4461">
      <w:pPr>
        <w:pStyle w:val="newsSubTitle"/>
      </w:pPr>
      <w:r w:rsidRPr="009D4461">
        <w:t>Το EMCDDA διερευνά νέες δυναμικές και πτυχές του προβλήματος των ναρκωτικών στην Ευρώπη</w:t>
      </w:r>
    </w:p>
    <w:p w:rsidR="009D4461" w:rsidRPr="009D4461" w:rsidRDefault="009D4461" w:rsidP="009D4461">
      <w:pPr>
        <w:pStyle w:val="newsContent"/>
        <w:rPr>
          <w:rFonts w:cs="Arial"/>
          <w:szCs w:val="20"/>
        </w:rPr>
      </w:pPr>
      <w:r w:rsidRPr="009D4461">
        <w:rPr>
          <w:rFonts w:cs="Arial"/>
          <w:szCs w:val="20"/>
        </w:rPr>
        <w:t xml:space="preserve">(4.6.2015, </w:t>
      </w:r>
      <w:r w:rsidRPr="009D4461">
        <w:rPr>
          <w:rFonts w:cs="Arial"/>
          <w:caps/>
          <w:szCs w:val="20"/>
        </w:rPr>
        <w:t xml:space="preserve">Λισαβόνα </w:t>
      </w:r>
      <w:r w:rsidRPr="009D4461">
        <w:rPr>
          <w:rFonts w:cs="Arial"/>
          <w:b/>
          <w:bCs/>
          <w:noProof/>
          <w:color w:val="FF0000"/>
          <w:szCs w:val="20"/>
        </w:rPr>
        <w:t>ΑΠΑΓΟΡΕΥΕΤΑΙ Η ΔΗΜΟΣΙΕΥΣΗ ΕΩΣ</w:t>
      </w:r>
      <w:r w:rsidRPr="009D4461">
        <w:rPr>
          <w:rFonts w:cs="Arial"/>
          <w:b/>
          <w:bCs/>
          <w:color w:val="FF0000"/>
          <w:szCs w:val="20"/>
        </w:rPr>
        <w:t xml:space="preserve"> 10:00 ώρα Δυτικής Ευρώπης/ώρα Λισαβόνας</w:t>
      </w:r>
      <w:r w:rsidRPr="009D4461">
        <w:rPr>
          <w:rFonts w:cs="Arial"/>
          <w:szCs w:val="20"/>
        </w:rPr>
        <w:t xml:space="preserve">) Η αλλαγή της δυναμικής στην αγορά ηρωίνης, τα νέα δεδομένα σχετικά με τις συνέπειες της χρήσης κάνναβης και η νέα εικόνα που παρουσιάζει η αγορά των διεγερτικών σε συνδυασμό με την εμφάνιση των νέων ουσιών στο προσκήνιο είναι μερικά από τα θέματα που καλύπτει η </w:t>
      </w:r>
      <w:r w:rsidRPr="009D4461">
        <w:rPr>
          <w:rFonts w:cs="Arial"/>
          <w:b/>
          <w:bCs/>
          <w:i/>
          <w:iCs/>
          <w:szCs w:val="20"/>
        </w:rPr>
        <w:t>Ευρωπαϊκή Έκθεση για τα Ναρκωτικά 2015: Τάσεις και Εξελίξεις</w:t>
      </w:r>
      <w:r w:rsidRPr="009D4461">
        <w:rPr>
          <w:rFonts w:cs="Arial"/>
          <w:szCs w:val="20"/>
        </w:rPr>
        <w:t xml:space="preserve">, η οποία δημοσιεύεται σήμερα από τον </w:t>
      </w:r>
      <w:r w:rsidRPr="009D4461">
        <w:rPr>
          <w:rFonts w:cs="Arial"/>
          <w:b/>
          <w:bCs/>
          <w:szCs w:val="20"/>
        </w:rPr>
        <w:t>Οργανισμό της ΕΕ</w:t>
      </w:r>
      <w:r w:rsidRPr="009D4461">
        <w:rPr>
          <w:rFonts w:cs="Arial"/>
          <w:szCs w:val="20"/>
        </w:rPr>
        <w:t xml:space="preserve"> </w:t>
      </w:r>
      <w:r w:rsidRPr="009D4461">
        <w:rPr>
          <w:rFonts w:cs="Arial"/>
          <w:b/>
          <w:bCs/>
          <w:szCs w:val="20"/>
        </w:rPr>
        <w:t>για τα Ναρκωτικά</w:t>
      </w:r>
      <w:r w:rsidRPr="009D4461">
        <w:rPr>
          <w:rFonts w:cs="Arial"/>
          <w:szCs w:val="20"/>
        </w:rPr>
        <w:t xml:space="preserve"> </w:t>
      </w:r>
      <w:r w:rsidRPr="009D4461">
        <w:rPr>
          <w:rFonts w:cs="Arial"/>
          <w:b/>
          <w:bCs/>
          <w:szCs w:val="20"/>
        </w:rPr>
        <w:t>(EMCDDA)</w:t>
      </w:r>
      <w:r w:rsidRPr="009D4461">
        <w:rPr>
          <w:rFonts w:cs="Arial"/>
          <w:szCs w:val="20"/>
        </w:rPr>
        <w:t xml:space="preserve"> στη Λισαβόνα (</w:t>
      </w:r>
      <w:r w:rsidRPr="009D4461">
        <w:rPr>
          <w:rFonts w:cs="Arial"/>
          <w:szCs w:val="20"/>
          <w:vertAlign w:val="superscript"/>
        </w:rPr>
        <w:t>1</w:t>
      </w:r>
      <w:r w:rsidRPr="009D4461">
        <w:rPr>
          <w:rFonts w:cs="Arial"/>
          <w:szCs w:val="20"/>
        </w:rPr>
        <w:t>). Στην ετήσια ανασκόπηση του οργανισμού γίνεται μια αναδρομή στην 20ετή πορεία του στον τομέα της παρακολούθησης των ναρκωτικών και εξετάζονται οι διεθνείς παράγοντες που επηρεάζουν το πρόβλημα των ναρκωτικών στην Ευρώπη σε συνδυασμό με τις τοπικές προεκτάσεις του.</w:t>
      </w:r>
    </w:p>
    <w:p w:rsidR="009D4461" w:rsidRPr="00EB4316" w:rsidRDefault="009D4461" w:rsidP="009D4461">
      <w:pPr>
        <w:spacing w:after="260" w:line="260" w:lineRule="exact"/>
        <w:rPr>
          <w:rFonts w:ascii="Arial" w:hAnsi="Arial" w:cs="Arial"/>
          <w:sz w:val="20"/>
          <w:szCs w:val="20"/>
        </w:rPr>
      </w:pPr>
      <w:r w:rsidRPr="00EB4316">
        <w:rPr>
          <w:rFonts w:ascii="Arial" w:hAnsi="Arial" w:cs="Arial"/>
          <w:sz w:val="20"/>
          <w:szCs w:val="20"/>
        </w:rPr>
        <w:t xml:space="preserve">Σύμφωνα με τον </w:t>
      </w:r>
      <w:r w:rsidRPr="00EB4316">
        <w:rPr>
          <w:rFonts w:ascii="Arial" w:hAnsi="Arial" w:cs="Arial"/>
          <w:b/>
          <w:bCs/>
          <w:sz w:val="20"/>
          <w:szCs w:val="20"/>
        </w:rPr>
        <w:t>Δημήτρη Αβραμόπουλο, Ευρωπαίο Επίτροπο Μετανάστευσης, Εσωτερικών Υποθέσεων και Ιθαγένειας</w:t>
      </w:r>
      <w:r w:rsidRPr="00EB4316">
        <w:rPr>
          <w:rFonts w:ascii="Arial" w:hAnsi="Arial" w:cs="Arial"/>
          <w:sz w:val="20"/>
          <w:szCs w:val="20"/>
        </w:rPr>
        <w:t xml:space="preserve">: «Από την έκθεση προκύπτει ότι, καθώς βρισκόμαστε αντιμέτωποι με μια παγκοσμιοποιημένη αγορά ναρκωτικών η οποία </w:t>
      </w:r>
      <w:r w:rsidR="00EB4316">
        <w:rPr>
          <w:rFonts w:ascii="Arial" w:hAnsi="Arial" w:cs="Arial"/>
          <w:sz w:val="20"/>
          <w:szCs w:val="20"/>
        </w:rPr>
        <w:t>αλλάζει</w:t>
      </w:r>
      <w:r w:rsidRPr="00EB4316">
        <w:rPr>
          <w:rFonts w:ascii="Arial" w:hAnsi="Arial" w:cs="Arial"/>
          <w:sz w:val="20"/>
          <w:szCs w:val="20"/>
        </w:rPr>
        <w:t xml:space="preserve"> με γοργούς ρυθμούς, η απάντησή μας στην απειλή των ναρκωτικών πρέπει να είναι ενιαία, άμεση και αποφασιστική.</w:t>
      </w:r>
      <w:r w:rsidRPr="00EB4316">
        <w:rPr>
          <w:rFonts w:ascii="Arial" w:hAnsi="Arial" w:cs="Arial"/>
          <w:b/>
          <w:bCs/>
          <w:sz w:val="20"/>
          <w:szCs w:val="20"/>
        </w:rPr>
        <w:t xml:space="preserve"> </w:t>
      </w:r>
      <w:r w:rsidRPr="00EB4316">
        <w:rPr>
          <w:rFonts w:ascii="Arial" w:hAnsi="Arial" w:cs="Arial"/>
          <w:sz w:val="20"/>
          <w:szCs w:val="20"/>
        </w:rPr>
        <w:t>Αυτό που με προβληματίζει ιδιαίτερα είναι ο ρόλος του διαδικτύου όσον αφορά την προμήθεια τόσο ελεγχόμενων όσο και μη ελεγχόμενων ψυχοδραστικών ουσιών».</w:t>
      </w:r>
    </w:p>
    <w:p w:rsidR="009D4461" w:rsidRPr="009D4461" w:rsidRDefault="009D4461" w:rsidP="009D4461">
      <w:pPr>
        <w:rPr>
          <w:rFonts w:ascii="Arial" w:hAnsi="Arial" w:cs="Arial"/>
          <w:sz w:val="20"/>
          <w:szCs w:val="20"/>
        </w:rPr>
      </w:pPr>
      <w:r w:rsidRPr="00EB4316">
        <w:rPr>
          <w:rFonts w:ascii="Arial" w:hAnsi="Arial" w:cs="Arial"/>
          <w:sz w:val="20"/>
          <w:szCs w:val="20"/>
        </w:rPr>
        <w:t xml:space="preserve">Συνεχίζοντας, ο </w:t>
      </w:r>
      <w:r w:rsidRPr="00EB4316">
        <w:rPr>
          <w:rFonts w:ascii="Arial" w:hAnsi="Arial" w:cs="Arial"/>
          <w:b/>
          <w:bCs/>
          <w:sz w:val="20"/>
          <w:szCs w:val="20"/>
        </w:rPr>
        <w:t>Επίτροπος</w:t>
      </w:r>
      <w:r w:rsidRPr="00EB4316">
        <w:rPr>
          <w:rFonts w:ascii="Arial" w:hAnsi="Arial" w:cs="Arial"/>
          <w:sz w:val="20"/>
          <w:szCs w:val="20"/>
        </w:rPr>
        <w:t xml:space="preserve"> επισημαίνει: «Με πρώτιστο μέλημά της την ευημερία και την ασφάλεια των πολιτών της, η Ευρώπη διαδραματίζει και θα συνεχίσει να διαδραματίζει καθοριστικό ρόλο στην αντιμετώπιση του φαινομένου των νέων ουσιών. Το 2014 αναφέρθηκαν 101 νέες μη ελεγχόμενες ψυχοδραστικές ουσίες, οι οποίες δοκίμασαν τις αντοχές των υφιστάμενων μηχανισμών ελέγχου. Προσδοκώ ότι η επικείμενη νομοθεσία της ΕΕ στον συγκεκριμένο τομέα θα ενισχύσει την αντίδρασή μας και θα μας εφοδιάσει με βελτιωμένα μέσα που θα επιτρέψουν την αντιμετώπιση αυτού του φαινομένου με μεγαλύτερη ταχύτητα και αποτελεσματικότητα».</w:t>
      </w:r>
    </w:p>
    <w:p w:rsidR="001442EF" w:rsidRPr="001442EF" w:rsidRDefault="001442EF" w:rsidP="001442EF">
      <w:pPr>
        <w:spacing w:after="260" w:line="260" w:lineRule="exact"/>
        <w:rPr>
          <w:rFonts w:ascii="Arial" w:hAnsi="Arial" w:cs="Arial"/>
          <w:b/>
          <w:bCs/>
          <w:sz w:val="20"/>
          <w:szCs w:val="20"/>
        </w:rPr>
      </w:pPr>
      <w:r w:rsidRPr="001442EF">
        <w:rPr>
          <w:rFonts w:ascii="Arial" w:hAnsi="Arial" w:cs="Arial"/>
          <w:b/>
          <w:bCs/>
          <w:sz w:val="20"/>
          <w:szCs w:val="20"/>
        </w:rPr>
        <w:t>Πτωτικές τάσεις για την ηρωίνη, αλλά ανάγκη για στενή παρακολούθηση λόγω των νέων εξελίξεων στην αγορά</w:t>
      </w:r>
    </w:p>
    <w:p w:rsidR="001442EF" w:rsidRPr="001442EF" w:rsidRDefault="001442EF" w:rsidP="001442EF">
      <w:pPr>
        <w:spacing w:before="100" w:beforeAutospacing="1" w:after="100" w:afterAutospacing="1"/>
        <w:rPr>
          <w:rFonts w:ascii="Arial" w:hAnsi="Arial" w:cs="Arial"/>
          <w:sz w:val="20"/>
          <w:szCs w:val="20"/>
        </w:rPr>
      </w:pPr>
      <w:r w:rsidRPr="001442EF">
        <w:rPr>
          <w:rFonts w:ascii="Arial" w:hAnsi="Arial" w:cs="Arial"/>
          <w:sz w:val="20"/>
          <w:szCs w:val="20"/>
        </w:rPr>
        <w:t xml:space="preserve">Η προβληματική χρήση ηρωίνης εξακολουθεί να αντιπροσωπεύει μεγάλο μέρος του υγειονομικού και κοινωνικού κόστους της χρήσης ναρκωτικών στην Ευρώπη αν και οι πρόσφατες τάσεις είναι «σχετικά θετικές», σύμφωνα με το </w:t>
      </w:r>
      <w:r w:rsidRPr="001442EF">
        <w:rPr>
          <w:rFonts w:ascii="Arial" w:hAnsi="Arial" w:cs="Arial"/>
          <w:b/>
          <w:bCs/>
          <w:sz w:val="20"/>
          <w:szCs w:val="20"/>
        </w:rPr>
        <w:t>EMCDDA</w:t>
      </w:r>
      <w:r w:rsidRPr="001442EF">
        <w:rPr>
          <w:rFonts w:ascii="Arial" w:hAnsi="Arial" w:cs="Arial"/>
          <w:sz w:val="20"/>
          <w:szCs w:val="20"/>
        </w:rPr>
        <w:t>, το οποίο επισημαίνει μια «γενικότερη στασιμότητα της ζήτησης για τη συγκεκριμένη ουσία». Ο αριθμός των ατόμων που ξεκίνησαν για πρώτη φορά εξειδικευμένη θεραπεία απεξάρτησης από την ηρωίνη σημείωσε πτώση, από 59.000 το 2007 σε 23.000 το 2013. Εκτιμάται ότι περισσότεροι από τους μισούς (700.000) εξαρτημένο</w:t>
      </w:r>
      <w:r w:rsidR="00EB4316">
        <w:rPr>
          <w:rFonts w:ascii="Arial" w:hAnsi="Arial" w:cs="Arial"/>
          <w:sz w:val="20"/>
          <w:szCs w:val="20"/>
        </w:rPr>
        <w:t>υς</w:t>
      </w:r>
      <w:r w:rsidRPr="001442EF">
        <w:rPr>
          <w:rFonts w:ascii="Arial" w:hAnsi="Arial" w:cs="Arial"/>
          <w:sz w:val="20"/>
          <w:szCs w:val="20"/>
        </w:rPr>
        <w:t xml:space="preserve"> για μεγάλο χρονικό διάστημα χρήστες οπιοειδών (1,3 εκατομμύρια) συμμετέχουν σε προγράμματα υποκατάστασης οπιοειδών (διάγραμμα 3.6).</w:t>
      </w:r>
    </w:p>
    <w:p w:rsidR="001442EF" w:rsidRPr="001442EF" w:rsidRDefault="001442EF" w:rsidP="001442EF">
      <w:pPr>
        <w:spacing w:before="100" w:beforeAutospacing="1" w:after="260" w:line="260" w:lineRule="exact"/>
        <w:rPr>
          <w:rFonts w:ascii="Arial" w:hAnsi="Arial" w:cs="Arial"/>
          <w:sz w:val="20"/>
          <w:szCs w:val="20"/>
        </w:rPr>
      </w:pPr>
      <w:r w:rsidRPr="001442EF">
        <w:rPr>
          <w:rFonts w:ascii="Arial" w:hAnsi="Arial" w:cs="Arial"/>
          <w:sz w:val="20"/>
          <w:szCs w:val="20"/>
        </w:rPr>
        <w:t>Πτώση δείχνουν και τα δεδομένα σχετικά με τις κατασ</w:t>
      </w:r>
      <w:bookmarkStart w:id="0" w:name="_GoBack"/>
      <w:bookmarkEnd w:id="0"/>
      <w:r w:rsidRPr="001442EF">
        <w:rPr>
          <w:rFonts w:ascii="Arial" w:hAnsi="Arial" w:cs="Arial"/>
          <w:sz w:val="20"/>
          <w:szCs w:val="20"/>
        </w:rPr>
        <w:t xml:space="preserve">χέσεις, τα οποία είναι ενδεικτικά των τάσεων όσον αφορά την προμήθεια ηρωίνης. Η ποσότητα ηρωίνης που κατασχέθηκε στην ΕΕ το 2013 (5,6 τόνοι), η οποία αναλογεί στο ήμισυ της ποσότητας που κατασχέθηκε το 2002 (10 τόνοι), ήταν η μικρότερη της </w:t>
      </w:r>
      <w:r w:rsidRPr="001442EF">
        <w:rPr>
          <w:rFonts w:ascii="Arial" w:hAnsi="Arial" w:cs="Arial"/>
          <w:sz w:val="20"/>
          <w:szCs w:val="20"/>
        </w:rPr>
        <w:lastRenderedPageBreak/>
        <w:t xml:space="preserve">τελευταίας δεκαετίας. Ο αριθμός των κατασχέσεων ηρωίνης επίσης έπεσε από περίπου 45.000 το 2002 σε 32.000 το 2013 (διάγραμμα 1.6). Παρά όμως τη θετική καμπή που σηματοδοτούν αυτές οι πτωτικές τάσεις, το </w:t>
      </w:r>
      <w:r w:rsidRPr="001442EF">
        <w:rPr>
          <w:rFonts w:ascii="Arial" w:hAnsi="Arial" w:cs="Arial"/>
          <w:b/>
          <w:bCs/>
          <w:sz w:val="20"/>
          <w:szCs w:val="20"/>
        </w:rPr>
        <w:t>EMCDDA</w:t>
      </w:r>
      <w:r w:rsidRPr="001442EF">
        <w:rPr>
          <w:rFonts w:ascii="Arial" w:hAnsi="Arial" w:cs="Arial"/>
          <w:sz w:val="20"/>
          <w:szCs w:val="20"/>
        </w:rPr>
        <w:t xml:space="preserve"> σημειώνει την ανάγκη στενής παρακολούθησης συνεπεία μιας σειράς νέων εξελίξεων στην αγορά.</w:t>
      </w:r>
    </w:p>
    <w:p w:rsidR="001442EF" w:rsidRPr="001442EF" w:rsidRDefault="001442EF" w:rsidP="001442EF">
      <w:pPr>
        <w:spacing w:before="100" w:beforeAutospacing="1" w:after="260" w:line="260" w:lineRule="exact"/>
        <w:rPr>
          <w:rFonts w:ascii="Arial" w:hAnsi="Arial" w:cs="Arial"/>
          <w:sz w:val="20"/>
          <w:szCs w:val="20"/>
        </w:rPr>
      </w:pPr>
      <w:r w:rsidRPr="001442EF">
        <w:rPr>
          <w:rFonts w:ascii="Arial" w:hAnsi="Arial" w:cs="Arial"/>
          <w:sz w:val="20"/>
          <w:szCs w:val="20"/>
        </w:rPr>
        <w:t xml:space="preserve">Σύμφωνα με εκτιμήσεις των </w:t>
      </w:r>
      <w:r w:rsidRPr="001442EF">
        <w:rPr>
          <w:rFonts w:ascii="Arial" w:hAnsi="Arial" w:cs="Arial"/>
          <w:b/>
          <w:bCs/>
          <w:sz w:val="20"/>
          <w:szCs w:val="20"/>
        </w:rPr>
        <w:t>Ηνωμένων Εθνών</w:t>
      </w:r>
      <w:r w:rsidRPr="001442EF">
        <w:rPr>
          <w:rFonts w:ascii="Arial" w:hAnsi="Arial" w:cs="Arial"/>
          <w:sz w:val="20"/>
          <w:szCs w:val="20"/>
        </w:rPr>
        <w:t xml:space="preserve"> (</w:t>
      </w:r>
      <w:r w:rsidRPr="001442EF">
        <w:rPr>
          <w:rFonts w:ascii="Arial" w:hAnsi="Arial" w:cs="Arial"/>
          <w:sz w:val="20"/>
          <w:szCs w:val="20"/>
          <w:vertAlign w:val="superscript"/>
        </w:rPr>
        <w:t>2</w:t>
      </w:r>
      <w:r w:rsidRPr="001442EF">
        <w:rPr>
          <w:rFonts w:ascii="Arial" w:hAnsi="Arial" w:cs="Arial"/>
          <w:sz w:val="20"/>
          <w:szCs w:val="20"/>
        </w:rPr>
        <w:t xml:space="preserve">), το 2013 και το 2014 αυξήθηκε σημαντικά η παραγωγή οπίου στο </w:t>
      </w:r>
      <w:r w:rsidRPr="001442EF">
        <w:rPr>
          <w:rFonts w:ascii="Arial" w:hAnsi="Arial" w:cs="Arial"/>
          <w:b/>
          <w:bCs/>
          <w:sz w:val="20"/>
          <w:szCs w:val="20"/>
        </w:rPr>
        <w:t>Αφγανιστάν</w:t>
      </w:r>
      <w:r w:rsidRPr="001442EF">
        <w:rPr>
          <w:rFonts w:ascii="Arial" w:hAnsi="Arial" w:cs="Arial"/>
          <w:sz w:val="20"/>
          <w:szCs w:val="20"/>
        </w:rPr>
        <w:t xml:space="preserve">, τη χώρα από την οποία προέρχεται το μεγαλύτερο μέρος της ηρωίνης που καταναλώνεται στην Ευρώπη. Δεν αποκλείεται, επομένως, η εξέλιξη αυτή να οδηγήσει σε αυξημένη διαθεσιμότητα ηρωίνης στην ευρωπαϊκή αγορά. Παράλληλα η αγορά φαίνεται να καινοτομεί, όπως υποδεικνύει ο εντοπισμός, για πρώτη φορά μετά τη δεκαετία του 1970, εργαστηρίων επεξεργασίας ηρωίνης στην Ευρώπη. Το 2013 και το 2014 εντοπίστηκαν στην </w:t>
      </w:r>
      <w:r w:rsidRPr="001442EF">
        <w:rPr>
          <w:rFonts w:ascii="Arial" w:hAnsi="Arial" w:cs="Arial"/>
          <w:b/>
          <w:bCs/>
          <w:sz w:val="20"/>
          <w:szCs w:val="20"/>
        </w:rPr>
        <w:t>Ισπανία</w:t>
      </w:r>
      <w:r w:rsidRPr="001442EF">
        <w:rPr>
          <w:rFonts w:ascii="Arial" w:hAnsi="Arial" w:cs="Arial"/>
          <w:sz w:val="20"/>
          <w:szCs w:val="20"/>
        </w:rPr>
        <w:t xml:space="preserve"> δύο εργαστήρια μετατροπής μορφίνης σε ηρωίνη.</w:t>
      </w:r>
    </w:p>
    <w:p w:rsidR="001442EF" w:rsidRPr="001442EF" w:rsidRDefault="001442EF" w:rsidP="001442EF">
      <w:pPr>
        <w:spacing w:before="100" w:beforeAutospacing="1" w:after="260" w:line="260" w:lineRule="exact"/>
        <w:rPr>
          <w:rFonts w:ascii="Arial" w:eastAsia="SimSun" w:hAnsi="Arial" w:cs="Arial"/>
          <w:sz w:val="20"/>
          <w:szCs w:val="20"/>
        </w:rPr>
      </w:pPr>
      <w:r w:rsidRPr="001442EF">
        <w:rPr>
          <w:rFonts w:ascii="Arial" w:hAnsi="Arial" w:cs="Arial"/>
          <w:sz w:val="20"/>
          <w:szCs w:val="20"/>
        </w:rPr>
        <w:t xml:space="preserve">Αλλαγές σημειώθηκαν και στις οδούς διακίνησης της ηρωίνης στην Ευρώπη. Αν και η </w:t>
      </w:r>
      <w:r w:rsidRPr="001442EF">
        <w:rPr>
          <w:rFonts w:ascii="Arial" w:hAnsi="Arial" w:cs="Arial"/>
          <w:b/>
          <w:bCs/>
          <w:sz w:val="20"/>
          <w:szCs w:val="20"/>
        </w:rPr>
        <w:t>«βαλκανική οδός»</w:t>
      </w:r>
      <w:r w:rsidRPr="001442EF">
        <w:rPr>
          <w:rFonts w:ascii="Arial" w:hAnsi="Arial" w:cs="Arial"/>
          <w:sz w:val="20"/>
          <w:szCs w:val="20"/>
        </w:rPr>
        <w:t xml:space="preserve"> εξακολουθεί να είναι η πιο διαδεδομένη, υπάρχουν ενδείξεις ότι αυξάνεται η σημασία της </w:t>
      </w:r>
      <w:r w:rsidRPr="001442EF">
        <w:rPr>
          <w:rFonts w:ascii="Arial" w:hAnsi="Arial" w:cs="Arial"/>
          <w:b/>
          <w:bCs/>
          <w:sz w:val="20"/>
          <w:szCs w:val="20"/>
        </w:rPr>
        <w:t>«νότιας οδού»</w:t>
      </w:r>
      <w:r w:rsidRPr="001442EF">
        <w:rPr>
          <w:rFonts w:ascii="Arial" w:hAnsi="Arial" w:cs="Arial"/>
          <w:sz w:val="20"/>
          <w:szCs w:val="20"/>
        </w:rPr>
        <w:t xml:space="preserve">. (Η νότια οδός ξεκινά από το Ιράν και το Πακιστάν και φτάνει στην Ευρώπη απευθείας ή μέσω των χωρών της αραβικής χερσονήσου και της ανατολικής, νότιας και δυτικής Αφρικής). Σύμφωνα με μια νέα ανάλυση που δημοσιεύθηκε σήμερα σχετικά με τη διακίνηση οπιοειδών από την </w:t>
      </w:r>
      <w:r w:rsidRPr="001442EF">
        <w:rPr>
          <w:rFonts w:ascii="Arial" w:hAnsi="Arial" w:cs="Arial"/>
          <w:b/>
          <w:bCs/>
          <w:sz w:val="20"/>
          <w:szCs w:val="20"/>
        </w:rPr>
        <w:t>Ασία</w:t>
      </w:r>
      <w:r w:rsidRPr="001442EF">
        <w:rPr>
          <w:rFonts w:ascii="Arial" w:hAnsi="Arial" w:cs="Arial"/>
          <w:sz w:val="20"/>
          <w:szCs w:val="20"/>
        </w:rPr>
        <w:t xml:space="preserve"> προς την </w:t>
      </w:r>
      <w:r w:rsidRPr="001442EF">
        <w:rPr>
          <w:rFonts w:ascii="Arial" w:hAnsi="Arial" w:cs="Arial"/>
          <w:b/>
          <w:bCs/>
          <w:sz w:val="20"/>
          <w:szCs w:val="20"/>
        </w:rPr>
        <w:t>Ευρώπη</w:t>
      </w:r>
      <w:r w:rsidRPr="001442EF">
        <w:rPr>
          <w:rFonts w:ascii="Arial" w:hAnsi="Arial" w:cs="Arial"/>
          <w:sz w:val="20"/>
          <w:szCs w:val="20"/>
        </w:rPr>
        <w:t>, έχουν επέλθει διαφοροποιήσεις τόσο στα διακινούμενα προϊόντα (π.χ. πέραν της ηρωίνης, βάση μορφίνης και όπιο) όσο και στα μέσα μεταφοράς και στις οδούς διακίνησης (βλ. «Προοπτικές για τα ναρκωτικά»</w:t>
      </w:r>
      <w:r w:rsidR="00DF2196" w:rsidRPr="00EB4316">
        <w:rPr>
          <w:rFonts w:ascii="Arial" w:hAnsi="Arial" w:cs="Arial"/>
          <w:sz w:val="20"/>
          <w:szCs w:val="20"/>
        </w:rPr>
        <w:t xml:space="preserve"> — </w:t>
      </w:r>
      <w:r w:rsidR="00DF2196" w:rsidRPr="00DF2196">
        <w:rPr>
          <w:rFonts w:ascii="Arial" w:hAnsi="Arial" w:cs="Arial"/>
          <w:i/>
          <w:sz w:val="20"/>
          <w:szCs w:val="20"/>
          <w:lang w:val="en-GB"/>
        </w:rPr>
        <w:t>Perspectives</w:t>
      </w:r>
      <w:r w:rsidR="00DF2196" w:rsidRPr="00EB4316">
        <w:rPr>
          <w:rFonts w:ascii="Arial" w:hAnsi="Arial" w:cs="Arial"/>
          <w:i/>
          <w:sz w:val="20"/>
          <w:szCs w:val="20"/>
        </w:rPr>
        <w:t xml:space="preserve"> </w:t>
      </w:r>
      <w:r w:rsidR="00DF2196" w:rsidRPr="00DF2196">
        <w:rPr>
          <w:rFonts w:ascii="Arial" w:hAnsi="Arial" w:cs="Arial"/>
          <w:i/>
          <w:sz w:val="20"/>
          <w:szCs w:val="20"/>
          <w:lang w:val="en-GB"/>
        </w:rPr>
        <w:t>on</w:t>
      </w:r>
      <w:r w:rsidR="00DF2196" w:rsidRPr="00EB4316">
        <w:rPr>
          <w:rFonts w:ascii="Arial" w:hAnsi="Arial" w:cs="Arial"/>
          <w:i/>
          <w:sz w:val="20"/>
          <w:szCs w:val="20"/>
        </w:rPr>
        <w:t xml:space="preserve"> </w:t>
      </w:r>
      <w:r w:rsidR="00DF2196" w:rsidRPr="00DF2196">
        <w:rPr>
          <w:rFonts w:ascii="Arial" w:hAnsi="Arial" w:cs="Arial"/>
          <w:i/>
          <w:sz w:val="20"/>
          <w:szCs w:val="20"/>
          <w:lang w:val="en-GB"/>
        </w:rPr>
        <w:t>Drugs</w:t>
      </w:r>
      <w:r w:rsidR="00DF2196" w:rsidRPr="00EB4316">
        <w:rPr>
          <w:rFonts w:ascii="Arial" w:hAnsi="Arial" w:cs="Arial"/>
          <w:sz w:val="20"/>
          <w:szCs w:val="20"/>
        </w:rPr>
        <w:t>/</w:t>
      </w:r>
      <w:r w:rsidR="00DF2196">
        <w:rPr>
          <w:rFonts w:ascii="Arial" w:hAnsi="Arial" w:cs="Arial"/>
          <w:sz w:val="20"/>
          <w:szCs w:val="20"/>
          <w:lang w:val="en-GB"/>
        </w:rPr>
        <w:t>POD</w:t>
      </w:r>
      <w:r w:rsidRPr="001442EF">
        <w:rPr>
          <w:rFonts w:ascii="Arial" w:hAnsi="Arial" w:cs="Arial"/>
          <w:sz w:val="20"/>
          <w:szCs w:val="20"/>
        </w:rPr>
        <w:t>).</w:t>
      </w:r>
    </w:p>
    <w:p w:rsidR="001442EF" w:rsidRPr="001442EF" w:rsidRDefault="001442EF" w:rsidP="001442EF">
      <w:pPr>
        <w:spacing w:before="100" w:beforeAutospacing="1" w:after="260" w:line="260" w:lineRule="exact"/>
        <w:rPr>
          <w:rFonts w:ascii="Arial" w:hAnsi="Arial" w:cs="Arial"/>
          <w:sz w:val="20"/>
          <w:szCs w:val="20"/>
        </w:rPr>
      </w:pPr>
      <w:r w:rsidRPr="001442EF">
        <w:rPr>
          <w:rFonts w:ascii="Arial" w:hAnsi="Arial" w:cs="Arial"/>
          <w:sz w:val="20"/>
          <w:szCs w:val="20"/>
        </w:rPr>
        <w:t xml:space="preserve">Σύμφωνα με σημερινό σχόλιο του </w:t>
      </w:r>
      <w:r w:rsidRPr="001442EF">
        <w:rPr>
          <w:rFonts w:ascii="Arial" w:hAnsi="Arial" w:cs="Arial"/>
          <w:b/>
          <w:bCs/>
          <w:sz w:val="20"/>
          <w:szCs w:val="20"/>
        </w:rPr>
        <w:t>Wolfgang Götz, Διευθυντή του EMCDDA</w:t>
      </w:r>
      <w:r w:rsidRPr="001442EF">
        <w:rPr>
          <w:rFonts w:ascii="Arial" w:hAnsi="Arial" w:cs="Arial"/>
          <w:sz w:val="20"/>
          <w:szCs w:val="20"/>
        </w:rPr>
        <w:t xml:space="preserve">: «Η διαφοροποίηση των οδών διακίνησης μπορεί να οφείλεται, μεταξύ άλλων, σε αλλαγές στις πρακτικές των διωκτικών αρχών, σε συνθήκες πολιτικής αστάθειας και σε ένοπλες συγκρούσεις, καθώς </w:t>
      </w:r>
      <w:r w:rsidR="00EB4316">
        <w:rPr>
          <w:rFonts w:ascii="Arial" w:hAnsi="Arial" w:cs="Arial"/>
          <w:sz w:val="20"/>
          <w:szCs w:val="20"/>
        </w:rPr>
        <w:t xml:space="preserve">και </w:t>
      </w:r>
      <w:r w:rsidRPr="001442EF">
        <w:rPr>
          <w:rFonts w:ascii="Arial" w:hAnsi="Arial" w:cs="Arial"/>
          <w:sz w:val="20"/>
          <w:szCs w:val="20"/>
        </w:rPr>
        <w:t>στον πολλαπλασιασμό και την επιτάχυνση των διασυνδέσεων λόγω της παγκοσμιοποίησης. Είναι γεγονός πως τελευταία αφενός αυξήθηκε σημαντικά η παραγωγή οπίου στο Αφγανιστάν και, αφετέρου, διαφοροποιήθηκαν τόσο τα διακινούμενα προϊόντα όσο και οι χρησιμοποιούμενες μέθοδοι και οδοί. Στις εξελίξεις αυτές συνετέλεσε και το ότι κρίσιμα στάδια της διαδικασίας παρασκευής ηρωίνης πραγματοποιούνται πλέον εντός Ευρώπης. Δεδομένων των ανησυχιών που προκαλεί το ενδεχόμενο ανάκαμψης της χρήσης ηρωίνης,</w:t>
      </w:r>
      <w:r w:rsidR="00DF2196" w:rsidRPr="00DF2196">
        <w:rPr>
          <w:rFonts w:ascii="Arial" w:hAnsi="Arial" w:cs="Arial"/>
          <w:sz w:val="20"/>
          <w:szCs w:val="20"/>
        </w:rPr>
        <w:t xml:space="preserve">     </w:t>
      </w:r>
      <w:r w:rsidRPr="001442EF">
        <w:rPr>
          <w:rFonts w:ascii="Arial" w:hAnsi="Arial" w:cs="Arial"/>
          <w:sz w:val="20"/>
          <w:szCs w:val="20"/>
        </w:rPr>
        <w:t xml:space="preserve"> η στενή παρακολούθηση της κατάστασης είναι κρίσιμης σημασίας».</w:t>
      </w:r>
    </w:p>
    <w:p w:rsidR="001442EF" w:rsidRPr="001442EF" w:rsidRDefault="001442EF" w:rsidP="001442EF">
      <w:pPr>
        <w:spacing w:before="100" w:beforeAutospacing="1" w:after="260" w:line="260" w:lineRule="exact"/>
        <w:rPr>
          <w:rFonts w:ascii="Arial" w:hAnsi="Arial" w:cs="Arial"/>
          <w:sz w:val="20"/>
          <w:szCs w:val="20"/>
        </w:rPr>
      </w:pPr>
      <w:r w:rsidRPr="001442EF">
        <w:rPr>
          <w:rFonts w:ascii="Arial" w:hAnsi="Arial" w:cs="Arial"/>
          <w:sz w:val="20"/>
          <w:szCs w:val="20"/>
        </w:rPr>
        <w:t>Εκτός από την ηρωίνη, το 2013 κατασχέθηκαν από τις διωκτικές αρχές των ευρωπαϊκών χωρών και άλλα οπιοειδή, όπως όπιο, παρασκευάσματα μη επεξεργασμένου οπίου (π.χ. «Kompot»), φαρμακευτικά προϊόντα (μορφίνη, μεθαδόνη, βουπρενορφίνη, φαιντανύλη και τραμαδόλη), καθώς και νέα συνθετικά οπιοειδή.</w:t>
      </w:r>
    </w:p>
    <w:p w:rsidR="0026784C" w:rsidRPr="0026784C" w:rsidRDefault="0026784C" w:rsidP="0026784C">
      <w:pPr>
        <w:spacing w:after="260" w:line="260" w:lineRule="exact"/>
        <w:rPr>
          <w:rFonts w:ascii="Arial" w:hAnsi="Arial" w:cs="Arial"/>
          <w:b/>
          <w:bCs/>
          <w:sz w:val="20"/>
          <w:szCs w:val="20"/>
        </w:rPr>
      </w:pPr>
      <w:r w:rsidRPr="0026784C">
        <w:rPr>
          <w:rFonts w:ascii="Arial" w:hAnsi="Arial" w:cs="Arial"/>
          <w:b/>
          <w:bCs/>
          <w:sz w:val="20"/>
          <w:szCs w:val="20"/>
        </w:rPr>
        <w:t>Υπηρεσίες προσαρμοσμένες στις ανάγκες των μεγαλύτερης ηλικίας χρηστών οπιοειδών</w:t>
      </w:r>
    </w:p>
    <w:p w:rsidR="0026784C" w:rsidRPr="0026784C" w:rsidRDefault="0026784C" w:rsidP="0026784C">
      <w:pPr>
        <w:spacing w:after="260" w:line="260" w:lineRule="exact"/>
        <w:rPr>
          <w:rFonts w:ascii="Arial" w:hAnsi="Arial" w:cs="Arial"/>
          <w:sz w:val="20"/>
          <w:szCs w:val="20"/>
        </w:rPr>
      </w:pPr>
      <w:r w:rsidRPr="0026784C">
        <w:rPr>
          <w:rFonts w:ascii="Arial" w:hAnsi="Arial" w:cs="Arial"/>
          <w:sz w:val="20"/>
          <w:szCs w:val="20"/>
        </w:rPr>
        <w:t>Η παροχή κατάλληλης θεραπείας και φροντίδας από τις υπηρεσίες απεξάρτησης και κοινωνικής πρόνοιας στους χρόνιους χρήστες οπιοειδών είναι ένα έργο το οποίο δυσχεραίνει διαρκώς η χρονίζουσα φύση της συγκεκριμένης εξάρτησης. Σύμφωνα με την έκθεση, η μέση ηλικία όσων ξεκινούν θεραπεία απεξάρτησης από οπιοειδή αυξάνεται, με τη διάμεση ηλικία να έχει αυξηθεί κατά πέντε έτη μεταξύ 2006 και 2013 (διάγραμμα 2.11). Σημαντικός αριθμός χρηστών οπιοειδών στην Ευρώπη με ιστορικό μακροχρόνιας χρήσης πολλαπλών ουσιών είναι πλέον σαραντάρηδες ή πενηντάρηδες. Τα προβλήματα σωματικής και ψυχικής υγείας, οι κακές συνθήκες διαβίωσης, η προσβολή από λοιμώξεις και η κατάχρηση περισσοτέρων της μίας ουσιών (όπως η κατανάλωση αλκοόλ και το κάπνισμα) καθιστούν τους χρήστες αυτούς ευάλωτους σε ένα ευρύ φάσμα χρόνιων προβλημάτων υγείας (καρδιαγγειακά, αναπνευστικά, ηπατικά).</w:t>
      </w:r>
    </w:p>
    <w:p w:rsidR="0026784C" w:rsidRPr="0026784C" w:rsidRDefault="0026784C" w:rsidP="0026784C">
      <w:pPr>
        <w:rPr>
          <w:rFonts w:ascii="Arial" w:hAnsi="Arial" w:cs="Arial"/>
          <w:sz w:val="20"/>
          <w:szCs w:val="20"/>
        </w:rPr>
      </w:pPr>
      <w:r w:rsidRPr="0026784C">
        <w:rPr>
          <w:rFonts w:ascii="Arial" w:hAnsi="Arial" w:cs="Arial"/>
          <w:sz w:val="20"/>
          <w:szCs w:val="20"/>
        </w:rPr>
        <w:t>Σύμφωνα με την έκθεση «Είναι ανάγκη να αναπτυχθούν κλινικές κατευθυντήριες γραμμές που θα λαμβάνουν υπόψη τις δημογραφικές αλλαγές στους προβληματικούς χρήστες οπιοειδών στην</w:t>
      </w:r>
      <w:r>
        <w:t xml:space="preserve"> Ευρώπη». </w:t>
      </w:r>
      <w:r w:rsidRPr="0026784C">
        <w:rPr>
          <w:rFonts w:ascii="Arial" w:hAnsi="Arial" w:cs="Arial"/>
          <w:sz w:val="20"/>
          <w:szCs w:val="20"/>
        </w:rPr>
        <w:t xml:space="preserve">Με τον τρόπο αυτό θα υποστηριχθεί η αποτελεσματική κλινική πράξη και θα αντιμετωπιστούν ζητήματα όπως οι αλληλεπιδράσεις των διαφόρων ναρκωτικών, η διάθεση δόσεων θεραπείας υποκατάστασης χωρίς αναγκαστική προσέλευση του χρήστη στο κέντρο απεξάρτησης (π.χ. μεθαδόνη, βουπρενορφίνη), </w:t>
      </w:r>
      <w:r w:rsidR="005B4844" w:rsidRPr="005B4844">
        <w:rPr>
          <w:rFonts w:ascii="Arial" w:hAnsi="Arial" w:cs="Arial"/>
          <w:sz w:val="20"/>
          <w:szCs w:val="20"/>
        </w:rPr>
        <w:t xml:space="preserve"> </w:t>
      </w:r>
      <w:r w:rsidRPr="0026784C">
        <w:rPr>
          <w:rFonts w:ascii="Arial" w:hAnsi="Arial" w:cs="Arial"/>
          <w:sz w:val="20"/>
          <w:szCs w:val="20"/>
        </w:rPr>
        <w:lastRenderedPageBreak/>
        <w:t xml:space="preserve">η διαχείριση του πόνου και η αντιμετώπιση λοιμώξεων. Ο αριθμός των χωρών που αναφέρουν ότι διαθέτουν στοχευμένα προγράμματα για χρήστες μεγαλύτερης ηλικίας είναι μικρός. Η συγκεκριμένη ομάδα χρηστών κατά κανόνα ενσωματώνεται στις υπάρχουσες υπηρεσίες απεξάρτησης (βλ. διάγραμμα 3.10). Οι </w:t>
      </w:r>
      <w:r w:rsidRPr="0026784C">
        <w:rPr>
          <w:rFonts w:ascii="Arial" w:hAnsi="Arial" w:cs="Arial"/>
          <w:b/>
          <w:bCs/>
          <w:sz w:val="20"/>
          <w:szCs w:val="20"/>
        </w:rPr>
        <w:t>Κάτω Χώρες</w:t>
      </w:r>
      <w:r w:rsidRPr="0026784C">
        <w:rPr>
          <w:rFonts w:ascii="Arial" w:hAnsi="Arial" w:cs="Arial"/>
          <w:sz w:val="20"/>
          <w:szCs w:val="20"/>
        </w:rPr>
        <w:t xml:space="preserve"> είναι ένα από τα λίγα κράτη που έχουν ιδρύσει οίκους ευγηρίας οι οποίοι ανταποκρίνονται στις ανάγκες των χρηστών μεγαλύτερης ηλικίας.</w:t>
      </w:r>
    </w:p>
    <w:p w:rsidR="0026784C" w:rsidRPr="0026784C" w:rsidRDefault="0026784C" w:rsidP="0026784C">
      <w:pPr>
        <w:spacing w:after="260" w:line="260" w:lineRule="exact"/>
        <w:rPr>
          <w:rFonts w:ascii="Arial" w:hAnsi="Arial" w:cs="Arial"/>
          <w:b/>
          <w:bCs/>
          <w:sz w:val="20"/>
          <w:szCs w:val="20"/>
        </w:rPr>
      </w:pPr>
      <w:r w:rsidRPr="0026784C">
        <w:rPr>
          <w:rFonts w:ascii="Arial" w:hAnsi="Arial" w:cs="Arial"/>
          <w:b/>
          <w:bCs/>
          <w:sz w:val="20"/>
          <w:szCs w:val="20"/>
        </w:rPr>
        <w:t>Βελτιώνεται η θεραπεία της ηπατίτιδας C, ανακόπτεται η ανοδική πορεία των κρουσμάτων HIV</w:t>
      </w:r>
    </w:p>
    <w:p w:rsidR="0026784C" w:rsidRPr="0026784C" w:rsidRDefault="0026784C" w:rsidP="0026784C">
      <w:pPr>
        <w:spacing w:after="260" w:line="260" w:lineRule="exact"/>
        <w:rPr>
          <w:rFonts w:ascii="Arial" w:hAnsi="Arial" w:cs="Arial"/>
          <w:sz w:val="20"/>
          <w:szCs w:val="20"/>
        </w:rPr>
      </w:pPr>
      <w:r w:rsidRPr="0026784C">
        <w:rPr>
          <w:rFonts w:ascii="Arial" w:hAnsi="Arial" w:cs="Arial"/>
          <w:sz w:val="20"/>
          <w:szCs w:val="20"/>
        </w:rPr>
        <w:t>Η ηπατίτιδα C, η οποία μεταδίδεται μέσω της κοινής χρήσης βελόνων, συρίγγων και άλλων συνέργων, είναι σήμερα το πιο διαδεδομένο λοιμώδες νόσημα μεταξύ των χρηστών ενέσιμων ναρκωτικών (ΧΕΝ) στην Ευρώπη, καθώς, όπως προκύπτει από τα εθνικά δείγματα, από τον ιό της ηπατίτιδας C πρ</w:t>
      </w:r>
      <w:r w:rsidR="00DF2196">
        <w:rPr>
          <w:rFonts w:ascii="Arial" w:hAnsi="Arial" w:cs="Arial"/>
          <w:sz w:val="20"/>
          <w:szCs w:val="20"/>
        </w:rPr>
        <w:t>οσβλήθηκε κατά την περίοδο 2012</w:t>
      </w:r>
      <w:r w:rsidR="00DF2196" w:rsidRPr="00DF2196">
        <w:rPr>
          <w:rFonts w:ascii="Arial" w:hAnsi="Arial" w:cs="Arial"/>
          <w:sz w:val="20"/>
          <w:szCs w:val="20"/>
        </w:rPr>
        <w:t>–</w:t>
      </w:r>
      <w:r w:rsidRPr="0026784C">
        <w:rPr>
          <w:rFonts w:ascii="Arial" w:hAnsi="Arial" w:cs="Arial"/>
          <w:sz w:val="20"/>
          <w:szCs w:val="20"/>
        </w:rPr>
        <w:t xml:space="preserve">13 ποσοστό 14 % έως 84 % των ΧΕΝ (διάγραμμα 2.14). </w:t>
      </w:r>
      <w:r w:rsidR="00DF2196" w:rsidRPr="00DF2196">
        <w:rPr>
          <w:rFonts w:ascii="Arial" w:hAnsi="Arial" w:cs="Arial"/>
          <w:sz w:val="20"/>
          <w:szCs w:val="20"/>
        </w:rPr>
        <w:t xml:space="preserve">                       </w:t>
      </w:r>
      <w:r w:rsidRPr="0026784C">
        <w:rPr>
          <w:rFonts w:ascii="Arial" w:hAnsi="Arial" w:cs="Arial"/>
          <w:sz w:val="20"/>
          <w:szCs w:val="20"/>
        </w:rPr>
        <w:t>Η λοίμωξη από ηπατίτιδα C είναι συχνά ασυμπτωματική και μπορεί να παραμείνει αδιάγνωστη ακόμη και για δεκαετίες. Πολλοί από αυτούς που προσβάλλονται αναπτύσσουν χρόνια ηπατίτιδα με τον κίνδυνο να αναπτύξουν ηπατική νόσο (π.χ. κίρρωση, καρκίνο).</w:t>
      </w:r>
    </w:p>
    <w:p w:rsidR="0026784C" w:rsidRPr="0026784C" w:rsidRDefault="0026784C" w:rsidP="0026784C">
      <w:pPr>
        <w:spacing w:after="260" w:line="260" w:lineRule="exact"/>
        <w:rPr>
          <w:rFonts w:ascii="Arial" w:hAnsi="Arial" w:cs="Arial"/>
          <w:sz w:val="20"/>
          <w:szCs w:val="20"/>
        </w:rPr>
      </w:pPr>
      <w:r w:rsidRPr="0026784C">
        <w:rPr>
          <w:rFonts w:ascii="Arial" w:hAnsi="Arial" w:cs="Arial"/>
          <w:sz w:val="20"/>
          <w:szCs w:val="20"/>
        </w:rPr>
        <w:t>Ο αριθμός των χωρών που έχουν θεσπίσει ή καταρτίζουν ειδικές στρατηγικές για την ηπατίτιδα C αυξάνεται. Οι πρωτοβουλίες αυτές στοχεύουν ιδίως στη διασφάλιση πρόσβασης στον εργαστηριακό έλεγχο της ηπατίτιδας C. Παρά τη διαθεσιμότητα νέων αντιιικών φαρμάκων τα οποία ανακόπτουν την εξέλιξη της νόσου ή επιτρέπουν πλήρη ίαση, η απουσία διάγνωσης σε συνδυασμό με το υψηλό κόστος της φαρμακευτικής αγωγής περιορίζει την προσβασιμότητα στις νέες θεραπείες.</w:t>
      </w:r>
    </w:p>
    <w:p w:rsidR="0026784C" w:rsidRPr="0026784C" w:rsidRDefault="0026784C" w:rsidP="0026784C">
      <w:pPr>
        <w:spacing w:after="260" w:line="260" w:lineRule="exact"/>
        <w:rPr>
          <w:rFonts w:ascii="Arial" w:hAnsi="Arial" w:cs="Arial"/>
          <w:sz w:val="20"/>
          <w:szCs w:val="20"/>
        </w:rPr>
      </w:pPr>
      <w:r w:rsidRPr="0026784C">
        <w:rPr>
          <w:rFonts w:ascii="Arial" w:hAnsi="Arial" w:cs="Arial"/>
          <w:sz w:val="20"/>
          <w:szCs w:val="20"/>
        </w:rPr>
        <w:t xml:space="preserve">Σύμφωνα με τα πιο πρόσφατα στοιχεία, η αύξηση του αριθμού των νεοδιαγνωσθέντων κρουσμάτων HIV λόγω ενέσιμης χρήσης στην Ευρώπη, η οποία οφειλόταν στις επιδημικές εξάρσεις σε </w:t>
      </w:r>
      <w:r w:rsidRPr="0026784C">
        <w:rPr>
          <w:rFonts w:ascii="Arial" w:hAnsi="Arial" w:cs="Arial"/>
          <w:b/>
          <w:bCs/>
          <w:sz w:val="20"/>
          <w:szCs w:val="20"/>
        </w:rPr>
        <w:t>Ελλάδα</w:t>
      </w:r>
      <w:r w:rsidRPr="0026784C">
        <w:rPr>
          <w:rFonts w:ascii="Arial" w:hAnsi="Arial" w:cs="Arial"/>
          <w:sz w:val="20"/>
          <w:szCs w:val="20"/>
        </w:rPr>
        <w:t xml:space="preserve"> και </w:t>
      </w:r>
      <w:r w:rsidRPr="0026784C">
        <w:rPr>
          <w:rFonts w:ascii="Arial" w:hAnsi="Arial" w:cs="Arial"/>
          <w:b/>
          <w:bCs/>
          <w:sz w:val="20"/>
          <w:szCs w:val="20"/>
        </w:rPr>
        <w:t>Ρουμανία</w:t>
      </w:r>
      <w:r w:rsidRPr="0026784C">
        <w:rPr>
          <w:rFonts w:ascii="Arial" w:hAnsi="Arial" w:cs="Arial"/>
          <w:sz w:val="20"/>
          <w:szCs w:val="20"/>
        </w:rPr>
        <w:t xml:space="preserve"> κατά την περίοδο 2011/12 έχει ανακοπεί, ο δε συνολικός αριθμός στην ΕΕ έχει μειωθεί στα προ των εξάρσεων επίπεδα (διάγραμμα 2.13). Με βάση προσωρινά στοιχεία, το 2013 αναφέρθηκαν 1.458 νέα κρούσματα HIV έναντι 1.974 το 2012 και, άρα, αντιστρέφεται η ανοδική τάση που παρατηρούνταν από το 2010. Παρά τις θετικές εξελίξεις στον συγκεκριμένο τομέα, το </w:t>
      </w:r>
      <w:r w:rsidRPr="0026784C">
        <w:rPr>
          <w:rFonts w:ascii="Arial" w:hAnsi="Arial" w:cs="Arial"/>
          <w:b/>
          <w:bCs/>
          <w:sz w:val="20"/>
          <w:szCs w:val="20"/>
        </w:rPr>
        <w:t>EMCDDA</w:t>
      </w:r>
      <w:r w:rsidRPr="0026784C">
        <w:rPr>
          <w:rFonts w:ascii="Arial" w:hAnsi="Arial" w:cs="Arial"/>
          <w:sz w:val="20"/>
          <w:szCs w:val="20"/>
        </w:rPr>
        <w:t xml:space="preserve"> επισημαίνει την ανάγκη συνεχούς επαγρύπνησης και παροχής κατάλληλων υπηρεσιών.</w:t>
      </w:r>
    </w:p>
    <w:p w:rsidR="0026784C" w:rsidRPr="0026784C" w:rsidRDefault="0026784C" w:rsidP="0026784C">
      <w:pPr>
        <w:rPr>
          <w:rFonts w:ascii="Arial" w:hAnsi="Arial" w:cs="Arial"/>
          <w:sz w:val="20"/>
          <w:szCs w:val="20"/>
        </w:rPr>
      </w:pPr>
      <w:r w:rsidRPr="0026784C">
        <w:rPr>
          <w:rFonts w:ascii="Arial" w:hAnsi="Arial" w:cs="Arial"/>
          <w:b/>
          <w:bCs/>
          <w:sz w:val="20"/>
          <w:szCs w:val="20"/>
        </w:rPr>
        <w:t>Αντιμετωπίζοντας την υπερβολική δόση — μια πρόκληση για την πολιτική στον τομέα της δημόσιας υγείας</w:t>
      </w:r>
    </w:p>
    <w:p w:rsidR="0026784C" w:rsidRPr="0026784C" w:rsidRDefault="0026784C" w:rsidP="0026784C">
      <w:pPr>
        <w:spacing w:after="260" w:line="260" w:lineRule="exact"/>
        <w:rPr>
          <w:rFonts w:ascii="Arial" w:hAnsi="Arial" w:cs="Arial"/>
          <w:sz w:val="20"/>
          <w:szCs w:val="20"/>
        </w:rPr>
      </w:pPr>
      <w:r w:rsidRPr="0026784C">
        <w:rPr>
          <w:rFonts w:ascii="Arial" w:hAnsi="Arial" w:cs="Arial"/>
          <w:sz w:val="20"/>
          <w:szCs w:val="20"/>
        </w:rPr>
        <w:t>Η μείωση των θανάτων από υπερβολική δόση, όπως και των λοιπών συνδεόμενων με τα ναρκωτικά θανάτων (π.χ. λόγω συνδεόμενων με τα ναρκωτικά νοσημάτων, ατυχημάτων και αυτοκτονιών) εξακολουθεί να συνιστά μείζονα πρόκληση για την πολιτική δημόσιας υγείας. Εκτιμάται ότι το 2013 σημειώθηκαν στην ΕΕ τουλάχιστον 6.100 θάνατοι από υπερβολική δόση, κυρίως ηρωίνης και άλλων οπιοειδών.</w:t>
      </w:r>
    </w:p>
    <w:p w:rsidR="0026784C" w:rsidRPr="0026784C" w:rsidRDefault="0026784C" w:rsidP="0026784C">
      <w:pPr>
        <w:spacing w:after="260" w:line="260" w:lineRule="exact"/>
        <w:rPr>
          <w:rFonts w:ascii="Arial" w:hAnsi="Arial" w:cs="Arial"/>
          <w:sz w:val="20"/>
          <w:szCs w:val="20"/>
        </w:rPr>
      </w:pPr>
      <w:r w:rsidRPr="0026784C">
        <w:rPr>
          <w:rFonts w:ascii="Arial" w:hAnsi="Arial" w:cs="Arial"/>
          <w:sz w:val="20"/>
          <w:szCs w:val="20"/>
        </w:rPr>
        <w:t>Μια νέα ανάλυση η οποία συνοδεύει τη σημερινή έκθεση εξετάζει την κατάχρηση βενζοδιαζεπινών από χρήστες οπιοειδών υψηλού κινδύνου, οι οποίοι χρησιμοποιούν αυτές τις ουσίες για αυτοθεραπεία ή για να ενισχύσουν τη δράση των οπιοειδών (βλ. «Προοπτικές για τα ναρκωτικά»</w:t>
      </w:r>
      <w:r w:rsidR="00DF2196" w:rsidRPr="00EB4316">
        <w:rPr>
          <w:rFonts w:ascii="Arial" w:hAnsi="Arial" w:cs="Arial"/>
          <w:sz w:val="20"/>
          <w:szCs w:val="20"/>
        </w:rPr>
        <w:t>/</w:t>
      </w:r>
      <w:r w:rsidR="00DF2196">
        <w:rPr>
          <w:rFonts w:ascii="Arial" w:hAnsi="Arial" w:cs="Arial"/>
          <w:sz w:val="20"/>
          <w:szCs w:val="20"/>
          <w:lang w:val="en-GB"/>
        </w:rPr>
        <w:t>POD</w:t>
      </w:r>
      <w:r w:rsidRPr="0026784C">
        <w:rPr>
          <w:rFonts w:ascii="Arial" w:hAnsi="Arial" w:cs="Arial"/>
          <w:sz w:val="20"/>
          <w:szCs w:val="20"/>
        </w:rPr>
        <w:t>). Στην ανάλυση περιγράφεται ο τρόπος με τον οποίο η χρήση οπιοειδών σε συνδυασμό με βενζοδιαζεπίνες και άλλα κατασταλτικά του κεντρικού νευρικού συστήματος (π.χ. αλκοόλ) αυξάνει τον κίνδυνο θανάτου από υπερβολική δόση. Στην αντιμετώπιση του σύνθετου αυτού προβλήματος θα μπορούσε να συμβάλλει η κατάρτιση κατευθυντήριων γραμμών συνταγογράφησης και κλινικής πρακτικής.</w:t>
      </w:r>
    </w:p>
    <w:p w:rsidR="0026784C" w:rsidRPr="0026784C" w:rsidRDefault="0026784C" w:rsidP="0026784C">
      <w:pPr>
        <w:spacing w:after="260" w:line="260" w:lineRule="exact"/>
        <w:rPr>
          <w:rFonts w:ascii="Arial" w:hAnsi="Arial" w:cs="Arial"/>
          <w:sz w:val="20"/>
          <w:szCs w:val="20"/>
        </w:rPr>
      </w:pPr>
      <w:r w:rsidRPr="0026784C">
        <w:rPr>
          <w:rFonts w:ascii="Arial" w:hAnsi="Arial" w:cs="Arial"/>
          <w:sz w:val="20"/>
          <w:szCs w:val="20"/>
        </w:rPr>
        <w:t>Οι πρωτοβουλίες για την πρόληψη των θανάτων από υπερβολική δόση περιλαμβάνουν στοχευμένες στρατηγικές, ενημέρωση σχετικά με τους κινδύνους και εκπαίδευση στην αντιμετώπιση της υπερβολικής δόσης, καθώς και διάθεση ναλοξόνης στους χρήστες για χρήση εκτός του κέντρου απεξάρτησης (</w:t>
      </w:r>
      <w:r w:rsidRPr="0026784C">
        <w:rPr>
          <w:rFonts w:ascii="Arial" w:hAnsi="Arial" w:cs="Arial"/>
          <w:sz w:val="20"/>
          <w:szCs w:val="20"/>
          <w:vertAlign w:val="superscript"/>
        </w:rPr>
        <w:t>3</w:t>
      </w:r>
      <w:r w:rsidRPr="0026784C">
        <w:rPr>
          <w:rFonts w:ascii="Arial" w:hAnsi="Arial" w:cs="Arial"/>
          <w:sz w:val="20"/>
          <w:szCs w:val="20"/>
        </w:rPr>
        <w:t>). Κάποιες χώρες προσφέρουν εδώ και χρόνια χώρους επιτηρούμενης χρήσης ναρκωτικών</w:t>
      </w:r>
      <w:r w:rsidRPr="00F01CD2">
        <w:rPr>
          <w:rFonts w:ascii="Arial" w:hAnsi="Arial" w:cs="Arial"/>
          <w:sz w:val="20"/>
          <w:szCs w:val="20"/>
        </w:rPr>
        <w:t xml:space="preserve">. Σήμερα λειτουργούν περίπου 70 χώροι επιτηρούμενης χρήσης σε 6 από τις χώρες που υποβάλλουν στοιχεία στο </w:t>
      </w:r>
      <w:r w:rsidRPr="00F01CD2">
        <w:rPr>
          <w:rFonts w:ascii="Arial" w:hAnsi="Arial" w:cs="Arial"/>
          <w:b/>
          <w:bCs/>
          <w:sz w:val="20"/>
          <w:szCs w:val="20"/>
        </w:rPr>
        <w:t>EMCDDA</w:t>
      </w:r>
      <w:r w:rsidRPr="00F01CD2">
        <w:rPr>
          <w:rFonts w:ascii="Arial" w:hAnsi="Arial" w:cs="Arial"/>
          <w:sz w:val="20"/>
          <w:szCs w:val="20"/>
        </w:rPr>
        <w:t xml:space="preserve"> (</w:t>
      </w:r>
      <w:r w:rsidRPr="00F01CD2">
        <w:rPr>
          <w:rFonts w:ascii="Arial" w:hAnsi="Arial" w:cs="Arial"/>
          <w:b/>
          <w:bCs/>
          <w:sz w:val="20"/>
          <w:szCs w:val="20"/>
        </w:rPr>
        <w:t>Γερμανία,</w:t>
      </w:r>
      <w:r w:rsidRPr="00F01CD2">
        <w:rPr>
          <w:rFonts w:ascii="Arial" w:hAnsi="Arial" w:cs="Arial"/>
          <w:sz w:val="20"/>
          <w:szCs w:val="20"/>
        </w:rPr>
        <w:t xml:space="preserve"> </w:t>
      </w:r>
      <w:r w:rsidRPr="00F01CD2">
        <w:rPr>
          <w:rFonts w:ascii="Arial" w:hAnsi="Arial" w:cs="Arial"/>
          <w:b/>
          <w:bCs/>
          <w:sz w:val="20"/>
          <w:szCs w:val="20"/>
        </w:rPr>
        <w:t>Δανία, Ισπανία, Κάτω Χώρες, Λουξεμβούργο, Νορβηγία</w:t>
      </w:r>
      <w:r w:rsidRPr="00F01CD2">
        <w:rPr>
          <w:rFonts w:ascii="Arial" w:hAnsi="Arial" w:cs="Arial"/>
          <w:sz w:val="20"/>
          <w:szCs w:val="20"/>
        </w:rPr>
        <w:t xml:space="preserve">), ενώ στη </w:t>
      </w:r>
      <w:r w:rsidRPr="00F01CD2">
        <w:rPr>
          <w:rFonts w:ascii="Arial" w:hAnsi="Arial" w:cs="Arial"/>
          <w:b/>
          <w:bCs/>
          <w:sz w:val="20"/>
          <w:szCs w:val="20"/>
        </w:rPr>
        <w:t>Γαλλία</w:t>
      </w:r>
      <w:r w:rsidRPr="00F01CD2">
        <w:rPr>
          <w:rFonts w:ascii="Arial" w:hAnsi="Arial" w:cs="Arial"/>
          <w:sz w:val="20"/>
          <w:szCs w:val="20"/>
        </w:rPr>
        <w:t xml:space="preserve"> επιτράπηκε πρόσφατα η δοκιμαστική λειτουργία</w:t>
      </w:r>
      <w:r w:rsidR="00C9589B" w:rsidRPr="00F01CD2">
        <w:rPr>
          <w:rFonts w:ascii="Arial" w:hAnsi="Arial" w:cs="Arial"/>
          <w:sz w:val="20"/>
          <w:szCs w:val="20"/>
        </w:rPr>
        <w:t xml:space="preserve"> τέτοιων χώρων</w:t>
      </w:r>
      <w:r w:rsidRPr="00F01CD2">
        <w:rPr>
          <w:rFonts w:ascii="Arial" w:hAnsi="Arial" w:cs="Arial"/>
          <w:sz w:val="20"/>
          <w:szCs w:val="20"/>
        </w:rPr>
        <w:t>.</w:t>
      </w:r>
      <w:r w:rsidRPr="0026784C">
        <w:rPr>
          <w:rFonts w:ascii="Arial" w:hAnsi="Arial" w:cs="Arial"/>
          <w:sz w:val="20"/>
          <w:szCs w:val="20"/>
        </w:rPr>
        <w:t xml:space="preserve"> Η φετινή ανάλυση συνοδεύεται από μια ανασκόπηση των υπηρεσιών που παρέχονται σε αυτούς τους χώρους (βλ. «Προοπτικές για τα ναρκωτικά»</w:t>
      </w:r>
      <w:r w:rsidR="00DF2196" w:rsidRPr="00DF2196">
        <w:rPr>
          <w:rFonts w:ascii="Arial" w:hAnsi="Arial" w:cs="Arial"/>
          <w:sz w:val="20"/>
          <w:szCs w:val="20"/>
        </w:rPr>
        <w:t>/</w:t>
      </w:r>
      <w:r w:rsidR="00DF2196">
        <w:rPr>
          <w:rFonts w:ascii="Arial" w:hAnsi="Arial" w:cs="Arial"/>
          <w:sz w:val="20"/>
          <w:szCs w:val="20"/>
          <w:lang w:val="en-GB"/>
        </w:rPr>
        <w:t>POD</w:t>
      </w:r>
      <w:r w:rsidRPr="0026784C">
        <w:rPr>
          <w:rFonts w:ascii="Arial" w:hAnsi="Arial" w:cs="Arial"/>
          <w:sz w:val="20"/>
          <w:szCs w:val="20"/>
        </w:rPr>
        <w:t xml:space="preserve">) οι οποίες, σύμφωνα με την ανάλυση, παρέχουν «λύσεις τοπικής εμβέλειας» σε «τοπικά </w:t>
      </w:r>
      <w:r w:rsidRPr="0026784C">
        <w:rPr>
          <w:rFonts w:ascii="Arial" w:hAnsi="Arial" w:cs="Arial"/>
          <w:sz w:val="20"/>
          <w:szCs w:val="20"/>
        </w:rPr>
        <w:lastRenderedPageBreak/>
        <w:t>προβλήματα». Μεταξύ άλλων, οι αίθουσες επιτηρούμενης χρήσης μπορούν να συμβάλουν στη μείωση των επιβλαβών συνεπειών της χρήσης, περιλαμβανομένων των θανάτων από υπερβολική δόση, καθώς και να χρησιμεύσουν ως σημεία επαφής με χρήστες ναρκωτικών οι οποίοι δύσκολα θα απευθύνονταν σε θεραπευτικές υπηρεσίες.</w:t>
      </w:r>
    </w:p>
    <w:p w:rsidR="0026784C" w:rsidRPr="0026784C" w:rsidRDefault="0026784C" w:rsidP="0026784C">
      <w:pPr>
        <w:rPr>
          <w:rFonts w:ascii="Arial" w:hAnsi="Arial" w:cs="Arial"/>
          <w:b/>
          <w:bCs/>
          <w:sz w:val="20"/>
          <w:szCs w:val="20"/>
        </w:rPr>
      </w:pPr>
      <w:r w:rsidRPr="0026784C">
        <w:rPr>
          <w:rFonts w:ascii="Arial" w:hAnsi="Arial" w:cs="Arial"/>
          <w:b/>
          <w:bCs/>
          <w:sz w:val="20"/>
          <w:szCs w:val="20"/>
        </w:rPr>
        <w:t>Αυξάνεται η σημασία της κάνναβης στο πλαίσιο των συστημάτων θεραπείας ουσιοεξάρτησης στην Ευρώπη</w:t>
      </w:r>
    </w:p>
    <w:p w:rsidR="0026784C" w:rsidRPr="0026784C" w:rsidRDefault="0026784C" w:rsidP="0026784C">
      <w:pPr>
        <w:pStyle w:val="newsContent"/>
        <w:rPr>
          <w:rFonts w:cs="Arial"/>
          <w:noProof/>
          <w:szCs w:val="20"/>
        </w:rPr>
      </w:pPr>
      <w:r w:rsidRPr="0026784C">
        <w:rPr>
          <w:rFonts w:cs="Arial"/>
          <w:szCs w:val="20"/>
        </w:rPr>
        <w:t>Η κάνναβη παραμένει το πιο διαδεδομένο παράνομο ναρκωτικό στην Ευρώπη. Εκτιμάται ότι 19,3 εκατομμύρια ενήλικες (15–64 ετών) έκαναν χρήση κάνναβης τον τελευταίο χρόνο, εκ των οποίων 14,6 εκατομμύρια ήταν νεαροί ενήλικες (15–34 ετών). Σύμφωνα πάντα με εκτιμήσεις, περίπου 1% των ενηλίκων στην Ευρώπη κάνει καθημερινή ή σχεδόν καθημερινή χρήση κάνναβης.</w:t>
      </w:r>
    </w:p>
    <w:p w:rsidR="0026784C" w:rsidRPr="0026784C" w:rsidRDefault="0026784C" w:rsidP="0026784C">
      <w:pPr>
        <w:spacing w:after="260" w:line="260" w:lineRule="exact"/>
        <w:rPr>
          <w:rFonts w:ascii="Arial" w:hAnsi="Arial" w:cs="Arial"/>
          <w:sz w:val="20"/>
          <w:szCs w:val="20"/>
        </w:rPr>
      </w:pPr>
      <w:r w:rsidRPr="0026784C">
        <w:rPr>
          <w:rFonts w:ascii="Arial" w:hAnsi="Arial" w:cs="Arial"/>
          <w:sz w:val="20"/>
          <w:szCs w:val="20"/>
        </w:rPr>
        <w:t>Με βάση έρευνες στον πληθυσμό τριών  χωρών  (</w:t>
      </w:r>
      <w:r w:rsidRPr="0026784C">
        <w:rPr>
          <w:rFonts w:ascii="Arial" w:hAnsi="Arial" w:cs="Arial"/>
          <w:b/>
          <w:bCs/>
          <w:sz w:val="20"/>
          <w:szCs w:val="20"/>
        </w:rPr>
        <w:t>Γερμανία, Ηνωμένο Βασίλειο και Ισπανία</w:t>
      </w:r>
      <w:r w:rsidRPr="0026784C">
        <w:rPr>
          <w:rFonts w:ascii="Arial" w:hAnsi="Arial" w:cs="Arial"/>
          <w:sz w:val="20"/>
          <w:szCs w:val="20"/>
        </w:rPr>
        <w:t xml:space="preserve">), </w:t>
      </w:r>
      <w:r w:rsidR="00DF2196" w:rsidRPr="00DF2196">
        <w:rPr>
          <w:rFonts w:ascii="Arial" w:hAnsi="Arial" w:cs="Arial"/>
          <w:sz w:val="20"/>
          <w:szCs w:val="20"/>
        </w:rPr>
        <w:t xml:space="preserve">                 </w:t>
      </w:r>
      <w:r w:rsidRPr="0026784C">
        <w:rPr>
          <w:rFonts w:ascii="Arial" w:hAnsi="Arial" w:cs="Arial"/>
          <w:sz w:val="20"/>
          <w:szCs w:val="20"/>
        </w:rPr>
        <w:t>η επικράτηση της χρήσης κάνναβης την τελευταία δεκαετία παραμένει σταθερή ή μειώνεται.</w:t>
      </w:r>
      <w:r w:rsidRPr="0026784C">
        <w:rPr>
          <w:rFonts w:ascii="Arial" w:hAnsi="Arial" w:cs="Arial"/>
          <w:i/>
          <w:iCs/>
          <w:sz w:val="20"/>
          <w:szCs w:val="20"/>
        </w:rPr>
        <w:t xml:space="preserve"> </w:t>
      </w:r>
      <w:r w:rsidRPr="0026784C">
        <w:rPr>
          <w:rFonts w:ascii="Arial" w:hAnsi="Arial" w:cs="Arial"/>
          <w:sz w:val="20"/>
          <w:szCs w:val="20"/>
        </w:rPr>
        <w:t xml:space="preserve">Αντιθέτως, αυξανόμενη χρήση παρατηρείται στη </w:t>
      </w:r>
      <w:r w:rsidRPr="0026784C">
        <w:rPr>
          <w:rFonts w:ascii="Arial" w:hAnsi="Arial" w:cs="Arial"/>
          <w:b/>
          <w:bCs/>
          <w:sz w:val="20"/>
          <w:szCs w:val="20"/>
        </w:rPr>
        <w:t>Βουλγαρία,</w:t>
      </w:r>
      <w:r w:rsidRPr="0026784C">
        <w:rPr>
          <w:rFonts w:ascii="Arial" w:hAnsi="Arial" w:cs="Arial"/>
          <w:sz w:val="20"/>
          <w:szCs w:val="20"/>
        </w:rPr>
        <w:t xml:space="preserve"> στη </w:t>
      </w:r>
      <w:r w:rsidRPr="0026784C">
        <w:rPr>
          <w:rFonts w:ascii="Arial" w:hAnsi="Arial" w:cs="Arial"/>
          <w:b/>
          <w:bCs/>
          <w:sz w:val="20"/>
          <w:szCs w:val="20"/>
        </w:rPr>
        <w:t>Γαλλία</w:t>
      </w:r>
      <w:r w:rsidRPr="0026784C">
        <w:rPr>
          <w:rFonts w:ascii="Arial" w:hAnsi="Arial" w:cs="Arial"/>
          <w:sz w:val="20"/>
          <w:szCs w:val="20"/>
        </w:rPr>
        <w:t xml:space="preserve"> και σε τέσσερις σκανδιναβικές χώρες (</w:t>
      </w:r>
      <w:r w:rsidRPr="0026784C">
        <w:rPr>
          <w:rFonts w:ascii="Arial" w:hAnsi="Arial" w:cs="Arial"/>
          <w:b/>
          <w:bCs/>
          <w:sz w:val="20"/>
          <w:szCs w:val="20"/>
        </w:rPr>
        <w:t>Δανία, Νορβηγία, Σουηδία, Φινλανδία</w:t>
      </w:r>
      <w:r w:rsidRPr="0026784C">
        <w:rPr>
          <w:rFonts w:ascii="Arial" w:hAnsi="Arial" w:cs="Arial"/>
          <w:sz w:val="20"/>
          <w:szCs w:val="20"/>
        </w:rPr>
        <w:t>). Συνολικά, πάντως, με βάση τα ευρήματα των πιο πρόσφατων ερευνών, σημειώνονται αποκλίνουσες τάσεις όσον αφορά τη χρήση κάνναβης από νεαρούς ενήλικες τον τελευταίο χρόνο (διάγραμμα 2.1).</w:t>
      </w:r>
    </w:p>
    <w:p w:rsidR="0026784C" w:rsidRPr="0026784C" w:rsidRDefault="0026784C" w:rsidP="0026784C">
      <w:pPr>
        <w:pStyle w:val="newsContent"/>
        <w:rPr>
          <w:rFonts w:cs="Arial"/>
          <w:szCs w:val="20"/>
        </w:rPr>
      </w:pPr>
      <w:r w:rsidRPr="0026784C">
        <w:rPr>
          <w:rFonts w:cs="Arial"/>
          <w:szCs w:val="20"/>
        </w:rPr>
        <w:t>Ενδεικτικοί της υψηλής επικράτησης της χρήσης κάνναβης είναι οι αριθμοί των χρηστών που ξεκινούν θεραπεία σε εξειδικευμένα κέντρα απεξάρτησης, οι περισσότεροι εκ των οποίων είναι χρήστες που ξεκίνησαν θεραπεία για πρώτη φορά στη ζωή τους και αναφέρουν την κάνναβη ως κύρια ουσία κατάχρησης. Ο αριθμός των χρηστών που ξεκίνησαν θεραπεία απεξάρτησης από την κάνναβη για πρώτη φορά αυξήθηκε στην Ευρώπη από 45.000 το 2006 σε 61.000 το 2013. Παρόλο που το πιθανότερο είναι ότι οι χρήστες κάνναβης ξεκινούν θεραπεία απεξάρτησης με δική τους πρωτοβουλία (34 %), σύμφωνα με την ανάλυση περίπου ένας στους τέσσερις χρήστες που ξεκινούν θεραπεία απεξάρτησης από την κάνναβη (23.000 χρήστες) παραπέμπεται σε θεραπεία από το σύστημα ποινικής δικαιοσύνης. Η αποτελεσματικότητα των ψυχοκοινωνικών παρεμβάσεων στη θεραπεία της τοξικομανίας είναι τεκμηριωμένη. Τέτοιου είδους παρεμβάσεις χρησιμοποιούνται ευρέως για την αντιμετώπιση προβλημάτων που συνδέονται με την κάνναβη. Οι προσεγγίσεις αυτές εξετάζονται σήμερα σε μια ανάλυση η οποία συνοδεύει την έκθεση (βλ. «Προοπτικές για τα ναρκωτικά»</w:t>
      </w:r>
      <w:r w:rsidR="00DF2196" w:rsidRPr="00DF2196">
        <w:rPr>
          <w:rFonts w:cs="Arial"/>
          <w:szCs w:val="20"/>
        </w:rPr>
        <w:t>/</w:t>
      </w:r>
      <w:r w:rsidR="00DF2196">
        <w:rPr>
          <w:rFonts w:cs="Arial"/>
          <w:szCs w:val="20"/>
          <w:lang w:val="en-GB"/>
        </w:rPr>
        <w:t>POD</w:t>
      </w:r>
      <w:r w:rsidRPr="0026784C">
        <w:rPr>
          <w:rFonts w:cs="Arial"/>
          <w:szCs w:val="20"/>
        </w:rPr>
        <w:t xml:space="preserve">) και σε μια πρόσφατη έκδοση του </w:t>
      </w:r>
      <w:r w:rsidRPr="00DF2196">
        <w:rPr>
          <w:rFonts w:cs="Arial"/>
          <w:b/>
          <w:szCs w:val="20"/>
        </w:rPr>
        <w:t>EMCDDA</w:t>
      </w:r>
      <w:r w:rsidRPr="0026784C">
        <w:rPr>
          <w:rFonts w:cs="Arial"/>
          <w:szCs w:val="20"/>
        </w:rPr>
        <w:t xml:space="preserve"> στη σειρά </w:t>
      </w:r>
      <w:r w:rsidRPr="0026784C">
        <w:rPr>
          <w:rFonts w:cs="Arial"/>
          <w:i/>
          <w:szCs w:val="20"/>
        </w:rPr>
        <w:t>Insights</w:t>
      </w:r>
      <w:r w:rsidRPr="0026784C">
        <w:rPr>
          <w:rFonts w:cs="Arial"/>
          <w:szCs w:val="20"/>
        </w:rPr>
        <w:t xml:space="preserve"> (</w:t>
      </w:r>
      <w:r w:rsidRPr="0026784C">
        <w:rPr>
          <w:rFonts w:cs="Arial"/>
          <w:szCs w:val="20"/>
          <w:vertAlign w:val="superscript"/>
        </w:rPr>
        <w:t>4</w:t>
      </w:r>
      <w:r w:rsidRPr="0026784C">
        <w:rPr>
          <w:rFonts w:cs="Arial"/>
          <w:szCs w:val="20"/>
        </w:rPr>
        <w:t>).</w:t>
      </w:r>
    </w:p>
    <w:p w:rsidR="0026784C" w:rsidRPr="0026784C" w:rsidRDefault="0026784C" w:rsidP="0026784C">
      <w:pPr>
        <w:spacing w:after="260" w:line="260" w:lineRule="exact"/>
        <w:rPr>
          <w:rFonts w:ascii="Arial" w:hAnsi="Arial" w:cs="Arial"/>
          <w:sz w:val="20"/>
          <w:szCs w:val="20"/>
        </w:rPr>
      </w:pPr>
      <w:r w:rsidRPr="0026784C">
        <w:rPr>
          <w:rFonts w:ascii="Arial" w:hAnsi="Arial" w:cs="Arial"/>
          <w:sz w:val="20"/>
          <w:szCs w:val="20"/>
        </w:rPr>
        <w:t>Η χρήση κάνναβης συνδέεται, μολονότι σπάνια, με επείγοντα περιστατικά, ιδίως όταν γίνεται σε υψηλές δόσεις (βλ. παρακάτω ενότητα σχετικά με την καθαρότητα). Σύμφωνα με πρόσφατη έρευνα που πραγματοποιήθηκε σε πλαίσια αντιμετώπισης επειγόντων περιστατικών, τα επείγοντα περιστατικά που συνδέονται με χρήση κάνναβης αυξήθηκαν μεταξύ 2008 και 2012 σε 11 από τις 13 ευρωπαϊκές χώρες που εξετάστηκαν.</w:t>
      </w:r>
    </w:p>
    <w:p w:rsidR="0026784C" w:rsidRPr="0026784C" w:rsidRDefault="0026784C" w:rsidP="0026784C">
      <w:pPr>
        <w:pStyle w:val="CommentText"/>
        <w:spacing w:after="260" w:line="260" w:lineRule="exact"/>
      </w:pPr>
      <w:r w:rsidRPr="0026784C">
        <w:t xml:space="preserve">Η σημερινή έκθεση αναδεικνύει τον σημαντικό ρόλο της κάνναβης όσον αφορά τη σχετιζόμενη με τα ναρκωτικά εγκληματικότητα, αφού η κάνναβη αντιπροσωπεύει το 80% των κατασχέσεων, η δε χρήση κάνναβης ή η κατοχή για προσωπική χρήση αντιστοιχεί σε ποσοστό άνω του 60% του συνόλου </w:t>
      </w:r>
      <w:r w:rsidR="00DF2196" w:rsidRPr="00DF2196">
        <w:t xml:space="preserve">                   </w:t>
      </w:r>
      <w:r w:rsidRPr="0026784C">
        <w:t xml:space="preserve">των αναφερόμενων αδικημάτων που εμπίπτουν στη νομοθεσία περί ναρκωτικών στην Ευρώπη </w:t>
      </w:r>
      <w:r w:rsidR="00DF2196" w:rsidRPr="00DF2196">
        <w:t xml:space="preserve">                  </w:t>
      </w:r>
      <w:r w:rsidRPr="0026784C">
        <w:t>(βλ. διάγραμμα 1).</w:t>
      </w:r>
    </w:p>
    <w:p w:rsidR="0026784C" w:rsidRPr="0026784C" w:rsidRDefault="0026784C" w:rsidP="0026784C">
      <w:pPr>
        <w:spacing w:before="100" w:beforeAutospacing="1" w:after="260" w:line="260" w:lineRule="exact"/>
        <w:rPr>
          <w:rFonts w:ascii="Arial" w:hAnsi="Arial" w:cs="Arial"/>
          <w:sz w:val="20"/>
          <w:szCs w:val="20"/>
        </w:rPr>
      </w:pPr>
      <w:r w:rsidRPr="0026784C">
        <w:rPr>
          <w:rFonts w:ascii="Arial" w:hAnsi="Arial" w:cs="Arial"/>
          <w:sz w:val="20"/>
          <w:szCs w:val="20"/>
        </w:rPr>
        <w:t xml:space="preserve">Το 2009 οι κατασχέσεις φυτικής κάνναβης στην Ευρώπη ξεπέρασαν τις κατασχέσεις ρητίνης, και η διαφορά συνεχίζει να αυξάνεται (διάγραμμα 1.3). Το 2013 στην Ευρωπαϊκή Ένωση αναφέρθηκαν 671.000 κατασχέσεις κάνναβης, εκ των οποίων 431.000 αφορούσαν τη φυτική κάνναβη (μαριχουάνα) και 240.000 τη ρητίνη κάνναβης (χασίς). Το φαινόμενο αυτό οφείλεται σε μεγάλο βαθμό στην αυξανόμενη διαθεσιμότητα της εγχώρια παραγόμενης φυτικής κάνναβης εντός Ευρώπης και αντικατοπτρίζεται στις αυξανόμενες κατασχέσεις φυτών κάνναβης. </w:t>
      </w:r>
      <w:r w:rsidRPr="0026784C">
        <w:rPr>
          <w:rFonts w:ascii="Arial" w:hAnsi="Arial" w:cs="Arial"/>
          <w:color w:val="000000"/>
          <w:sz w:val="20"/>
          <w:szCs w:val="20"/>
        </w:rPr>
        <w:t>H ποσότητα της κατασχεθείσας ρητίνης κάνναβης στην Ευρωπαϊκή Ένωση εξακολουθεί να είναι πολύ μεγαλύτερη από την κατασχεθείσα ποσότητα φυτικής κάνναβης (460 τόνοι έναντι 130 τόνων).</w:t>
      </w:r>
    </w:p>
    <w:p w:rsidR="0026784C" w:rsidRPr="0026784C" w:rsidRDefault="0026784C" w:rsidP="0026784C">
      <w:pPr>
        <w:spacing w:before="100" w:beforeAutospacing="1" w:after="260" w:line="260" w:lineRule="exact"/>
        <w:rPr>
          <w:rFonts w:ascii="Arial" w:hAnsi="Arial" w:cs="Arial"/>
          <w:sz w:val="20"/>
          <w:szCs w:val="20"/>
        </w:rPr>
      </w:pPr>
      <w:r w:rsidRPr="0026784C">
        <w:rPr>
          <w:rFonts w:ascii="Arial" w:hAnsi="Arial" w:cs="Arial"/>
          <w:sz w:val="20"/>
          <w:szCs w:val="20"/>
        </w:rPr>
        <w:lastRenderedPageBreak/>
        <w:t xml:space="preserve">Μια νέα εξέλιξη στην αγορά κάνναβης σημειώθηκε με τον εντοπισμό μέσω του </w:t>
      </w:r>
      <w:r w:rsidRPr="0026784C">
        <w:rPr>
          <w:rFonts w:ascii="Arial" w:hAnsi="Arial" w:cs="Arial"/>
          <w:b/>
          <w:bCs/>
          <w:sz w:val="20"/>
          <w:szCs w:val="20"/>
        </w:rPr>
        <w:t>συστήματος έγκαιρης προειδοποίησης της ΕΕ (ΣΕΠ)</w:t>
      </w:r>
      <w:r w:rsidRPr="0026784C">
        <w:rPr>
          <w:rFonts w:ascii="Arial" w:hAnsi="Arial" w:cs="Arial"/>
          <w:sz w:val="20"/>
          <w:szCs w:val="20"/>
        </w:rPr>
        <w:t xml:space="preserve"> περισσότερων από 130 συνθετικών κανναβινοειδών τα οποία πωλούνται ως νόμιμα υποκατάστατα της κάνναβης. Η χρήση αυτών των ουσιών μπορεί να έχει ανεπιθύμητες συνέπειες για την υγεία (π.χ. νεφρική βλάβη, αναπνευστικά και καρδιαγγειακά προβλήματα, σπασμούς). Λόγω των πρόσφατων περιστατικών θανάτου και οξείας τοξίκωσης που συνδέονται με αυτές τις ουσίες εντός και εκτός Ευρώπης, το </w:t>
      </w:r>
      <w:r w:rsidRPr="0026784C">
        <w:rPr>
          <w:rFonts w:ascii="Arial" w:hAnsi="Arial" w:cs="Arial"/>
          <w:b/>
          <w:bCs/>
          <w:sz w:val="20"/>
          <w:szCs w:val="20"/>
        </w:rPr>
        <w:t>EMCDDA</w:t>
      </w:r>
      <w:r w:rsidRPr="0026784C">
        <w:rPr>
          <w:rFonts w:ascii="Arial" w:hAnsi="Arial" w:cs="Arial"/>
          <w:sz w:val="20"/>
          <w:szCs w:val="20"/>
        </w:rPr>
        <w:t xml:space="preserve"> έχει εκδώσει προειδοποιήσεις σχετικά με τη δημόσια υγεία.</w:t>
      </w:r>
    </w:p>
    <w:p w:rsidR="0026784C" w:rsidRPr="0026784C" w:rsidRDefault="0026784C" w:rsidP="0026784C">
      <w:pPr>
        <w:spacing w:after="0" w:line="240" w:lineRule="auto"/>
        <w:outlineLvl w:val="2"/>
        <w:rPr>
          <w:rFonts w:ascii="Arial" w:hAnsi="Arial" w:cs="Arial"/>
          <w:b/>
          <w:bCs/>
          <w:sz w:val="20"/>
          <w:szCs w:val="20"/>
        </w:rPr>
      </w:pPr>
      <w:r w:rsidRPr="0026784C">
        <w:rPr>
          <w:rFonts w:ascii="Arial" w:hAnsi="Arial" w:cs="Arial"/>
          <w:b/>
          <w:bCs/>
          <w:sz w:val="20"/>
          <w:szCs w:val="20"/>
        </w:rPr>
        <w:t>Ανταγωνισμός σε μια κορεσμένη αγορά διεγερτικών</w:t>
      </w:r>
    </w:p>
    <w:p w:rsidR="0026784C" w:rsidRPr="0026784C" w:rsidRDefault="0026784C" w:rsidP="0026784C">
      <w:pPr>
        <w:spacing w:after="0" w:line="240" w:lineRule="auto"/>
        <w:outlineLvl w:val="2"/>
        <w:rPr>
          <w:rFonts w:ascii="Arial" w:hAnsi="Arial" w:cs="Arial"/>
          <w:sz w:val="20"/>
          <w:szCs w:val="20"/>
        </w:rPr>
      </w:pPr>
    </w:p>
    <w:p w:rsidR="0026784C" w:rsidRPr="0026784C" w:rsidRDefault="0026784C" w:rsidP="0026784C">
      <w:pPr>
        <w:spacing w:after="260" w:line="260" w:lineRule="exact"/>
        <w:outlineLvl w:val="2"/>
        <w:rPr>
          <w:rFonts w:ascii="Arial" w:hAnsi="Arial" w:cs="Arial"/>
          <w:sz w:val="20"/>
          <w:szCs w:val="20"/>
        </w:rPr>
      </w:pPr>
      <w:r w:rsidRPr="0026784C">
        <w:rPr>
          <w:rFonts w:ascii="Arial" w:hAnsi="Arial" w:cs="Arial"/>
          <w:sz w:val="20"/>
          <w:szCs w:val="20"/>
        </w:rPr>
        <w:t xml:space="preserve">Η αγορά διεγερτικών στην Ευρώπη έχει κορεστεί, με την κοκαΐνη, τις αμφεταμίνες, την έκσταση και έναν αυξανόμενο αριθμό συνθετικών ναρκωτικών να στοχεύουν σε παρόμοιους χρήστες. Η κοκαΐνη παραμένει η ευρύτερα διαδεδομένη παράνομη διεγερτική ουσία στην Ευρώπη, αν και οι περισσότεροι χρήστες κοκαΐνης είναι συγκεντρωμένοι σε σχετικά μικρό αριθμό χωρών της δυτικής ΕΕ. Χρήση κοκαΐνης τον τελευταίο χρόνο έκαναν περίπου 3,4 εκατομμύρια ενήλικες (15-64 ετών), εκ των οποίων 2,3 εκατομμύρια ήταν νεαροί ενήλικες (15-34 ετών). </w:t>
      </w:r>
      <w:r w:rsidRPr="0026784C">
        <w:rPr>
          <w:rFonts w:ascii="Arial" w:hAnsi="Arial" w:cs="Arial"/>
          <w:color w:val="000000"/>
          <w:sz w:val="20"/>
          <w:szCs w:val="20"/>
        </w:rPr>
        <w:t>Ο αριθμός των χωρών που αναφέρουν επικράτηση της χρήσης κοκαΐνης τον τελευταίο χρόνο στους νεαρούς ενήλικες άνω του 3% (διάγραμμα 2.4) είναι μικρός. Με βάση τα πιο πρόσφατα στοιχεία παρατηρείται μείωση της χρήσης κοκαΐνης. Από τις χώρες που έχουν δημοσιεύσει έρευνες μετά το 2012, 8 αναφέρουν χαμηλότερες εκτιμήσεις και 3 υψηλότερες από την προηγούμενη συγκρίσιμη έρευνα.</w:t>
      </w:r>
    </w:p>
    <w:p w:rsidR="0026784C" w:rsidRPr="0026784C" w:rsidRDefault="0026784C" w:rsidP="0026784C">
      <w:pPr>
        <w:spacing w:after="260" w:line="260" w:lineRule="exact"/>
        <w:outlineLvl w:val="2"/>
        <w:rPr>
          <w:rFonts w:ascii="Arial" w:hAnsi="Arial" w:cs="Arial"/>
          <w:sz w:val="20"/>
          <w:szCs w:val="20"/>
        </w:rPr>
      </w:pPr>
      <w:r w:rsidRPr="0026784C">
        <w:rPr>
          <w:rFonts w:ascii="Arial" w:hAnsi="Arial" w:cs="Arial"/>
          <w:sz w:val="20"/>
          <w:szCs w:val="20"/>
        </w:rPr>
        <w:t xml:space="preserve">Η χρήση αμφεταμινών (αμφεταμίνης ή μεθαμφεταμίνης) εξακολουθεί να είναι συνολικά μικρότερη στην Ευρώπη σε σύγκριση με τη χρήση κοκαΐνης. Περίπου 1,6 εκατομμύρια χρήστες ανέφεραν χρήση τον τελευταίο χρόνο, εκ των οποίων 1,3 εκατομμύρια ήταν νεαροί ενήλικες (15–34 ετών) (διάγραμμα 2.5). </w:t>
      </w:r>
      <w:r w:rsidR="005B4844" w:rsidRPr="005B4844">
        <w:rPr>
          <w:rFonts w:ascii="Arial" w:hAnsi="Arial" w:cs="Arial"/>
          <w:sz w:val="20"/>
          <w:szCs w:val="20"/>
        </w:rPr>
        <w:t xml:space="preserve"> </w:t>
      </w:r>
      <w:r w:rsidRPr="0026784C">
        <w:rPr>
          <w:rFonts w:ascii="Arial" w:hAnsi="Arial" w:cs="Arial"/>
          <w:sz w:val="20"/>
          <w:szCs w:val="20"/>
        </w:rPr>
        <w:t xml:space="preserve">Στη σημερινή έκθεση εξετάζονται νέα πρότυπα χρήσης της μεθαμφεταμίνης. Για παράδειγμα, στην </w:t>
      </w:r>
      <w:r w:rsidRPr="0026784C">
        <w:rPr>
          <w:rFonts w:ascii="Arial" w:hAnsi="Arial" w:cs="Arial"/>
          <w:b/>
          <w:bCs/>
          <w:sz w:val="20"/>
          <w:szCs w:val="20"/>
        </w:rPr>
        <w:t>Τσεχική Δημοκρατία</w:t>
      </w:r>
      <w:r w:rsidRPr="0026784C">
        <w:rPr>
          <w:rFonts w:ascii="Arial" w:hAnsi="Arial" w:cs="Arial"/>
          <w:sz w:val="20"/>
          <w:szCs w:val="20"/>
        </w:rPr>
        <w:t xml:space="preserve"> παρατηρείται ραγδαία αύξηση της επικίνδυνης χρήσης μεθαμφεταμίνης (ιδίως της ενέσιμης). Εκτιμάται ότι από το 2007 έως το 2013 οι χρήστες έχουν αυξηθεί από περίπου 21.000 σε πάνω από 34.000. Επίσης, σε αρκετές ευρωπαϊκές χώρες αναφέρεται ένα νέο πρότυπο χρήσης της μεθαμφεταμίνης: μικρές ομάδες ομοφυλόφιλων ανδρών κάνουν ενέσιμη χρήση της ουσίας, συχνά μαζί με άλλες διεγερτικές ουσίες (π.χ. συνθετικές καθινόνες), σε πάρτι. Τα πάρτι αυτά εγείρουν ανησυχία λόγω αφενός της επικίνδυνης χρήσης ουσιών και αφετέρου της επικίνδυνης σεξουαλικής συμπεριφοράς.</w:t>
      </w:r>
    </w:p>
    <w:p w:rsidR="0026784C" w:rsidRPr="0026784C" w:rsidRDefault="0026784C" w:rsidP="0026784C">
      <w:pPr>
        <w:spacing w:after="260" w:line="260" w:lineRule="exact"/>
        <w:rPr>
          <w:rFonts w:ascii="Arial" w:hAnsi="Arial" w:cs="Arial"/>
          <w:sz w:val="20"/>
          <w:szCs w:val="20"/>
        </w:rPr>
      </w:pPr>
      <w:r w:rsidRPr="0026784C">
        <w:rPr>
          <w:rFonts w:ascii="Arial" w:hAnsi="Arial" w:cs="Arial"/>
          <w:sz w:val="20"/>
          <w:szCs w:val="20"/>
        </w:rPr>
        <w:t xml:space="preserve">Σύμφωνα με τις εκτιμήσεις, χρήση έκστασης τον τελευταίο χρόνο έκαναν 2,1 εκατομμύρια ενήλικες </w:t>
      </w:r>
      <w:r w:rsidR="00DF2196" w:rsidRPr="00DF2196">
        <w:rPr>
          <w:rFonts w:ascii="Arial" w:hAnsi="Arial" w:cs="Arial"/>
          <w:sz w:val="20"/>
          <w:szCs w:val="20"/>
        </w:rPr>
        <w:t xml:space="preserve">              </w:t>
      </w:r>
      <w:r w:rsidRPr="0026784C">
        <w:rPr>
          <w:rFonts w:ascii="Arial" w:hAnsi="Arial" w:cs="Arial"/>
          <w:sz w:val="20"/>
          <w:szCs w:val="20"/>
        </w:rPr>
        <w:t xml:space="preserve">(15–64 ετών), εκ των οποίων 1,8 εκατομμύρια ήταν νεαροί ενήλικες (15-34 ετών) (διάγραμμα 2.6). </w:t>
      </w:r>
      <w:r w:rsidR="00DF2196" w:rsidRPr="00DF2196">
        <w:rPr>
          <w:rFonts w:ascii="Arial" w:hAnsi="Arial" w:cs="Arial"/>
          <w:sz w:val="20"/>
          <w:szCs w:val="20"/>
        </w:rPr>
        <w:t xml:space="preserve">          </w:t>
      </w:r>
      <w:r w:rsidRPr="0026784C">
        <w:rPr>
          <w:rFonts w:ascii="Arial" w:hAnsi="Arial" w:cs="Arial"/>
          <w:sz w:val="20"/>
          <w:szCs w:val="20"/>
        </w:rPr>
        <w:t>Για ένα διάστημα, τα δισκία που πωλούνταν ως έκσταση θεωρούνταν από τους καταναλωτές νοθευμένα προϊόντα κακής ποιότητας. Πλέον όμως κυκλοφορεί ευρύτερα υψηλής καθαρότητας MDMA σε σκόνη και δισκία (βλ. παρακάτω ενότητα σχετικά με την καθαρότητα).</w:t>
      </w:r>
    </w:p>
    <w:p w:rsidR="0026784C" w:rsidRPr="0026784C" w:rsidRDefault="0026784C" w:rsidP="0026784C">
      <w:pPr>
        <w:spacing w:after="260" w:line="260" w:lineRule="exact"/>
        <w:rPr>
          <w:rFonts w:ascii="Arial" w:hAnsi="Arial" w:cs="Arial"/>
          <w:sz w:val="20"/>
          <w:szCs w:val="20"/>
          <w:u w:val="single"/>
        </w:rPr>
      </w:pPr>
      <w:r w:rsidRPr="0026784C">
        <w:rPr>
          <w:rFonts w:ascii="Arial" w:hAnsi="Arial" w:cs="Arial"/>
          <w:sz w:val="20"/>
          <w:szCs w:val="20"/>
        </w:rPr>
        <w:t xml:space="preserve">Οι συνθετικές καθινόνες (π.χ. μεφεδρόνη, πεντεδρόνη, (3,4-μεθυλενοδιοξυπυροβαλερόνη (MDPV)) έχουν εδραιώσει το μερίδιό τους στην αγορά παράνομων διεγερτικών σε κάποιες ευρωπαϊκές χώρες και συχνά χρησιμοποιούνται αντί της μεθαμφεταμίνης και της έκστασης. Η ενέσιμη χρήση συνθετικών καθινονών, αν και δεν είναι διαδεδομένη στην Ευρώπη, αποτελεί ένα πρόβλημα τοπικής εμβέλειας το οποίο αφορά κυρίως ομάδες χρηστών υψηλού κινδύνου σε ορισμένες χώρες. Η </w:t>
      </w:r>
      <w:r w:rsidRPr="0026784C">
        <w:rPr>
          <w:rFonts w:ascii="Arial" w:hAnsi="Arial" w:cs="Arial"/>
          <w:b/>
          <w:bCs/>
          <w:sz w:val="20"/>
          <w:szCs w:val="20"/>
        </w:rPr>
        <w:t>Ουγγαρία, η Ρουμανία</w:t>
      </w:r>
      <w:r w:rsidRPr="0026784C">
        <w:rPr>
          <w:rFonts w:ascii="Arial" w:hAnsi="Arial" w:cs="Arial"/>
          <w:sz w:val="20"/>
          <w:szCs w:val="20"/>
        </w:rPr>
        <w:t xml:space="preserve"> και το </w:t>
      </w:r>
      <w:r w:rsidRPr="0026784C">
        <w:rPr>
          <w:rFonts w:ascii="Arial" w:hAnsi="Arial" w:cs="Arial"/>
          <w:b/>
          <w:bCs/>
          <w:sz w:val="20"/>
          <w:szCs w:val="20"/>
        </w:rPr>
        <w:t>Ηνωμένο Βασίλειο</w:t>
      </w:r>
      <w:r w:rsidRPr="0026784C">
        <w:rPr>
          <w:rFonts w:ascii="Arial" w:hAnsi="Arial" w:cs="Arial"/>
          <w:sz w:val="20"/>
          <w:szCs w:val="20"/>
        </w:rPr>
        <w:t xml:space="preserve"> αναφέρουν αυξημένες αιτήσεις θεραπείας από χρήστες αυτών των ουσιών.</w:t>
      </w:r>
    </w:p>
    <w:p w:rsidR="0026784C" w:rsidRPr="0026784C" w:rsidRDefault="0026784C" w:rsidP="0026784C">
      <w:pPr>
        <w:pStyle w:val="newsContent"/>
        <w:rPr>
          <w:rFonts w:cs="Arial"/>
          <w:b/>
          <w:bCs/>
          <w:szCs w:val="20"/>
        </w:rPr>
      </w:pPr>
      <w:r w:rsidRPr="0026784C">
        <w:rPr>
          <w:rFonts w:cs="Arial"/>
          <w:b/>
          <w:bCs/>
          <w:szCs w:val="20"/>
        </w:rPr>
        <w:t>Ανησυχίες λόγω της αυξημένης δραστικότητας και καθαρότητας των ναρκωτικών</w:t>
      </w:r>
    </w:p>
    <w:p w:rsidR="0026784C" w:rsidRPr="0026784C" w:rsidRDefault="0026784C" w:rsidP="0026784C">
      <w:pPr>
        <w:spacing w:after="260" w:line="260" w:lineRule="exact"/>
        <w:rPr>
          <w:rFonts w:ascii="Arial" w:hAnsi="Arial" w:cs="Arial"/>
          <w:sz w:val="20"/>
          <w:szCs w:val="20"/>
        </w:rPr>
      </w:pPr>
      <w:r w:rsidRPr="0026784C">
        <w:rPr>
          <w:rFonts w:ascii="Arial" w:hAnsi="Arial" w:cs="Arial"/>
          <w:sz w:val="20"/>
          <w:szCs w:val="20"/>
        </w:rPr>
        <w:t xml:space="preserve">Μια από τις βασικές διαπιστώσεις της φετινής έκθεσης είναι η μεγάλη αύξηση στη δραστικότητα και την καθαρότητα των πλέον διαδεδομένων παράνομων ναρκωτικών στην Ευρώπη. Το γεγονός αυτό προκαλεί ανησυχίες για την υγεία των χρηστών οι οποίοι, εν γνώσει ή εν αγνοία τους, ενδέχεται να καταναλώνουν πιο δραστικά προϊόντα (κεφάλαιο 1). Όπως προκύπτει από τις συνολικές τάσεις κατά την περίοδο 2006–13, στις χώρες που υποβάλλουν συστηματικά στοιχεία έχει σημειωθεί αύξηση της δραστικότητας της κάνναβης (περιεκτικότητα σε THC), της καθαρότητας της κοκαΐνης και της περιεκτικότητας των δισκίων έκστασης σε MDMA. Το 2013 παρατηρήθηκε αύξηση και στην καθαρότητα της ηρωίνης. Δύο από τους </w:t>
      </w:r>
      <w:r w:rsidRPr="0026784C">
        <w:rPr>
          <w:rFonts w:ascii="Arial" w:hAnsi="Arial" w:cs="Arial"/>
          <w:sz w:val="20"/>
          <w:szCs w:val="20"/>
        </w:rPr>
        <w:lastRenderedPageBreak/>
        <w:t>πιθανούς λόγους στους οποίους οφείλεται αυτό το φαινόμενο είναι οι τεχνολογικές καινοτομίες και ο ανταγωνισμός στην αγορά.</w:t>
      </w:r>
    </w:p>
    <w:p w:rsidR="0026784C" w:rsidRPr="0026784C" w:rsidRDefault="0026784C" w:rsidP="0026784C">
      <w:pPr>
        <w:spacing w:after="260" w:line="260" w:lineRule="exact"/>
        <w:rPr>
          <w:rFonts w:ascii="Arial" w:hAnsi="Arial" w:cs="Arial"/>
          <w:sz w:val="20"/>
          <w:szCs w:val="20"/>
        </w:rPr>
      </w:pPr>
      <w:r w:rsidRPr="0026784C">
        <w:rPr>
          <w:rFonts w:ascii="Arial" w:hAnsi="Arial" w:cs="Arial"/>
          <w:sz w:val="20"/>
          <w:szCs w:val="20"/>
        </w:rPr>
        <w:t xml:space="preserve">Στην έκθεση εφιστάται προσοχή στα δισκία έκστασης με υψηλή συγκέντρωση MDMA, τα οποία συχνά κυκλοφορούν με χαρακτηριστικό σχήμα και λογότυπο. Τον τελευταίο χρόνο, το </w:t>
      </w:r>
      <w:r w:rsidRPr="0026784C">
        <w:rPr>
          <w:rFonts w:ascii="Arial" w:hAnsi="Arial" w:cs="Arial"/>
          <w:b/>
          <w:bCs/>
          <w:sz w:val="20"/>
          <w:szCs w:val="20"/>
        </w:rPr>
        <w:t>EMCDDA</w:t>
      </w:r>
      <w:r w:rsidRPr="0026784C">
        <w:rPr>
          <w:rFonts w:ascii="Arial" w:hAnsi="Arial" w:cs="Arial"/>
          <w:sz w:val="20"/>
          <w:szCs w:val="20"/>
        </w:rPr>
        <w:t xml:space="preserve"> και η </w:t>
      </w:r>
      <w:r w:rsidRPr="0026784C">
        <w:rPr>
          <w:rFonts w:ascii="Arial" w:hAnsi="Arial" w:cs="Arial"/>
          <w:b/>
          <w:bCs/>
          <w:sz w:val="20"/>
          <w:szCs w:val="20"/>
        </w:rPr>
        <w:t>Ευρωπόλ</w:t>
      </w:r>
      <w:r w:rsidRPr="0026784C">
        <w:rPr>
          <w:rFonts w:ascii="Arial" w:hAnsi="Arial" w:cs="Arial"/>
          <w:sz w:val="20"/>
          <w:szCs w:val="20"/>
        </w:rPr>
        <w:t xml:space="preserve"> εξέδωσαν προειδοποιήσεις για τους κινδύνους που εγκυμονεί για τη δημόσια υγεία η κατανάλωση αυτών των προϊόντων. Προειδοποιήσεις εκδόθηκαν και μετά από μια σειρά θανατηφόρων περιστατικών και αφορούσαν δισκία που πωλούνται ως έκσταση αλλά περιέχουν άλλες επιβλαβείς ουσίες, όπως PMMA.</w:t>
      </w:r>
    </w:p>
    <w:p w:rsidR="0026784C" w:rsidRPr="0026784C" w:rsidRDefault="0026784C" w:rsidP="0026784C">
      <w:pPr>
        <w:spacing w:after="260" w:line="260" w:lineRule="exact"/>
        <w:rPr>
          <w:rFonts w:ascii="Arial" w:hAnsi="Arial" w:cs="Arial"/>
          <w:b/>
          <w:bCs/>
          <w:sz w:val="20"/>
          <w:szCs w:val="20"/>
        </w:rPr>
      </w:pPr>
      <w:r w:rsidRPr="0026784C">
        <w:rPr>
          <w:rFonts w:ascii="Arial" w:hAnsi="Arial" w:cs="Arial"/>
          <w:b/>
          <w:bCs/>
          <w:sz w:val="20"/>
          <w:szCs w:val="20"/>
        </w:rPr>
        <w:t>Στις δύο την εβδομάδα η συχνότητα εντοπισμού νέων ουσιών</w:t>
      </w:r>
    </w:p>
    <w:p w:rsidR="0026784C" w:rsidRPr="0026784C" w:rsidRDefault="0026784C" w:rsidP="0026784C">
      <w:pPr>
        <w:pStyle w:val="newsContent"/>
        <w:rPr>
          <w:rFonts w:cs="Arial"/>
          <w:szCs w:val="20"/>
        </w:rPr>
      </w:pPr>
      <w:r w:rsidRPr="0026784C">
        <w:rPr>
          <w:rFonts w:cs="Arial"/>
          <w:szCs w:val="20"/>
        </w:rPr>
        <w:t>Η συχνότητα με την οποία εντοπίζονταν πέρυσι στην ΕΕ νέες ψυχοδραστικές ουσίες (νέες ουσίες συχνά πωλούμενες ως «νόμιμα διεγερτικά») κυμάνθηκε σε περίπου δύο ουσίες ανά εβδομάδα. Το 2014 αναφέρθηκαν μέσω του ευρωπαϊκού μηχανισμού έγκαιρης προειδοποίησης, συνολικά 101 νέες ουσίες (81 το 2013). Ο αριθμός αυτός υποδεικνύει διατήρηση της ανοδικής τάσης στις ουσίες που αναφέρονται για ένα έτος (διάγραμμα 1.12) και ανεβάζει το σύνολο των ουσιών που παρακολουθούνται από τον οργανισμό σε περισσότερες από 450, εκ των οποίων οι μισές και πάνω εντοπίστηκαν κατά την τελευταία τριετία.</w:t>
      </w:r>
    </w:p>
    <w:p w:rsidR="0026784C" w:rsidRPr="0026784C" w:rsidRDefault="0026784C" w:rsidP="0026784C">
      <w:pPr>
        <w:pStyle w:val="newsContent"/>
        <w:rPr>
          <w:rFonts w:cs="Arial"/>
          <w:szCs w:val="20"/>
        </w:rPr>
      </w:pPr>
      <w:r w:rsidRPr="0026784C">
        <w:rPr>
          <w:rFonts w:cs="Arial"/>
          <w:szCs w:val="20"/>
        </w:rPr>
        <w:t xml:space="preserve">Μεταξύ των ουσιών που αναφέρθηκαν το 2014 επικρατούν και πάλι δύο ομάδες, οι συνθετικές καθινόνες (31 ουσίες) και τα συνθετικά κανναβινοειδή (30 ουσίες), οι οποίες συχνά πωλούνται ως νόμιμα υποκατάστατα των διεγερτικών και της κάνναβης αντιστοίχως. Οι δύο αυτές ομάδες είναι οι μεγαλύτερες που παρακολουθούνται από το </w:t>
      </w:r>
      <w:r w:rsidRPr="0026784C">
        <w:rPr>
          <w:rFonts w:cs="Arial"/>
          <w:b/>
          <w:bCs/>
          <w:szCs w:val="20"/>
        </w:rPr>
        <w:t>ΣΕΠ</w:t>
      </w:r>
      <w:r w:rsidRPr="0026784C">
        <w:rPr>
          <w:rFonts w:cs="Arial"/>
          <w:szCs w:val="20"/>
        </w:rPr>
        <w:t xml:space="preserve"> και συνολικά αντιπροσωπεύουν σχεδόν τα δύο τρίτα των νέων ουσιών που αναφέρθηκαν το 2014. Από τα νέα δεδομένα σχετικά με τις κατασχέσεις προκύπτει ότι το 2013 αναφέρθηκαν στην ΕΕ περίπου 35.000 κατασχέσεις νέων ψυχοδραστικών ουσιών (αν και η εκτίμηση αυτή θα πρέπει να θεωρηθεί η κατώτατη, δεδομένου ότι δεν προκύπτει από μηχανισμό τακτικής υποβολής στοιχείων). Οι περισσότερες κατασχέσεις αφορούσαν συνθετικά κανναβινοειδή και συνθετικές καθινόνες (διάγραμμα 1.2)</w:t>
      </w:r>
    </w:p>
    <w:p w:rsidR="0026784C" w:rsidRPr="0026784C" w:rsidRDefault="0026784C" w:rsidP="0026784C">
      <w:pPr>
        <w:pStyle w:val="newsContent"/>
        <w:rPr>
          <w:rFonts w:cs="Arial"/>
          <w:szCs w:val="20"/>
        </w:rPr>
      </w:pPr>
      <w:r w:rsidRPr="0026784C">
        <w:rPr>
          <w:rFonts w:cs="Arial"/>
          <w:szCs w:val="20"/>
        </w:rPr>
        <w:t xml:space="preserve">Η χρήση νέων ψυχοδραστικών ουσιών έχει αρχίσει πρόσφατα να αποτελεί αντικείμενο μελετών και ερευνών, η δε επικράτησή της έχει ενσωματωθεί στις εθνικές έρευνες εννέα χωρών για τα ναρκωτικά. </w:t>
      </w:r>
      <w:r w:rsidR="00DF2196" w:rsidRPr="00DF2196">
        <w:rPr>
          <w:rFonts w:cs="Arial"/>
          <w:szCs w:val="20"/>
        </w:rPr>
        <w:t xml:space="preserve">            </w:t>
      </w:r>
      <w:r w:rsidRPr="0026784C">
        <w:rPr>
          <w:rFonts w:cs="Arial"/>
          <w:szCs w:val="20"/>
        </w:rPr>
        <w:t>Η επικράτηση της χρήσης αυτών των ουσιών, αν και στις περισσότερες χώρες της ΕΕ φαίνεται να είναι χαμηλή, εξακολουθεί να είναι προβληματική λόγω της μεγάλης τοξικότητας ορισμένων νέων ψυχοδραστικών ουσιών. Οι υγειονομικές και κοινωνικές υπηρεσίες έχουν αρχίσει να υιοθετούν πιο δυναμικές παρεμβάσεις αντίδρασης στις νέες ψυχοδραστικές ουσίες, εφαρμόζοντας κάποια από τα μέτρα που λαμβάνονται για τις πιο εδραιωμένες ουσίες (εκπαίδευση για τα ναρκωτικά, διαδικτυακές παρεμβάσεις και προγράμματα ανταλλαγής βελονών και συρίγγων).</w:t>
      </w:r>
    </w:p>
    <w:p w:rsidR="0026784C" w:rsidRPr="0026784C" w:rsidRDefault="0026784C" w:rsidP="0026784C">
      <w:pPr>
        <w:spacing w:after="260" w:line="260" w:lineRule="exact"/>
        <w:rPr>
          <w:rFonts w:ascii="Arial" w:hAnsi="Arial" w:cs="Arial"/>
          <w:b/>
          <w:bCs/>
          <w:sz w:val="20"/>
          <w:szCs w:val="20"/>
        </w:rPr>
      </w:pPr>
      <w:r w:rsidRPr="0026784C">
        <w:rPr>
          <w:rFonts w:ascii="Arial" w:hAnsi="Arial" w:cs="Arial"/>
          <w:b/>
          <w:bCs/>
          <w:sz w:val="20"/>
          <w:szCs w:val="20"/>
        </w:rPr>
        <w:t>Διαδίκτυο και εφαρμογές λογισμικού για κινητές συσκευές: αναδυόμενες εικονικές αγορές ναρκωτικών</w:t>
      </w:r>
    </w:p>
    <w:p w:rsidR="0026784C" w:rsidRPr="0026784C" w:rsidRDefault="0026784C" w:rsidP="0026784C">
      <w:pPr>
        <w:pStyle w:val="NormalWeb"/>
        <w:spacing w:after="260" w:afterAutospacing="0" w:line="260" w:lineRule="exact"/>
        <w:rPr>
          <w:rFonts w:ascii="Arial" w:hAnsi="Arial" w:cs="Arial"/>
          <w:sz w:val="20"/>
          <w:szCs w:val="20"/>
        </w:rPr>
      </w:pPr>
      <w:r w:rsidRPr="0026784C">
        <w:rPr>
          <w:rFonts w:ascii="Arial" w:hAnsi="Arial" w:cs="Arial"/>
          <w:sz w:val="20"/>
          <w:szCs w:val="20"/>
        </w:rPr>
        <w:t xml:space="preserve">Ο ρόλος του διαδικτύου στην προμήθεια και την εμπορία ναρκωτικών στην Ευρώπη αυξάνεται διαρκώς, καθώς τόσο οι νέες ψυχοδραστικές ουσίες όσο και τα εδραιωμένα ναρκωτικά πωλούνται πλέον ηλεκτρονικά. Η χρήση συμβατικών ιστοσελίδων (προσβάσιμες μέσω των κοινών μηχανών αναζήτησης) για την πώληση νέων ψυχοδραστικών ουσιών έχει αυξηθεί την τελευταία δεκαετία. Το σύστημα παρακολούθησης του </w:t>
      </w:r>
      <w:r w:rsidRPr="0026784C">
        <w:rPr>
          <w:rFonts w:ascii="Arial" w:hAnsi="Arial" w:cs="Arial"/>
          <w:b/>
          <w:bCs/>
          <w:sz w:val="20"/>
          <w:szCs w:val="20"/>
        </w:rPr>
        <w:t>EMCDDA</w:t>
      </w:r>
      <w:r w:rsidRPr="0026784C">
        <w:rPr>
          <w:rFonts w:ascii="Arial" w:hAnsi="Arial" w:cs="Arial"/>
          <w:sz w:val="20"/>
          <w:szCs w:val="20"/>
        </w:rPr>
        <w:t xml:space="preserve"> έχει εντοπίσει περί τους 650 δικτυακούς τόπους πώλησης «νόμιμων διεγερτικών» σε ευρωπαίους καταναλωτές. Μια ανησυχητική εξέλιξη στην ηλεκτρονική αγορά είναι η πώληση παράνομων ναρκωτικών σε «κρυπτοαγορές» ή ηλεκτρονικά καταστήματα στην αθέατη πλευρά του διαδικτύου, τον λεγόμενο «βαθύ ιστό» (προσβάσιμα με χρήση λογισμικού κρυπτογράφησης). Οι σελίδες αυτές επιτρέπουν πλήρη ανωνυμία στις ανταλλαγές προϊόντων και υπηρεσιών μεταξύ των συναλλασσόμενων μερών, τα οποία συχνά χρησιμοποιούν «κρυπτονομίσματα» (π.χ. Bitcoin) για τη διευκόλυνση των αφανών συναλλαγών τους. Ένα ακόμη νέο φαινόμενο είναι η εμφάνιση μιας «διαδικτυακής μαύρης αγοράς», με ηλεκτρονικά καταστήματα τα οποία λειτουργούν τόσο στην ορατή όσο και στην αθέατη πλευρά του διαδικτύου. Στην έκθεση επισημαίνεται επίσης ο σημαντικός ρόλος που διαδραματίζουν στις αγορές ναρκωτικών τα μέσα κοινωνικής δικτύωσης και οι εφαρμογές κινητών </w:t>
      </w:r>
      <w:r w:rsidRPr="0026784C">
        <w:rPr>
          <w:rFonts w:ascii="Arial" w:hAnsi="Arial" w:cs="Arial"/>
          <w:sz w:val="20"/>
          <w:szCs w:val="20"/>
        </w:rPr>
        <w:lastRenderedPageBreak/>
        <w:t>συσκευών, είτε χρησιμοποιούνται άμεσα για την αγοραπωλησία ναρκωτικών είτε έμμεσα για σκοπούς διαφήμισης, άσκησης επιρροής ή ανταλλαγής εμπειριών.</w:t>
      </w:r>
    </w:p>
    <w:p w:rsidR="0026784C" w:rsidRPr="0026784C" w:rsidRDefault="0026784C" w:rsidP="0026784C">
      <w:pPr>
        <w:spacing w:after="120"/>
        <w:rPr>
          <w:rFonts w:ascii="Arial" w:hAnsi="Arial" w:cs="Arial"/>
          <w:sz w:val="20"/>
          <w:szCs w:val="20"/>
        </w:rPr>
      </w:pPr>
      <w:r w:rsidRPr="0026784C">
        <w:rPr>
          <w:rFonts w:ascii="Arial" w:hAnsi="Arial" w:cs="Arial"/>
          <w:sz w:val="20"/>
          <w:szCs w:val="20"/>
        </w:rPr>
        <w:t>Σύμφωνα με την έκθεση, «Η ανάπτυξη αφενός διαδικτυακών και αφετέρου εικονικών αγορών ναρκωτικών δημιουργεί μείζονες προκλήσεις για τις διωκτικές αρχές και τις πολιτικές ελέγχου των ναρκωτικών. Τα υφιστάμενα ρυθμιστικά πρότυπα πρέπει να προσαρμοστούν για να λειτουργήσουν αποτελεσματικά σε ένα παγκοσμιοποιημένο και εικονικό πλαίσιο».</w:t>
      </w:r>
    </w:p>
    <w:p w:rsidR="0026784C" w:rsidRPr="0026784C" w:rsidRDefault="0026784C" w:rsidP="0026784C">
      <w:pPr>
        <w:spacing w:afterLines="80" w:after="192"/>
        <w:rPr>
          <w:rStyle w:val="header-line-3"/>
          <w:rFonts w:ascii="Arial" w:hAnsi="Arial" w:cs="Arial"/>
          <w:sz w:val="20"/>
          <w:szCs w:val="20"/>
        </w:rPr>
      </w:pPr>
      <w:r w:rsidRPr="0026784C">
        <w:rPr>
          <w:rStyle w:val="header-line-3"/>
          <w:rFonts w:ascii="Arial" w:hAnsi="Arial" w:cs="Arial"/>
          <w:sz w:val="20"/>
          <w:szCs w:val="20"/>
        </w:rPr>
        <w:t>-----</w:t>
      </w:r>
    </w:p>
    <w:p w:rsidR="0026784C" w:rsidRPr="0026784C" w:rsidRDefault="0026784C" w:rsidP="0026784C">
      <w:pPr>
        <w:spacing w:afterLines="80" w:after="192"/>
        <w:rPr>
          <w:rStyle w:val="header-line-3"/>
          <w:rFonts w:ascii="Arial" w:hAnsi="Arial" w:cs="Arial"/>
          <w:color w:val="FF0000"/>
          <w:sz w:val="20"/>
          <w:szCs w:val="20"/>
          <w:highlight w:val="yellow"/>
        </w:rPr>
      </w:pPr>
      <w:r w:rsidRPr="0026784C">
        <w:rPr>
          <w:rStyle w:val="header-line-3"/>
          <w:rFonts w:ascii="Arial" w:hAnsi="Arial" w:cs="Arial"/>
          <w:b/>
          <w:bCs/>
          <w:sz w:val="20"/>
          <w:szCs w:val="20"/>
        </w:rPr>
        <w:t>Ο πρόεδρος του διοικητικού συμβουλίου του EMCDDA, João Goulão</w:t>
      </w:r>
      <w:r w:rsidRPr="0026784C">
        <w:rPr>
          <w:rStyle w:val="header-line-3"/>
          <w:rFonts w:ascii="Arial" w:hAnsi="Arial" w:cs="Arial"/>
          <w:sz w:val="20"/>
          <w:szCs w:val="20"/>
        </w:rPr>
        <w:t xml:space="preserve"> καταλήγει: </w:t>
      </w:r>
      <w:r w:rsidR="00DF2196" w:rsidRPr="00DF2196">
        <w:rPr>
          <w:rStyle w:val="header-line-3"/>
          <w:rFonts w:ascii="Arial" w:hAnsi="Arial" w:cs="Arial"/>
          <w:sz w:val="20"/>
          <w:szCs w:val="20"/>
        </w:rPr>
        <w:t xml:space="preserve">                                  </w:t>
      </w:r>
      <w:r w:rsidRPr="0026784C">
        <w:rPr>
          <w:rStyle w:val="header-line-3"/>
          <w:rFonts w:ascii="Arial" w:hAnsi="Arial" w:cs="Arial"/>
          <w:sz w:val="20"/>
          <w:szCs w:val="20"/>
        </w:rPr>
        <w:t>«Η 20</w:t>
      </w:r>
      <w:r w:rsidRPr="0026784C">
        <w:rPr>
          <w:rStyle w:val="header-line-3"/>
          <w:rFonts w:ascii="Arial" w:hAnsi="Arial" w:cs="Arial"/>
          <w:sz w:val="20"/>
          <w:szCs w:val="20"/>
          <w:vertAlign w:val="superscript"/>
        </w:rPr>
        <w:t>ή</w:t>
      </w:r>
      <w:r w:rsidRPr="0026784C">
        <w:rPr>
          <w:rStyle w:val="header-line-3"/>
          <w:rFonts w:ascii="Arial" w:hAnsi="Arial" w:cs="Arial"/>
          <w:sz w:val="20"/>
          <w:szCs w:val="20"/>
        </w:rPr>
        <w:t xml:space="preserve"> ανασκόπηση του προβλήματος των ναρκωτικών στην Ευρώπη σηματοδοτεί την απόσταση που έχει διανύσει το EMCDDA από την πρώτη έκθεσή του το 1996 και την πρόοδο που έχει σημειώσει όσον αφορά την κατανόηση αυτού του φαινομένου. Το πρόβλημα έχει γίνει πλέον πολύ πιο σύνθετο, χαρακτηριστικό δε είναι πως πολλές από τις ουσίες που αναφέρονται στη σημερινή έκθεση ήταν κυριολεκτικά άγνωστες στους χρήστες πριν από δύο δεκαετίες. Το όριο μεταξύ παλιών και νέων ναρκωτικών γίνεται πιο δυσδιάκριτο, καθώς τα νέα ναρκωτικά μιμούνται ολοένα και περισσότερο τις ελεγχόμενες ουσίες.  Η ετήσια αυτή ανασκόπηση του προβλήματος των ναρκωτικών στην Ευρώπη αποτελεί πρόσφορη βάση για την επεξεργασία τόσο των σημερινών όσο και των μελλοντικών πολιτικών για τα ναρκωτικά».</w:t>
      </w:r>
    </w:p>
    <w:p w:rsidR="0026784C" w:rsidRDefault="0026784C" w:rsidP="0026784C">
      <w:pPr>
        <w:spacing w:after="0" w:line="240" w:lineRule="auto"/>
        <w:rPr>
          <w:rStyle w:val="header-line-3"/>
          <w:b/>
          <w:bCs/>
          <w:sz w:val="16"/>
          <w:szCs w:val="16"/>
        </w:rPr>
      </w:pPr>
    </w:p>
    <w:p w:rsidR="0026784C" w:rsidRPr="00DF2196" w:rsidRDefault="0026784C" w:rsidP="0026784C">
      <w:pPr>
        <w:spacing w:after="0" w:line="240" w:lineRule="auto"/>
        <w:rPr>
          <w:rStyle w:val="header-line-3"/>
          <w:rFonts w:ascii="Arial" w:hAnsi="Arial" w:cs="Arial"/>
          <w:b/>
          <w:bCs/>
          <w:sz w:val="16"/>
          <w:szCs w:val="16"/>
        </w:rPr>
      </w:pPr>
      <w:r w:rsidRPr="00DF2196">
        <w:rPr>
          <w:rStyle w:val="header-line-3"/>
          <w:rFonts w:ascii="Arial" w:hAnsi="Arial" w:cs="Arial"/>
          <w:b/>
          <w:bCs/>
          <w:sz w:val="16"/>
          <w:szCs w:val="16"/>
        </w:rPr>
        <w:t>Σημειώσεις</w:t>
      </w:r>
    </w:p>
    <w:p w:rsidR="0026784C" w:rsidRPr="00DF2196" w:rsidRDefault="0026784C" w:rsidP="0026784C">
      <w:pPr>
        <w:spacing w:after="0" w:line="240" w:lineRule="auto"/>
        <w:rPr>
          <w:rFonts w:ascii="Arial" w:hAnsi="Arial" w:cs="Arial"/>
          <w:sz w:val="16"/>
          <w:szCs w:val="16"/>
        </w:rPr>
      </w:pPr>
      <w:r w:rsidRPr="00DF2196">
        <w:rPr>
          <w:rStyle w:val="header-line-3"/>
          <w:rFonts w:ascii="Arial" w:hAnsi="Arial" w:cs="Arial"/>
          <w:sz w:val="16"/>
          <w:szCs w:val="16"/>
        </w:rPr>
        <w:t>(</w:t>
      </w:r>
      <w:r w:rsidRPr="00DF2196">
        <w:rPr>
          <w:rStyle w:val="header-line-3"/>
          <w:rFonts w:ascii="Arial" w:hAnsi="Arial" w:cs="Arial"/>
          <w:sz w:val="16"/>
          <w:szCs w:val="16"/>
          <w:vertAlign w:val="superscript"/>
        </w:rPr>
        <w:t>1</w:t>
      </w:r>
      <w:r w:rsidRPr="00DF2196">
        <w:rPr>
          <w:rStyle w:val="header-line-3"/>
          <w:rFonts w:ascii="Arial" w:hAnsi="Arial" w:cs="Arial"/>
          <w:sz w:val="16"/>
          <w:szCs w:val="16"/>
        </w:rPr>
        <w:t xml:space="preserve">) </w:t>
      </w:r>
      <w:r w:rsidRPr="00DF2196">
        <w:rPr>
          <w:rFonts w:ascii="Arial" w:hAnsi="Arial" w:cs="Arial"/>
          <w:sz w:val="16"/>
          <w:szCs w:val="16"/>
        </w:rPr>
        <w:t xml:space="preserve">Η πλήρης </w:t>
      </w:r>
      <w:r w:rsidRPr="00DF2196">
        <w:rPr>
          <w:rFonts w:ascii="Arial" w:hAnsi="Arial" w:cs="Arial"/>
          <w:b/>
          <w:bCs/>
          <w:i/>
          <w:iCs/>
          <w:sz w:val="16"/>
          <w:szCs w:val="16"/>
        </w:rPr>
        <w:t>Ευρωπαϊκή έκθεση για τα ναρκωτικά</w:t>
      </w:r>
      <w:r w:rsidRPr="00DF2196">
        <w:rPr>
          <w:rFonts w:ascii="Arial" w:hAnsi="Arial" w:cs="Arial"/>
          <w:sz w:val="16"/>
          <w:szCs w:val="16"/>
        </w:rPr>
        <w:t xml:space="preserve"> </w:t>
      </w:r>
      <w:r w:rsidRPr="00DF2196">
        <w:rPr>
          <w:rFonts w:ascii="Arial" w:hAnsi="Arial" w:cs="Arial"/>
          <w:b/>
          <w:bCs/>
          <w:i/>
          <w:iCs/>
          <w:sz w:val="16"/>
          <w:szCs w:val="16"/>
        </w:rPr>
        <w:t>2015</w:t>
      </w:r>
      <w:r w:rsidRPr="00DF2196">
        <w:rPr>
          <w:rFonts w:ascii="Arial" w:hAnsi="Arial" w:cs="Arial"/>
          <w:sz w:val="16"/>
          <w:szCs w:val="16"/>
        </w:rPr>
        <w:t xml:space="preserve"> είναι διαθέσιμη στη διεύθυνση </w:t>
      </w:r>
      <w:hyperlink r:id="rId10">
        <w:r w:rsidRPr="00DF2196">
          <w:rPr>
            <w:rStyle w:val="Hyperlink"/>
            <w:rFonts w:cs="Arial"/>
            <w:sz w:val="16"/>
            <w:szCs w:val="16"/>
          </w:rPr>
          <w:t>www.emcdda.europa.eu/edr2015</w:t>
        </w:r>
      </w:hyperlink>
    </w:p>
    <w:p w:rsidR="0026784C" w:rsidRPr="00DF2196" w:rsidRDefault="0026784C" w:rsidP="0026784C">
      <w:pPr>
        <w:spacing w:after="0" w:line="240" w:lineRule="auto"/>
        <w:rPr>
          <w:rFonts w:ascii="Arial" w:hAnsi="Arial" w:cs="Arial"/>
          <w:sz w:val="16"/>
          <w:szCs w:val="16"/>
        </w:rPr>
      </w:pPr>
      <w:r w:rsidRPr="00DF2196">
        <w:rPr>
          <w:rFonts w:ascii="Arial" w:hAnsi="Arial" w:cs="Arial"/>
          <w:sz w:val="16"/>
          <w:szCs w:val="16"/>
        </w:rPr>
        <w:t>Τα στοιχεία που παρουσιάζονται στην έκθεση αφορούν το 2013 ή το τελευταίο διαθέσιμο έτος.</w:t>
      </w:r>
    </w:p>
    <w:p w:rsidR="0026784C" w:rsidRPr="00DF2196" w:rsidRDefault="0026784C" w:rsidP="0026784C">
      <w:pPr>
        <w:spacing w:after="0" w:line="240" w:lineRule="auto"/>
        <w:rPr>
          <w:rFonts w:ascii="Arial" w:hAnsi="Arial" w:cs="Arial"/>
          <w:sz w:val="16"/>
          <w:szCs w:val="16"/>
          <w:highlight w:val="yellow"/>
        </w:rPr>
      </w:pPr>
      <w:r w:rsidRPr="00DF2196">
        <w:rPr>
          <w:rStyle w:val="header-line-3"/>
          <w:rFonts w:ascii="Arial" w:hAnsi="Arial" w:cs="Arial"/>
          <w:sz w:val="16"/>
          <w:szCs w:val="16"/>
        </w:rPr>
        <w:t>(</w:t>
      </w:r>
      <w:r w:rsidRPr="00DF2196">
        <w:rPr>
          <w:rStyle w:val="header-line-3"/>
          <w:rFonts w:ascii="Arial" w:hAnsi="Arial" w:cs="Arial"/>
          <w:sz w:val="16"/>
          <w:szCs w:val="16"/>
          <w:vertAlign w:val="superscript"/>
        </w:rPr>
        <w:t>2</w:t>
      </w:r>
      <w:r w:rsidRPr="00DF2196">
        <w:rPr>
          <w:rStyle w:val="header-line-3"/>
          <w:rFonts w:ascii="Arial" w:hAnsi="Arial" w:cs="Arial"/>
          <w:sz w:val="16"/>
          <w:szCs w:val="16"/>
        </w:rPr>
        <w:t xml:space="preserve">) </w:t>
      </w:r>
      <w:hyperlink r:id="rId11">
        <w:r w:rsidRPr="00DF2196">
          <w:rPr>
            <w:rStyle w:val="Hyperlink"/>
            <w:rFonts w:cs="Arial"/>
            <w:sz w:val="16"/>
            <w:szCs w:val="16"/>
          </w:rPr>
          <w:t>www.unodc.org/documents/wdr2014/World_Drug_Report_2014_web.pdf</w:t>
        </w:r>
      </w:hyperlink>
    </w:p>
    <w:p w:rsidR="0026784C" w:rsidRPr="00DF2196" w:rsidRDefault="003F42E6" w:rsidP="0026784C">
      <w:pPr>
        <w:spacing w:after="0" w:line="240" w:lineRule="auto"/>
        <w:rPr>
          <w:rFonts w:ascii="Arial" w:hAnsi="Arial" w:cs="Arial"/>
          <w:sz w:val="16"/>
          <w:szCs w:val="16"/>
        </w:rPr>
      </w:pPr>
      <w:hyperlink r:id="rId12">
        <w:r w:rsidR="0026784C" w:rsidRPr="00DF2196">
          <w:rPr>
            <w:rStyle w:val="Hyperlink"/>
            <w:rFonts w:cs="Arial"/>
            <w:sz w:val="16"/>
            <w:szCs w:val="16"/>
          </w:rPr>
          <w:t>www.unodc.org/documents/crop-monitoring/Afghanistan/Afghan-opium-survey-2014.pdf</w:t>
        </w:r>
      </w:hyperlink>
    </w:p>
    <w:p w:rsidR="0026784C" w:rsidRPr="00DF2196" w:rsidRDefault="0026784C" w:rsidP="0026784C">
      <w:pPr>
        <w:spacing w:after="0" w:line="240" w:lineRule="auto"/>
        <w:rPr>
          <w:rStyle w:val="Hyperlink"/>
          <w:rFonts w:cs="Arial"/>
          <w:sz w:val="16"/>
          <w:szCs w:val="16"/>
        </w:rPr>
      </w:pPr>
      <w:r w:rsidRPr="00DF2196">
        <w:rPr>
          <w:rStyle w:val="header-line-3"/>
          <w:rFonts w:ascii="Arial" w:hAnsi="Arial" w:cs="Arial"/>
          <w:sz w:val="16"/>
          <w:szCs w:val="16"/>
        </w:rPr>
        <w:t>(</w:t>
      </w:r>
      <w:r w:rsidRPr="00DF2196">
        <w:rPr>
          <w:rStyle w:val="header-line-3"/>
          <w:rFonts w:ascii="Arial" w:hAnsi="Arial" w:cs="Arial"/>
          <w:sz w:val="16"/>
          <w:szCs w:val="16"/>
          <w:vertAlign w:val="superscript"/>
        </w:rPr>
        <w:t>3</w:t>
      </w:r>
      <w:r w:rsidRPr="00DF2196">
        <w:rPr>
          <w:rStyle w:val="header-line-3"/>
          <w:rFonts w:ascii="Arial" w:hAnsi="Arial" w:cs="Arial"/>
          <w:sz w:val="16"/>
          <w:szCs w:val="16"/>
        </w:rPr>
        <w:t xml:space="preserve">) </w:t>
      </w:r>
      <w:hyperlink r:id="rId13">
        <w:r w:rsidRPr="00DF2196">
          <w:rPr>
            <w:rStyle w:val="Hyperlink"/>
            <w:rFonts w:cs="Arial"/>
            <w:sz w:val="16"/>
            <w:szCs w:val="16"/>
          </w:rPr>
          <w:t>www.emcdda.europa.eu/news/2015/naloxone</w:t>
        </w:r>
      </w:hyperlink>
    </w:p>
    <w:p w:rsidR="0026784C" w:rsidRPr="00DF2196" w:rsidRDefault="0026784C" w:rsidP="0026784C">
      <w:pPr>
        <w:spacing w:after="0" w:line="240" w:lineRule="auto"/>
        <w:rPr>
          <w:rStyle w:val="Hyperlink"/>
          <w:rFonts w:cs="Arial"/>
          <w:sz w:val="16"/>
          <w:szCs w:val="16"/>
        </w:rPr>
      </w:pPr>
      <w:r w:rsidRPr="00DF2196">
        <w:rPr>
          <w:rStyle w:val="header-line-3"/>
          <w:rFonts w:ascii="Arial" w:hAnsi="Arial" w:cs="Arial"/>
          <w:sz w:val="16"/>
          <w:szCs w:val="16"/>
        </w:rPr>
        <w:t>(</w:t>
      </w:r>
      <w:r w:rsidRPr="00DF2196">
        <w:rPr>
          <w:rStyle w:val="header-line-3"/>
          <w:rFonts w:ascii="Arial" w:hAnsi="Arial" w:cs="Arial"/>
          <w:sz w:val="16"/>
          <w:szCs w:val="16"/>
          <w:vertAlign w:val="superscript"/>
        </w:rPr>
        <w:t>4</w:t>
      </w:r>
      <w:r w:rsidRPr="00DF2196">
        <w:rPr>
          <w:rStyle w:val="header-line-3"/>
          <w:rFonts w:ascii="Arial" w:hAnsi="Arial" w:cs="Arial"/>
          <w:sz w:val="16"/>
          <w:szCs w:val="16"/>
        </w:rPr>
        <w:t xml:space="preserve">) </w:t>
      </w:r>
      <w:hyperlink r:id="rId14">
        <w:r w:rsidRPr="00DF2196">
          <w:rPr>
            <w:rStyle w:val="Hyperlink"/>
            <w:rFonts w:cs="Arial"/>
            <w:sz w:val="16"/>
            <w:szCs w:val="16"/>
          </w:rPr>
          <w:t>www.emcdda.europa.eu/news/2015/treatment-of-cannabis-related-disorders-in-Europe</w:t>
        </w:r>
      </w:hyperlink>
    </w:p>
    <w:p w:rsidR="0026784C" w:rsidRPr="00DF2196" w:rsidRDefault="0026784C" w:rsidP="0026784C">
      <w:pPr>
        <w:spacing w:after="0" w:line="240" w:lineRule="auto"/>
        <w:rPr>
          <w:rStyle w:val="Hyperlink"/>
          <w:rFonts w:cs="Arial"/>
          <w:sz w:val="16"/>
          <w:szCs w:val="16"/>
        </w:rPr>
      </w:pPr>
    </w:p>
    <w:sectPr w:rsidR="0026784C" w:rsidRPr="00DF2196" w:rsidSect="00DF2196">
      <w:headerReference w:type="default" r:id="rId15"/>
      <w:footerReference w:type="default" r:id="rId16"/>
      <w:footerReference w:type="first" r:id="rId17"/>
      <w:type w:val="continuous"/>
      <w:pgSz w:w="11906" w:h="16838" w:code="9"/>
      <w:pgMar w:top="1135" w:right="1276" w:bottom="1135" w:left="1276" w:header="737"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6B9F" w:rsidRDefault="00B46B9F" w:rsidP="009A28FB">
      <w:pPr>
        <w:spacing w:after="0" w:line="240" w:lineRule="auto"/>
      </w:pPr>
      <w:r>
        <w:separator/>
      </w:r>
    </w:p>
  </w:endnote>
  <w:endnote w:type="continuationSeparator" w:id="0">
    <w:p w:rsidR="00B46B9F" w:rsidRDefault="00B46B9F" w:rsidP="009A28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490" w:type="dxa"/>
      <w:tblInd w:w="-5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3197"/>
      <w:gridCol w:w="7293"/>
    </w:tblGrid>
    <w:tr w:rsidR="00BF1E3B" w:rsidTr="00CF37E5">
      <w:tc>
        <w:tcPr>
          <w:tcW w:w="1444" w:type="dxa"/>
        </w:tcPr>
        <w:p w:rsidR="00BF1E3B" w:rsidRDefault="00BF1E3B" w:rsidP="00D37865">
          <w:pPr>
            <w:pStyle w:val="newsCoordinates"/>
          </w:pPr>
          <w:r>
            <w:rPr>
              <w:noProof/>
              <w:lang w:val="en-GB" w:eastAsia="en-GB"/>
            </w:rPr>
            <mc:AlternateContent>
              <mc:Choice Requires="wps">
                <w:drawing>
                  <wp:anchor distT="0" distB="0" distL="114300" distR="114300" simplePos="0" relativeHeight="251663360" behindDoc="1" locked="0" layoutInCell="1" allowOverlap="1" wp14:anchorId="3EB10307" wp14:editId="27CE07CC">
                    <wp:simplePos x="0" y="0"/>
                    <wp:positionH relativeFrom="page">
                      <wp:posOffset>35560</wp:posOffset>
                    </wp:positionH>
                    <wp:positionV relativeFrom="page">
                      <wp:posOffset>15240</wp:posOffset>
                    </wp:positionV>
                    <wp:extent cx="1" cy="108000"/>
                    <wp:effectExtent l="0" t="0" r="19050" b="25400"/>
                    <wp:wrapNone/>
                    <wp:docPr id="14" name="Straight Connector 14"/>
                    <wp:cNvGraphicFramePr/>
                    <a:graphic xmlns:a="http://schemas.openxmlformats.org/drawingml/2006/main">
                      <a:graphicData uri="http://schemas.microsoft.com/office/word/2010/wordprocessingShape">
                        <wps:wsp>
                          <wps:cNvCnPr/>
                          <wps:spPr>
                            <a:xfrm flipH="1">
                              <a:off x="0" y="0"/>
                              <a:ext cx="1" cy="108000"/>
                            </a:xfrm>
                            <a:prstGeom prst="line">
                              <a:avLst/>
                            </a:prstGeom>
                            <a:ln w="19050">
                              <a:solidFill>
                                <a:srgbClr val="00009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4" o:spid="_x0000_s1026" style="position:absolute;flip:x;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2.8pt,1.2pt" to="2.8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" strokecolor="#009" strokeweight="1.5pt">
                    <w10:wrap anchorx="page" anchory="page"/>
                  </v:line>
                </w:pict>
              </mc:Fallback>
            </mc:AlternateContent>
          </w:r>
          <w:r w:rsidRPr="00D37865">
            <w:rPr>
              <w:noProof/>
              <w:lang w:eastAsia="en-GB"/>
            </w:rPr>
            <w:t>emcdda.europa.eu</w:t>
          </w:r>
        </w:p>
      </w:tc>
      <w:tc>
        <w:tcPr>
          <w:tcW w:w="3294" w:type="dxa"/>
          <w:vAlign w:val="bottom"/>
        </w:tcPr>
        <w:p w:rsidR="00BF1E3B" w:rsidRDefault="00CF37E5" w:rsidP="001442EF">
          <w:pPr>
            <w:pStyle w:val="newsReference"/>
          </w:pPr>
          <w:r>
            <w:fldChar w:fldCharType="begin"/>
          </w:r>
          <w:r>
            <w:instrText xml:space="preserve"> PAGE   \* MERGEFORMAT </w:instrText>
          </w:r>
          <w:r>
            <w:fldChar w:fldCharType="separate"/>
          </w:r>
          <w:r w:rsidR="003F42E6">
            <w:rPr>
              <w:noProof/>
            </w:rPr>
            <w:t>2</w:t>
          </w:r>
          <w:r>
            <w:rPr>
              <w:noProof/>
            </w:rPr>
            <w:fldChar w:fldCharType="end"/>
          </w:r>
        </w:p>
      </w:tc>
    </w:tr>
  </w:tbl>
  <w:p w:rsidR="00BF1E3B" w:rsidRDefault="00BF1E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065" w:type="dxa"/>
      <w:tblInd w:w="-5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7196"/>
      <w:gridCol w:w="2869"/>
    </w:tblGrid>
    <w:tr w:rsidR="0063677C" w:rsidTr="00F01CD2">
      <w:tc>
        <w:tcPr>
          <w:tcW w:w="7196" w:type="dxa"/>
        </w:tcPr>
        <w:p w:rsidR="0063677C" w:rsidRDefault="00837F8F" w:rsidP="003B00EE">
          <w:pPr>
            <w:pStyle w:val="newsCoordinates"/>
          </w:pPr>
          <w:r w:rsidRPr="00837F8F">
            <w:t>Επικοινωνία: Kathy Robertson, Σχέσεις με τα μέσα ενημέρωσης</w:t>
          </w:r>
          <w:r w:rsidR="0063677C">
            <w:rPr>
              <w:noProof/>
              <w:lang w:val="en-GB" w:eastAsia="en-GB"/>
            </w:rPr>
            <mc:AlternateContent>
              <mc:Choice Requires="wps">
                <w:drawing>
                  <wp:anchor distT="0" distB="0" distL="114300" distR="114300" simplePos="0" relativeHeight="251665408" behindDoc="1" locked="0" layoutInCell="1" allowOverlap="1" wp14:anchorId="260DF84D" wp14:editId="00FB57A0">
                    <wp:simplePos x="0" y="0"/>
                    <wp:positionH relativeFrom="page">
                      <wp:posOffset>32385</wp:posOffset>
                    </wp:positionH>
                    <wp:positionV relativeFrom="page">
                      <wp:posOffset>-14605</wp:posOffset>
                    </wp:positionV>
                    <wp:extent cx="0" cy="431800"/>
                    <wp:effectExtent l="0" t="0" r="19050" b="25400"/>
                    <wp:wrapNone/>
                    <wp:docPr id="4" name="Straight Connector 4"/>
                    <wp:cNvGraphicFramePr/>
                    <a:graphic xmlns:a="http://schemas.openxmlformats.org/drawingml/2006/main">
                      <a:graphicData uri="http://schemas.microsoft.com/office/word/2010/wordprocessingShape">
                        <wps:wsp>
                          <wps:cNvCnPr/>
                          <wps:spPr>
                            <a:xfrm>
                              <a:off x="0" y="0"/>
                              <a:ext cx="0" cy="431800"/>
                            </a:xfrm>
                            <a:prstGeom prst="line">
                              <a:avLst/>
                            </a:prstGeom>
                            <a:ln w="19050">
                              <a:solidFill>
                                <a:srgbClr val="000099"/>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4" o:spid="_x0000_s1026" style="position:absolute;z-index:-251651072;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 from="2.55pt,-1.15pt" to="2.55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" strokecolor="#009" strokeweight="1.5pt">
                    <w10:wrap anchorx="page" anchory="page"/>
                  </v:line>
                </w:pict>
              </mc:Fallback>
            </mc:AlternateContent>
          </w:r>
          <w:r w:rsidR="0063677C">
            <w:t xml:space="preserve"> </w:t>
          </w:r>
        </w:p>
        <w:p w:rsidR="0063677C" w:rsidRPr="00B46B9F" w:rsidRDefault="00837F8F" w:rsidP="003B00EE">
          <w:pPr>
            <w:pStyle w:val="newsCoordinates"/>
            <w:rPr>
              <w:lang w:val="pt-PT"/>
            </w:rPr>
          </w:pPr>
          <w:r w:rsidRPr="00B46B9F">
            <w:rPr>
              <w:lang w:val="pt-PT"/>
            </w:rPr>
            <w:t xml:space="preserve">Praça Europa 1, Cais do Sodré, 1249-289 </w:t>
          </w:r>
          <w:r w:rsidRPr="00837F8F">
            <w:t>Λισαβόνα</w:t>
          </w:r>
          <w:r w:rsidRPr="00B46B9F">
            <w:rPr>
              <w:lang w:val="pt-PT"/>
            </w:rPr>
            <w:t xml:space="preserve">, </w:t>
          </w:r>
          <w:r w:rsidRPr="00837F8F">
            <w:t>Πορτογαλία</w:t>
          </w:r>
        </w:p>
        <w:p w:rsidR="0063677C" w:rsidRDefault="00837F8F" w:rsidP="00837F8F">
          <w:pPr>
            <w:pStyle w:val="newsCoordinates"/>
          </w:pPr>
          <w:proofErr w:type="spellStart"/>
          <w:r w:rsidRPr="00837F8F">
            <w:t>Tηλ</w:t>
          </w:r>
          <w:proofErr w:type="spellEnd"/>
          <w:r w:rsidRPr="00837F8F">
            <w:t>. (351) 211 21 02</w:t>
          </w:r>
          <w:r w:rsidR="00944227" w:rsidRPr="00944227">
            <w:t xml:space="preserve"> 00</w:t>
          </w:r>
          <w:r w:rsidR="0063677C">
            <w:t xml:space="preserve"> </w:t>
          </w:r>
          <w:r w:rsidR="0063677C" w:rsidRPr="00FC0187">
            <w:rPr>
              <w:sz w:val="18"/>
            </w:rPr>
            <w:t xml:space="preserve">I </w:t>
          </w:r>
          <w:r w:rsidR="0063677C">
            <w:t xml:space="preserve">press@emcdda.europa.eu </w:t>
          </w:r>
          <w:r w:rsidR="0063677C" w:rsidRPr="00FC0187">
            <w:rPr>
              <w:sz w:val="18"/>
            </w:rPr>
            <w:t>I</w:t>
          </w:r>
          <w:r w:rsidR="0063677C">
            <w:t xml:space="preserve"> emcdda.europa.eu</w:t>
          </w:r>
        </w:p>
      </w:tc>
      <w:tc>
        <w:tcPr>
          <w:tcW w:w="2869" w:type="dxa"/>
          <w:vAlign w:val="bottom"/>
        </w:tcPr>
        <w:p w:rsidR="0063677C" w:rsidRDefault="001442EF" w:rsidP="001442EF">
          <w:pPr>
            <w:pStyle w:val="newsReference"/>
          </w:pPr>
          <w:r>
            <w:t xml:space="preserve">EL — Αρ. </w:t>
          </w:r>
          <w:r>
            <w:rPr>
              <w:lang w:val="en-GB"/>
            </w:rPr>
            <w:t>4</w:t>
          </w:r>
          <w:r w:rsidR="00837F8F" w:rsidRPr="00837F8F">
            <w:t>/</w:t>
          </w:r>
          <w:r>
            <w:rPr>
              <w:lang w:val="en-GB"/>
            </w:rPr>
            <w:t>2015</w:t>
          </w:r>
        </w:p>
      </w:tc>
    </w:tr>
  </w:tbl>
  <w:p w:rsidR="0063677C" w:rsidRDefault="006367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6B9F" w:rsidRDefault="00B46B9F" w:rsidP="009A28FB">
      <w:pPr>
        <w:spacing w:after="0" w:line="240" w:lineRule="auto"/>
      </w:pPr>
      <w:r>
        <w:separator/>
      </w:r>
    </w:p>
  </w:footnote>
  <w:footnote w:type="continuationSeparator" w:id="0">
    <w:p w:rsidR="00B46B9F" w:rsidRDefault="00B46B9F" w:rsidP="009A28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632" w:type="dxa"/>
      <w:tblInd w:w="-5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9923"/>
      <w:gridCol w:w="709"/>
    </w:tblGrid>
    <w:tr w:rsidR="00BF1E3B" w:rsidTr="00F01CD2">
      <w:tc>
        <w:tcPr>
          <w:tcW w:w="9923" w:type="dxa"/>
        </w:tcPr>
        <w:p w:rsidR="00BF1E3B" w:rsidRPr="00F01CD2" w:rsidRDefault="001442EF" w:rsidP="00CC4FDA">
          <w:pPr>
            <w:pStyle w:val="newsEmbargo"/>
            <w:rPr>
              <w:sz w:val="16"/>
              <w:szCs w:val="16"/>
            </w:rPr>
          </w:pPr>
          <w:r w:rsidRPr="00F01CD2">
            <w:rPr>
              <w:noProof/>
              <w:sz w:val="16"/>
              <w:szCs w:val="16"/>
            </w:rPr>
            <w:t>Ευρωπαϊκή έκθεση για τα ναρκωτικά 2015 I</w:t>
          </w:r>
          <w:r w:rsidRPr="00F01CD2">
            <w:rPr>
              <w:sz w:val="16"/>
              <w:szCs w:val="16"/>
            </w:rPr>
            <w:t xml:space="preserve"> </w:t>
          </w:r>
          <w:r w:rsidRPr="00F01CD2">
            <w:rPr>
              <w:b/>
              <w:bCs/>
              <w:noProof/>
              <w:color w:val="FF0000"/>
              <w:sz w:val="16"/>
              <w:szCs w:val="16"/>
            </w:rPr>
            <w:t>ΑΠΑΓΟΡΕΥΕΤΑΙ Η ΔΗΜΟΣΙΕΥΣΗ ΕΩΣ 10:00 ώρα Δυτικής Ευρώπης/ώρα Λισαβόνας</w:t>
          </w:r>
        </w:p>
      </w:tc>
      <w:tc>
        <w:tcPr>
          <w:tcW w:w="709" w:type="dxa"/>
          <w:vAlign w:val="bottom"/>
        </w:tcPr>
        <w:p w:rsidR="00BF1E3B" w:rsidRDefault="001442EF" w:rsidP="001442EF">
          <w:pPr>
            <w:pStyle w:val="newsReference"/>
          </w:pPr>
          <w:r>
            <w:rPr>
              <w:lang w:val="en-GB"/>
            </w:rPr>
            <w:t>4.6.2015</w:t>
          </w:r>
        </w:p>
      </w:tc>
    </w:tr>
  </w:tbl>
  <w:p w:rsidR="00BF1E3B" w:rsidRDefault="00BF1E3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20"/>
  <w:drawingGridHorizontalSpacing w:val="11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B9F"/>
    <w:rsid w:val="00014E8E"/>
    <w:rsid w:val="00036DAA"/>
    <w:rsid w:val="000535B7"/>
    <w:rsid w:val="00067DD3"/>
    <w:rsid w:val="00075735"/>
    <w:rsid w:val="000C6200"/>
    <w:rsid w:val="000D25B6"/>
    <w:rsid w:val="00105BFC"/>
    <w:rsid w:val="00107C96"/>
    <w:rsid w:val="001442EF"/>
    <w:rsid w:val="0017713E"/>
    <w:rsid w:val="001800D0"/>
    <w:rsid w:val="001A3338"/>
    <w:rsid w:val="001C795A"/>
    <w:rsid w:val="001D5C26"/>
    <w:rsid w:val="001E39A7"/>
    <w:rsid w:val="001F5A16"/>
    <w:rsid w:val="001F70B4"/>
    <w:rsid w:val="00223753"/>
    <w:rsid w:val="002557B0"/>
    <w:rsid w:val="002646E4"/>
    <w:rsid w:val="0026784C"/>
    <w:rsid w:val="0027252D"/>
    <w:rsid w:val="00274241"/>
    <w:rsid w:val="0028141E"/>
    <w:rsid w:val="002948E2"/>
    <w:rsid w:val="002A61F7"/>
    <w:rsid w:val="002B05CE"/>
    <w:rsid w:val="002B45AC"/>
    <w:rsid w:val="0030486D"/>
    <w:rsid w:val="00317B5A"/>
    <w:rsid w:val="0033158E"/>
    <w:rsid w:val="0036121D"/>
    <w:rsid w:val="00387D02"/>
    <w:rsid w:val="003B41B1"/>
    <w:rsid w:val="003C0395"/>
    <w:rsid w:val="003F42E6"/>
    <w:rsid w:val="004137B0"/>
    <w:rsid w:val="004221D3"/>
    <w:rsid w:val="0044111C"/>
    <w:rsid w:val="00445080"/>
    <w:rsid w:val="0045468D"/>
    <w:rsid w:val="00474AC8"/>
    <w:rsid w:val="004847FB"/>
    <w:rsid w:val="004C3028"/>
    <w:rsid w:val="004D6E0C"/>
    <w:rsid w:val="005028A6"/>
    <w:rsid w:val="00520EF1"/>
    <w:rsid w:val="00542CEE"/>
    <w:rsid w:val="005A0DC8"/>
    <w:rsid w:val="005B05A0"/>
    <w:rsid w:val="005B0882"/>
    <w:rsid w:val="005B1B63"/>
    <w:rsid w:val="005B4844"/>
    <w:rsid w:val="005C4033"/>
    <w:rsid w:val="006116D9"/>
    <w:rsid w:val="00623A55"/>
    <w:rsid w:val="0063677C"/>
    <w:rsid w:val="00666A63"/>
    <w:rsid w:val="0069096E"/>
    <w:rsid w:val="006C5AFC"/>
    <w:rsid w:val="007003A8"/>
    <w:rsid w:val="00730132"/>
    <w:rsid w:val="00773814"/>
    <w:rsid w:val="00776B9A"/>
    <w:rsid w:val="00791F09"/>
    <w:rsid w:val="007920E3"/>
    <w:rsid w:val="007927D2"/>
    <w:rsid w:val="007B0E03"/>
    <w:rsid w:val="007B1CCD"/>
    <w:rsid w:val="00813FB5"/>
    <w:rsid w:val="00837F8F"/>
    <w:rsid w:val="00841E86"/>
    <w:rsid w:val="00860C28"/>
    <w:rsid w:val="00881730"/>
    <w:rsid w:val="008B781D"/>
    <w:rsid w:val="008C1172"/>
    <w:rsid w:val="008D54B3"/>
    <w:rsid w:val="008F177B"/>
    <w:rsid w:val="008F399E"/>
    <w:rsid w:val="00902300"/>
    <w:rsid w:val="00944227"/>
    <w:rsid w:val="00955F0C"/>
    <w:rsid w:val="00974A27"/>
    <w:rsid w:val="009A28FB"/>
    <w:rsid w:val="009C0174"/>
    <w:rsid w:val="009D4461"/>
    <w:rsid w:val="009D6255"/>
    <w:rsid w:val="00A0788A"/>
    <w:rsid w:val="00A311EF"/>
    <w:rsid w:val="00A3254D"/>
    <w:rsid w:val="00A661E2"/>
    <w:rsid w:val="00A843D2"/>
    <w:rsid w:val="00A856B7"/>
    <w:rsid w:val="00AD7BFC"/>
    <w:rsid w:val="00AE093C"/>
    <w:rsid w:val="00AE1738"/>
    <w:rsid w:val="00AF13B3"/>
    <w:rsid w:val="00AF259D"/>
    <w:rsid w:val="00B11B73"/>
    <w:rsid w:val="00B272F1"/>
    <w:rsid w:val="00B46B9F"/>
    <w:rsid w:val="00B51E08"/>
    <w:rsid w:val="00B57464"/>
    <w:rsid w:val="00B61036"/>
    <w:rsid w:val="00B72DD3"/>
    <w:rsid w:val="00B7335C"/>
    <w:rsid w:val="00B97BC5"/>
    <w:rsid w:val="00BB60CF"/>
    <w:rsid w:val="00BF1E3B"/>
    <w:rsid w:val="00BF340A"/>
    <w:rsid w:val="00C36BC1"/>
    <w:rsid w:val="00C426F8"/>
    <w:rsid w:val="00C628C4"/>
    <w:rsid w:val="00C63254"/>
    <w:rsid w:val="00C874C0"/>
    <w:rsid w:val="00C9589B"/>
    <w:rsid w:val="00CA2FF5"/>
    <w:rsid w:val="00CB49DA"/>
    <w:rsid w:val="00CC4FDA"/>
    <w:rsid w:val="00CC6A8B"/>
    <w:rsid w:val="00CF37E5"/>
    <w:rsid w:val="00D01335"/>
    <w:rsid w:val="00D03EC6"/>
    <w:rsid w:val="00D3312B"/>
    <w:rsid w:val="00D37865"/>
    <w:rsid w:val="00D57367"/>
    <w:rsid w:val="00D84AE3"/>
    <w:rsid w:val="00D92A34"/>
    <w:rsid w:val="00DC3DD2"/>
    <w:rsid w:val="00DF2196"/>
    <w:rsid w:val="00E233F5"/>
    <w:rsid w:val="00E57C9D"/>
    <w:rsid w:val="00E66CCD"/>
    <w:rsid w:val="00E76AD8"/>
    <w:rsid w:val="00E81F3D"/>
    <w:rsid w:val="00E83FC3"/>
    <w:rsid w:val="00E84EB5"/>
    <w:rsid w:val="00EB4316"/>
    <w:rsid w:val="00EE23CC"/>
    <w:rsid w:val="00F01CD2"/>
    <w:rsid w:val="00F05167"/>
    <w:rsid w:val="00F06CDE"/>
    <w:rsid w:val="00F21CA9"/>
    <w:rsid w:val="00F24096"/>
    <w:rsid w:val="00F249CD"/>
    <w:rsid w:val="00F414EF"/>
    <w:rsid w:val="00F47542"/>
    <w:rsid w:val="00FB351B"/>
    <w:rsid w:val="00FC0187"/>
    <w:rsid w:val="00FE3721"/>
    <w:rsid w:val="00FE4789"/>
    <w:rsid w:val="00FF17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28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28FB"/>
    <w:rPr>
      <w:rFonts w:ascii="Tahoma" w:hAnsi="Tahoma" w:cs="Tahoma"/>
      <w:sz w:val="16"/>
      <w:szCs w:val="16"/>
    </w:rPr>
  </w:style>
  <w:style w:type="paragraph" w:customStyle="1" w:styleId="newsTitle">
    <w:name w:val="newsTitle"/>
    <w:basedOn w:val="Normal"/>
    <w:autoRedefine/>
    <w:qFormat/>
    <w:rsid w:val="00F05167"/>
    <w:pPr>
      <w:tabs>
        <w:tab w:val="left" w:pos="5205"/>
      </w:tabs>
      <w:spacing w:before="240" w:after="112" w:line="300" w:lineRule="exact"/>
    </w:pPr>
    <w:rPr>
      <w:rFonts w:ascii="Arial" w:hAnsi="Arial"/>
      <w:caps/>
    </w:rPr>
  </w:style>
  <w:style w:type="paragraph" w:styleId="Header">
    <w:name w:val="header"/>
    <w:basedOn w:val="Normal"/>
    <w:link w:val="HeaderChar"/>
    <w:uiPriority w:val="99"/>
    <w:unhideWhenUsed/>
    <w:rsid w:val="00FE37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FE3721"/>
  </w:style>
  <w:style w:type="paragraph" w:styleId="Footer">
    <w:name w:val="footer"/>
    <w:basedOn w:val="Normal"/>
    <w:link w:val="FooterChar"/>
    <w:uiPriority w:val="99"/>
    <w:unhideWhenUsed/>
    <w:rsid w:val="009A28FB"/>
    <w:pPr>
      <w:tabs>
        <w:tab w:val="center" w:pos="4536"/>
        <w:tab w:val="right" w:pos="9072"/>
      </w:tabs>
      <w:spacing w:after="0" w:line="240" w:lineRule="auto"/>
    </w:pPr>
  </w:style>
  <w:style w:type="character" w:customStyle="1" w:styleId="FooterChar">
    <w:name w:val="Footer Char"/>
    <w:basedOn w:val="DefaultParagraphFont"/>
    <w:link w:val="Footer"/>
    <w:uiPriority w:val="99"/>
    <w:rsid w:val="009A28FB"/>
  </w:style>
  <w:style w:type="character" w:styleId="Hyperlink">
    <w:name w:val="Hyperlink"/>
    <w:basedOn w:val="DefaultParagraphFont"/>
    <w:uiPriority w:val="99"/>
    <w:unhideWhenUsed/>
    <w:qFormat/>
    <w:rsid w:val="00A661E2"/>
    <w:rPr>
      <w:rFonts w:ascii="Arial" w:hAnsi="Arial"/>
      <w:b w:val="0"/>
      <w:i w:val="0"/>
      <w:color w:val="003399"/>
      <w:sz w:val="17"/>
      <w:u w:val="none"/>
    </w:rPr>
  </w:style>
  <w:style w:type="paragraph" w:customStyle="1" w:styleId="newsSubTitle">
    <w:name w:val="newsSubTitle"/>
    <w:basedOn w:val="Normal"/>
    <w:autoRedefine/>
    <w:qFormat/>
    <w:rsid w:val="009D4461"/>
    <w:pPr>
      <w:spacing w:after="300" w:line="300" w:lineRule="exact"/>
    </w:pPr>
    <w:rPr>
      <w:rFonts w:ascii="Arial" w:hAnsi="Arial"/>
      <w:b/>
      <w:sz w:val="24"/>
      <w:szCs w:val="24"/>
    </w:rPr>
  </w:style>
  <w:style w:type="paragraph" w:customStyle="1" w:styleId="newsContent">
    <w:name w:val="newsContent"/>
    <w:basedOn w:val="Normal"/>
    <w:link w:val="newsContentChar"/>
    <w:autoRedefine/>
    <w:uiPriority w:val="99"/>
    <w:qFormat/>
    <w:rsid w:val="00837F8F"/>
    <w:pPr>
      <w:spacing w:after="260" w:line="260" w:lineRule="exact"/>
    </w:pPr>
    <w:rPr>
      <w:rFonts w:ascii="Arial" w:hAnsi="Arial"/>
      <w:color w:val="000000" w:themeColor="text1"/>
      <w:sz w:val="20"/>
    </w:rPr>
  </w:style>
  <w:style w:type="paragraph" w:customStyle="1" w:styleId="newsAddress">
    <w:name w:val="newsAddress"/>
    <w:basedOn w:val="Footer"/>
    <w:autoRedefine/>
    <w:qFormat/>
    <w:rsid w:val="00FE3721"/>
    <w:pPr>
      <w:framePr w:wrap="around" w:vAnchor="text" w:hAnchor="page" w:x="852" w:y="1"/>
      <w:tabs>
        <w:tab w:val="clear" w:pos="9072"/>
        <w:tab w:val="right" w:pos="7371"/>
      </w:tabs>
      <w:spacing w:line="200" w:lineRule="exact"/>
    </w:pPr>
    <w:rPr>
      <w:rFonts w:ascii="Arial" w:hAnsi="Arial"/>
      <w:sz w:val="14"/>
    </w:rPr>
  </w:style>
  <w:style w:type="paragraph" w:customStyle="1" w:styleId="newsReference">
    <w:name w:val="newsReference"/>
    <w:basedOn w:val="Normal"/>
    <w:autoRedefine/>
    <w:qFormat/>
    <w:rsid w:val="001442EF"/>
    <w:pPr>
      <w:spacing w:after="0" w:line="200" w:lineRule="exact"/>
      <w:ind w:left="368" w:hanging="368"/>
      <w:jc w:val="right"/>
    </w:pPr>
    <w:rPr>
      <w:rFonts w:ascii="Arial" w:hAnsi="Arial"/>
      <w:sz w:val="14"/>
    </w:rPr>
  </w:style>
  <w:style w:type="paragraph" w:customStyle="1" w:styleId="newsRef">
    <w:name w:val="newsRef"/>
    <w:basedOn w:val="newsAddress"/>
    <w:autoRedefine/>
    <w:qFormat/>
    <w:rsid w:val="00B97BC5"/>
    <w:pPr>
      <w:framePr w:wrap="around"/>
      <w:tabs>
        <w:tab w:val="clear" w:pos="4536"/>
        <w:tab w:val="right" w:pos="6946"/>
        <w:tab w:val="left" w:pos="8505"/>
      </w:tabs>
      <w:ind w:right="-569"/>
    </w:pPr>
  </w:style>
  <w:style w:type="character" w:styleId="PlaceholderText">
    <w:name w:val="Placeholder Text"/>
    <w:basedOn w:val="DefaultParagraphFont"/>
    <w:uiPriority w:val="99"/>
    <w:semiHidden/>
    <w:rsid w:val="00730132"/>
    <w:rPr>
      <w:color w:val="808080"/>
    </w:rPr>
  </w:style>
  <w:style w:type="paragraph" w:customStyle="1" w:styleId="newsCoordinates">
    <w:name w:val="newsCoordinates"/>
    <w:basedOn w:val="Footer"/>
    <w:autoRedefine/>
    <w:qFormat/>
    <w:rsid w:val="00837F8F"/>
    <w:pPr>
      <w:tabs>
        <w:tab w:val="clear" w:pos="9072"/>
        <w:tab w:val="right" w:pos="8222"/>
      </w:tabs>
      <w:spacing w:line="200" w:lineRule="exact"/>
      <w:ind w:left="84"/>
    </w:pPr>
    <w:rPr>
      <w:rFonts w:ascii="Arial" w:hAnsi="Arial"/>
      <w:sz w:val="14"/>
    </w:rPr>
  </w:style>
  <w:style w:type="paragraph" w:customStyle="1" w:styleId="newsEmbargo">
    <w:name w:val="newsEmbargo"/>
    <w:basedOn w:val="newsCoordinates"/>
    <w:autoRedefine/>
    <w:qFormat/>
    <w:rsid w:val="00837F8F"/>
    <w:rPr>
      <w:color w:val="000000" w:themeColor="text1"/>
      <w:sz w:val="15"/>
    </w:rPr>
  </w:style>
  <w:style w:type="paragraph" w:customStyle="1" w:styleId="newsDate">
    <w:name w:val="newsDate"/>
    <w:basedOn w:val="newsEmbargo"/>
    <w:autoRedefine/>
    <w:qFormat/>
    <w:rsid w:val="00B97BC5"/>
    <w:pPr>
      <w:jc w:val="center"/>
    </w:pPr>
  </w:style>
  <w:style w:type="paragraph" w:customStyle="1" w:styleId="newsNotes">
    <w:name w:val="newsNotes"/>
    <w:basedOn w:val="newsContent"/>
    <w:link w:val="newsNotesChar"/>
    <w:autoRedefine/>
    <w:qFormat/>
    <w:rsid w:val="00837F8F"/>
    <w:pPr>
      <w:spacing w:after="0" w:line="220" w:lineRule="exact"/>
    </w:pPr>
    <w:rPr>
      <w:color w:val="auto"/>
      <w:sz w:val="17"/>
    </w:rPr>
  </w:style>
  <w:style w:type="table" w:styleId="TableGrid">
    <w:name w:val="Table Grid"/>
    <w:basedOn w:val="TableNormal"/>
    <w:uiPriority w:val="59"/>
    <w:rsid w:val="00FE4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x">
    <w:name w:val="Textbox"/>
    <w:rsid w:val="00D84AE3"/>
    <w:pPr>
      <w:spacing w:after="0" w:line="240" w:lineRule="auto"/>
    </w:pPr>
    <w:rPr>
      <w:rFonts w:ascii="Comic Sans MS" w:eastAsia="Times New Roman" w:hAnsi="Comic Sans MS" w:cs="Times New Roman"/>
      <w:color w:val="0000FF"/>
      <w:sz w:val="24"/>
      <w:szCs w:val="20"/>
      <w:lang w:val="en-US"/>
    </w:rPr>
  </w:style>
  <w:style w:type="paragraph" w:customStyle="1" w:styleId="newsNotesNumber">
    <w:name w:val="newsNotesNumber"/>
    <w:basedOn w:val="newsNotes"/>
    <w:next w:val="Normal"/>
    <w:link w:val="newsNotesNumberChar"/>
    <w:autoRedefine/>
    <w:qFormat/>
    <w:rsid w:val="00CB49DA"/>
    <w:rPr>
      <w:vertAlign w:val="superscript"/>
    </w:rPr>
  </w:style>
  <w:style w:type="character" w:customStyle="1" w:styleId="newsContentChar">
    <w:name w:val="newsContent Char"/>
    <w:basedOn w:val="DefaultParagraphFont"/>
    <w:link w:val="newsContent"/>
    <w:uiPriority w:val="99"/>
    <w:rsid w:val="00837F8F"/>
    <w:rPr>
      <w:rFonts w:ascii="Arial" w:hAnsi="Arial"/>
      <w:color w:val="000000" w:themeColor="text1"/>
      <w:sz w:val="20"/>
      <w:lang w:val="el-GR"/>
    </w:rPr>
  </w:style>
  <w:style w:type="character" w:customStyle="1" w:styleId="newsNotesChar">
    <w:name w:val="newsNotes Char"/>
    <w:basedOn w:val="newsContentChar"/>
    <w:link w:val="newsNotes"/>
    <w:rsid w:val="00837F8F"/>
    <w:rPr>
      <w:rFonts w:ascii="Arial" w:hAnsi="Arial"/>
      <w:color w:val="000000" w:themeColor="text1"/>
      <w:sz w:val="17"/>
      <w:lang w:val="el-GR"/>
    </w:rPr>
  </w:style>
  <w:style w:type="character" w:customStyle="1" w:styleId="newsNotesNumberChar">
    <w:name w:val="newsNotesNumber Char"/>
    <w:basedOn w:val="newsNotesChar"/>
    <w:link w:val="newsNotesNumber"/>
    <w:rsid w:val="00CB49DA"/>
    <w:rPr>
      <w:rFonts w:ascii="Arial" w:hAnsi="Arial"/>
      <w:color w:val="000000" w:themeColor="text1"/>
      <w:sz w:val="17"/>
      <w:vertAlign w:val="superscript"/>
      <w:lang w:val="el-GR"/>
    </w:rPr>
  </w:style>
  <w:style w:type="paragraph" w:styleId="CommentText">
    <w:name w:val="annotation text"/>
    <w:basedOn w:val="Normal"/>
    <w:link w:val="CommentTextChar"/>
    <w:uiPriority w:val="99"/>
    <w:rsid w:val="0026784C"/>
    <w:pPr>
      <w:spacing w:line="240" w:lineRule="auto"/>
    </w:pPr>
    <w:rPr>
      <w:rFonts w:ascii="Arial" w:eastAsia="Calibri" w:hAnsi="Arial" w:cs="Arial"/>
      <w:sz w:val="20"/>
      <w:szCs w:val="20"/>
      <w:lang w:eastAsia="el-GR"/>
    </w:rPr>
  </w:style>
  <w:style w:type="character" w:customStyle="1" w:styleId="CommentTextChar">
    <w:name w:val="Comment Text Char"/>
    <w:basedOn w:val="DefaultParagraphFont"/>
    <w:link w:val="CommentText"/>
    <w:uiPriority w:val="99"/>
    <w:rsid w:val="0026784C"/>
    <w:rPr>
      <w:rFonts w:ascii="Arial" w:eastAsia="Calibri" w:hAnsi="Arial" w:cs="Arial"/>
      <w:sz w:val="20"/>
      <w:szCs w:val="20"/>
      <w:lang w:val="el-GR" w:eastAsia="el-GR"/>
    </w:rPr>
  </w:style>
  <w:style w:type="character" w:customStyle="1" w:styleId="header-line-3">
    <w:name w:val="header-line-3"/>
    <w:uiPriority w:val="99"/>
    <w:rsid w:val="0026784C"/>
  </w:style>
  <w:style w:type="paragraph" w:styleId="NormalWeb">
    <w:name w:val="Normal (Web)"/>
    <w:basedOn w:val="Normal"/>
    <w:uiPriority w:val="99"/>
    <w:rsid w:val="0026784C"/>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CommentReference">
    <w:name w:val="annotation reference"/>
    <w:basedOn w:val="DefaultParagraphFont"/>
    <w:uiPriority w:val="99"/>
    <w:semiHidden/>
    <w:unhideWhenUsed/>
    <w:rsid w:val="009C0174"/>
    <w:rPr>
      <w:sz w:val="16"/>
      <w:szCs w:val="16"/>
    </w:rPr>
  </w:style>
  <w:style w:type="paragraph" w:styleId="CommentSubject">
    <w:name w:val="annotation subject"/>
    <w:basedOn w:val="CommentText"/>
    <w:next w:val="CommentText"/>
    <w:link w:val="CommentSubjectChar"/>
    <w:uiPriority w:val="99"/>
    <w:semiHidden/>
    <w:unhideWhenUsed/>
    <w:rsid w:val="009C0174"/>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9C0174"/>
    <w:rPr>
      <w:rFonts w:ascii="Arial" w:eastAsia="Calibri" w:hAnsi="Arial" w:cs="Arial"/>
      <w:b/>
      <w:bCs/>
      <w:sz w:val="20"/>
      <w:szCs w:val="20"/>
      <w:lang w:val="el-GR"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28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28FB"/>
    <w:rPr>
      <w:rFonts w:ascii="Tahoma" w:hAnsi="Tahoma" w:cs="Tahoma"/>
      <w:sz w:val="16"/>
      <w:szCs w:val="16"/>
    </w:rPr>
  </w:style>
  <w:style w:type="paragraph" w:customStyle="1" w:styleId="newsTitle">
    <w:name w:val="newsTitle"/>
    <w:basedOn w:val="Normal"/>
    <w:autoRedefine/>
    <w:qFormat/>
    <w:rsid w:val="00F05167"/>
    <w:pPr>
      <w:tabs>
        <w:tab w:val="left" w:pos="5205"/>
      </w:tabs>
      <w:spacing w:before="240" w:after="112" w:line="300" w:lineRule="exact"/>
    </w:pPr>
    <w:rPr>
      <w:rFonts w:ascii="Arial" w:hAnsi="Arial"/>
      <w:caps/>
    </w:rPr>
  </w:style>
  <w:style w:type="paragraph" w:styleId="Header">
    <w:name w:val="header"/>
    <w:basedOn w:val="Normal"/>
    <w:link w:val="HeaderChar"/>
    <w:uiPriority w:val="99"/>
    <w:unhideWhenUsed/>
    <w:rsid w:val="00FE37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FE3721"/>
  </w:style>
  <w:style w:type="paragraph" w:styleId="Footer">
    <w:name w:val="footer"/>
    <w:basedOn w:val="Normal"/>
    <w:link w:val="FooterChar"/>
    <w:uiPriority w:val="99"/>
    <w:unhideWhenUsed/>
    <w:rsid w:val="009A28FB"/>
    <w:pPr>
      <w:tabs>
        <w:tab w:val="center" w:pos="4536"/>
        <w:tab w:val="right" w:pos="9072"/>
      </w:tabs>
      <w:spacing w:after="0" w:line="240" w:lineRule="auto"/>
    </w:pPr>
  </w:style>
  <w:style w:type="character" w:customStyle="1" w:styleId="FooterChar">
    <w:name w:val="Footer Char"/>
    <w:basedOn w:val="DefaultParagraphFont"/>
    <w:link w:val="Footer"/>
    <w:uiPriority w:val="99"/>
    <w:rsid w:val="009A28FB"/>
  </w:style>
  <w:style w:type="character" w:styleId="Hyperlink">
    <w:name w:val="Hyperlink"/>
    <w:basedOn w:val="DefaultParagraphFont"/>
    <w:uiPriority w:val="99"/>
    <w:unhideWhenUsed/>
    <w:qFormat/>
    <w:rsid w:val="00A661E2"/>
    <w:rPr>
      <w:rFonts w:ascii="Arial" w:hAnsi="Arial"/>
      <w:b w:val="0"/>
      <w:i w:val="0"/>
      <w:color w:val="003399"/>
      <w:sz w:val="17"/>
      <w:u w:val="none"/>
    </w:rPr>
  </w:style>
  <w:style w:type="paragraph" w:customStyle="1" w:styleId="newsSubTitle">
    <w:name w:val="newsSubTitle"/>
    <w:basedOn w:val="Normal"/>
    <w:autoRedefine/>
    <w:qFormat/>
    <w:rsid w:val="009D4461"/>
    <w:pPr>
      <w:spacing w:after="300" w:line="300" w:lineRule="exact"/>
    </w:pPr>
    <w:rPr>
      <w:rFonts w:ascii="Arial" w:hAnsi="Arial"/>
      <w:b/>
      <w:sz w:val="24"/>
      <w:szCs w:val="24"/>
    </w:rPr>
  </w:style>
  <w:style w:type="paragraph" w:customStyle="1" w:styleId="newsContent">
    <w:name w:val="newsContent"/>
    <w:basedOn w:val="Normal"/>
    <w:link w:val="newsContentChar"/>
    <w:autoRedefine/>
    <w:uiPriority w:val="99"/>
    <w:qFormat/>
    <w:rsid w:val="00837F8F"/>
    <w:pPr>
      <w:spacing w:after="260" w:line="260" w:lineRule="exact"/>
    </w:pPr>
    <w:rPr>
      <w:rFonts w:ascii="Arial" w:hAnsi="Arial"/>
      <w:color w:val="000000" w:themeColor="text1"/>
      <w:sz w:val="20"/>
    </w:rPr>
  </w:style>
  <w:style w:type="paragraph" w:customStyle="1" w:styleId="newsAddress">
    <w:name w:val="newsAddress"/>
    <w:basedOn w:val="Footer"/>
    <w:autoRedefine/>
    <w:qFormat/>
    <w:rsid w:val="00FE3721"/>
    <w:pPr>
      <w:framePr w:wrap="around" w:vAnchor="text" w:hAnchor="page" w:x="852" w:y="1"/>
      <w:tabs>
        <w:tab w:val="clear" w:pos="9072"/>
        <w:tab w:val="right" w:pos="7371"/>
      </w:tabs>
      <w:spacing w:line="200" w:lineRule="exact"/>
    </w:pPr>
    <w:rPr>
      <w:rFonts w:ascii="Arial" w:hAnsi="Arial"/>
      <w:sz w:val="14"/>
    </w:rPr>
  </w:style>
  <w:style w:type="paragraph" w:customStyle="1" w:styleId="newsReference">
    <w:name w:val="newsReference"/>
    <w:basedOn w:val="Normal"/>
    <w:autoRedefine/>
    <w:qFormat/>
    <w:rsid w:val="001442EF"/>
    <w:pPr>
      <w:spacing w:after="0" w:line="200" w:lineRule="exact"/>
      <w:ind w:left="368" w:hanging="368"/>
      <w:jc w:val="right"/>
    </w:pPr>
    <w:rPr>
      <w:rFonts w:ascii="Arial" w:hAnsi="Arial"/>
      <w:sz w:val="14"/>
    </w:rPr>
  </w:style>
  <w:style w:type="paragraph" w:customStyle="1" w:styleId="newsRef">
    <w:name w:val="newsRef"/>
    <w:basedOn w:val="newsAddress"/>
    <w:autoRedefine/>
    <w:qFormat/>
    <w:rsid w:val="00B97BC5"/>
    <w:pPr>
      <w:framePr w:wrap="around"/>
      <w:tabs>
        <w:tab w:val="clear" w:pos="4536"/>
        <w:tab w:val="right" w:pos="6946"/>
        <w:tab w:val="left" w:pos="8505"/>
      </w:tabs>
      <w:ind w:right="-569"/>
    </w:pPr>
  </w:style>
  <w:style w:type="character" w:styleId="PlaceholderText">
    <w:name w:val="Placeholder Text"/>
    <w:basedOn w:val="DefaultParagraphFont"/>
    <w:uiPriority w:val="99"/>
    <w:semiHidden/>
    <w:rsid w:val="00730132"/>
    <w:rPr>
      <w:color w:val="808080"/>
    </w:rPr>
  </w:style>
  <w:style w:type="paragraph" w:customStyle="1" w:styleId="newsCoordinates">
    <w:name w:val="newsCoordinates"/>
    <w:basedOn w:val="Footer"/>
    <w:autoRedefine/>
    <w:qFormat/>
    <w:rsid w:val="00837F8F"/>
    <w:pPr>
      <w:tabs>
        <w:tab w:val="clear" w:pos="9072"/>
        <w:tab w:val="right" w:pos="8222"/>
      </w:tabs>
      <w:spacing w:line="200" w:lineRule="exact"/>
      <w:ind w:left="84"/>
    </w:pPr>
    <w:rPr>
      <w:rFonts w:ascii="Arial" w:hAnsi="Arial"/>
      <w:sz w:val="14"/>
    </w:rPr>
  </w:style>
  <w:style w:type="paragraph" w:customStyle="1" w:styleId="newsEmbargo">
    <w:name w:val="newsEmbargo"/>
    <w:basedOn w:val="newsCoordinates"/>
    <w:autoRedefine/>
    <w:qFormat/>
    <w:rsid w:val="00837F8F"/>
    <w:rPr>
      <w:color w:val="000000" w:themeColor="text1"/>
      <w:sz w:val="15"/>
    </w:rPr>
  </w:style>
  <w:style w:type="paragraph" w:customStyle="1" w:styleId="newsDate">
    <w:name w:val="newsDate"/>
    <w:basedOn w:val="newsEmbargo"/>
    <w:autoRedefine/>
    <w:qFormat/>
    <w:rsid w:val="00B97BC5"/>
    <w:pPr>
      <w:jc w:val="center"/>
    </w:pPr>
  </w:style>
  <w:style w:type="paragraph" w:customStyle="1" w:styleId="newsNotes">
    <w:name w:val="newsNotes"/>
    <w:basedOn w:val="newsContent"/>
    <w:link w:val="newsNotesChar"/>
    <w:autoRedefine/>
    <w:qFormat/>
    <w:rsid w:val="00837F8F"/>
    <w:pPr>
      <w:spacing w:after="0" w:line="220" w:lineRule="exact"/>
    </w:pPr>
    <w:rPr>
      <w:color w:val="auto"/>
      <w:sz w:val="17"/>
    </w:rPr>
  </w:style>
  <w:style w:type="table" w:styleId="TableGrid">
    <w:name w:val="Table Grid"/>
    <w:basedOn w:val="TableNormal"/>
    <w:uiPriority w:val="59"/>
    <w:rsid w:val="00FE4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x">
    <w:name w:val="Textbox"/>
    <w:rsid w:val="00D84AE3"/>
    <w:pPr>
      <w:spacing w:after="0" w:line="240" w:lineRule="auto"/>
    </w:pPr>
    <w:rPr>
      <w:rFonts w:ascii="Comic Sans MS" w:eastAsia="Times New Roman" w:hAnsi="Comic Sans MS" w:cs="Times New Roman"/>
      <w:color w:val="0000FF"/>
      <w:sz w:val="24"/>
      <w:szCs w:val="20"/>
      <w:lang w:val="en-US"/>
    </w:rPr>
  </w:style>
  <w:style w:type="paragraph" w:customStyle="1" w:styleId="newsNotesNumber">
    <w:name w:val="newsNotesNumber"/>
    <w:basedOn w:val="newsNotes"/>
    <w:next w:val="Normal"/>
    <w:link w:val="newsNotesNumberChar"/>
    <w:autoRedefine/>
    <w:qFormat/>
    <w:rsid w:val="00CB49DA"/>
    <w:rPr>
      <w:vertAlign w:val="superscript"/>
    </w:rPr>
  </w:style>
  <w:style w:type="character" w:customStyle="1" w:styleId="newsContentChar">
    <w:name w:val="newsContent Char"/>
    <w:basedOn w:val="DefaultParagraphFont"/>
    <w:link w:val="newsContent"/>
    <w:uiPriority w:val="99"/>
    <w:rsid w:val="00837F8F"/>
    <w:rPr>
      <w:rFonts w:ascii="Arial" w:hAnsi="Arial"/>
      <w:color w:val="000000" w:themeColor="text1"/>
      <w:sz w:val="20"/>
      <w:lang w:val="el-GR"/>
    </w:rPr>
  </w:style>
  <w:style w:type="character" w:customStyle="1" w:styleId="newsNotesChar">
    <w:name w:val="newsNotes Char"/>
    <w:basedOn w:val="newsContentChar"/>
    <w:link w:val="newsNotes"/>
    <w:rsid w:val="00837F8F"/>
    <w:rPr>
      <w:rFonts w:ascii="Arial" w:hAnsi="Arial"/>
      <w:color w:val="000000" w:themeColor="text1"/>
      <w:sz w:val="17"/>
      <w:lang w:val="el-GR"/>
    </w:rPr>
  </w:style>
  <w:style w:type="character" w:customStyle="1" w:styleId="newsNotesNumberChar">
    <w:name w:val="newsNotesNumber Char"/>
    <w:basedOn w:val="newsNotesChar"/>
    <w:link w:val="newsNotesNumber"/>
    <w:rsid w:val="00CB49DA"/>
    <w:rPr>
      <w:rFonts w:ascii="Arial" w:hAnsi="Arial"/>
      <w:color w:val="000000" w:themeColor="text1"/>
      <w:sz w:val="17"/>
      <w:vertAlign w:val="superscript"/>
      <w:lang w:val="el-GR"/>
    </w:rPr>
  </w:style>
  <w:style w:type="paragraph" w:styleId="CommentText">
    <w:name w:val="annotation text"/>
    <w:basedOn w:val="Normal"/>
    <w:link w:val="CommentTextChar"/>
    <w:uiPriority w:val="99"/>
    <w:rsid w:val="0026784C"/>
    <w:pPr>
      <w:spacing w:line="240" w:lineRule="auto"/>
    </w:pPr>
    <w:rPr>
      <w:rFonts w:ascii="Arial" w:eastAsia="Calibri" w:hAnsi="Arial" w:cs="Arial"/>
      <w:sz w:val="20"/>
      <w:szCs w:val="20"/>
      <w:lang w:eastAsia="el-GR"/>
    </w:rPr>
  </w:style>
  <w:style w:type="character" w:customStyle="1" w:styleId="CommentTextChar">
    <w:name w:val="Comment Text Char"/>
    <w:basedOn w:val="DefaultParagraphFont"/>
    <w:link w:val="CommentText"/>
    <w:uiPriority w:val="99"/>
    <w:rsid w:val="0026784C"/>
    <w:rPr>
      <w:rFonts w:ascii="Arial" w:eastAsia="Calibri" w:hAnsi="Arial" w:cs="Arial"/>
      <w:sz w:val="20"/>
      <w:szCs w:val="20"/>
      <w:lang w:val="el-GR" w:eastAsia="el-GR"/>
    </w:rPr>
  </w:style>
  <w:style w:type="character" w:customStyle="1" w:styleId="header-line-3">
    <w:name w:val="header-line-3"/>
    <w:uiPriority w:val="99"/>
    <w:rsid w:val="0026784C"/>
  </w:style>
  <w:style w:type="paragraph" w:styleId="NormalWeb">
    <w:name w:val="Normal (Web)"/>
    <w:basedOn w:val="Normal"/>
    <w:uiPriority w:val="99"/>
    <w:rsid w:val="0026784C"/>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CommentReference">
    <w:name w:val="annotation reference"/>
    <w:basedOn w:val="DefaultParagraphFont"/>
    <w:uiPriority w:val="99"/>
    <w:semiHidden/>
    <w:unhideWhenUsed/>
    <w:rsid w:val="009C0174"/>
    <w:rPr>
      <w:sz w:val="16"/>
      <w:szCs w:val="16"/>
    </w:rPr>
  </w:style>
  <w:style w:type="paragraph" w:styleId="CommentSubject">
    <w:name w:val="annotation subject"/>
    <w:basedOn w:val="CommentText"/>
    <w:next w:val="CommentText"/>
    <w:link w:val="CommentSubjectChar"/>
    <w:uiPriority w:val="99"/>
    <w:semiHidden/>
    <w:unhideWhenUsed/>
    <w:rsid w:val="009C0174"/>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9C0174"/>
    <w:rPr>
      <w:rFonts w:ascii="Arial" w:eastAsia="Calibri" w:hAnsi="Arial" w:cs="Arial"/>
      <w:b/>
      <w:bCs/>
      <w:sz w:val="20"/>
      <w:szCs w:val="20"/>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8576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emcdda.europa.eu/news/2015/naloxone"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unodc.org/documents/crop-monitoring/Afghanistan/Afghan-opium-survey-2014.pdf"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odc.org/documents/wdr2014/World_Drug_Report_2014_web.pd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emcdda.europa.eu/edr2015"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emcdda.europa.eu/news/2015/treatment-of-cannabis-related-disorders-in-Europ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V:\COM\07%20Corporate_Identity\Templates\05.%20NEWS_MATERIAL_2014\news-release-E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3CD735-2212-4ECD-ACBC-E0B6EE750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news-release-EL</Template>
  <TotalTime>2</TotalTime>
  <Pages>7</Pages>
  <Words>3869</Words>
  <Characters>22054</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News release EL</vt:lpstr>
    </vt:vector>
  </TitlesOfParts>
  <Manager>EMCDDA</Manager>
  <Company>EMCDDA</Company>
  <LinksUpToDate>false</LinksUpToDate>
  <CharactersWithSpaces>25872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 EL</dc:title>
  <dc:subject>News release EL</dc:subject>
  <dc:creator>Kathryn Robertson</dc:creator>
  <cp:lastModifiedBy>Kathryn Robertson</cp:lastModifiedBy>
  <cp:revision>3</cp:revision>
  <cp:lastPrinted>2015-05-21T08:37:00Z</cp:lastPrinted>
  <dcterms:created xsi:type="dcterms:W3CDTF">2015-05-21T08:33:00Z</dcterms:created>
  <dcterms:modified xsi:type="dcterms:W3CDTF">2015-05-21T08:38:00Z</dcterms:modified>
  <cp:category>News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ganisation">
    <vt:lpwstr>EMCDDA</vt:lpwstr>
  </property>
  <property fmtid="{D5CDD505-2E9C-101B-9397-08002B2CF9AE}" pid="3" name="Editor">
    <vt:lpwstr>EMCDDA</vt:lpwstr>
  </property>
  <property fmtid="{D5CDD505-2E9C-101B-9397-08002B2CF9AE}" pid="4" name="Language">
    <vt:lpwstr>EL</vt:lpwstr>
  </property>
</Properties>
</file>