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70" w:rightFromText="170" w:vertAnchor="page" w:horzAnchor="margin" w:tblpXSpec="center" w:tblpY="710"/>
        <w:tblW w:w="561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right w:w="0" w:type="dxa"/>
        </w:tblCellMar>
        <w:tblLook w:val="0680" w:firstRow="0" w:lastRow="0" w:firstColumn="1" w:lastColumn="0" w:noHBand="1" w:noVBand="1"/>
      </w:tblPr>
      <w:tblGrid>
        <w:gridCol w:w="4972"/>
        <w:gridCol w:w="5694"/>
      </w:tblGrid>
      <w:tr w:rsidR="00EE23CC" w:rsidTr="001F70B4">
        <w:trPr>
          <w:trHeight w:val="1695"/>
        </w:trPr>
        <w:tc>
          <w:tcPr>
            <w:tcW w:w="2331" w:type="pct"/>
          </w:tcPr>
          <w:p w:rsidR="00EE23CC" w:rsidRDefault="00782D22" w:rsidP="00EE23CC">
            <w:r w:rsidRPr="002166F1">
              <w:rPr>
                <w:noProof/>
                <w:lang w:val="en-GB" w:eastAsia="en-GB" w:bidi="ar-SA"/>
              </w:rPr>
              <w:drawing>
                <wp:inline distT="0" distB="0" distL="0" distR="0" wp14:anchorId="765CAB34" wp14:editId="5C20E9F1">
                  <wp:extent cx="2794730" cy="612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4730" cy="612000"/>
                          </a:xfrm>
                          <a:prstGeom prst="rect">
                            <a:avLst/>
                          </a:prstGeom>
                          <a:noFill/>
                          <a:ln>
                            <a:noFill/>
                          </a:ln>
                        </pic:spPr>
                      </pic:pic>
                    </a:graphicData>
                  </a:graphic>
                </wp:inline>
              </w:drawing>
            </w:r>
          </w:p>
        </w:tc>
        <w:tc>
          <w:tcPr>
            <w:tcW w:w="2669" w:type="pct"/>
          </w:tcPr>
          <w:p w:rsidR="00EE23CC" w:rsidRDefault="00EE23CC" w:rsidP="00EE23CC"/>
        </w:tc>
      </w:tr>
    </w:tbl>
    <w:tbl>
      <w:tblPr>
        <w:tblStyle w:val="TableGrid"/>
        <w:tblW w:w="12796" w:type="dxa"/>
        <w:tblInd w:w="-1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96"/>
      </w:tblGrid>
      <w:tr w:rsidR="00EE23CC" w:rsidTr="001F70B4">
        <w:trPr>
          <w:trHeight w:val="1304"/>
        </w:trPr>
        <w:tc>
          <w:tcPr>
            <w:tcW w:w="12796" w:type="dxa"/>
            <w:vAlign w:val="bottom"/>
          </w:tcPr>
          <w:p w:rsidR="00EE23CC" w:rsidRDefault="00782D22" w:rsidP="001F70B4">
            <w:r w:rsidRPr="002166F1">
              <w:rPr>
                <w:noProof/>
                <w:lang w:val="en-GB" w:eastAsia="en-GB" w:bidi="ar-SA"/>
              </w:rPr>
              <w:drawing>
                <wp:inline distT="0" distB="0" distL="0" distR="0" wp14:anchorId="75BBACB9" wp14:editId="3BDE1DCF">
                  <wp:extent cx="7562850" cy="9209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0" cy="920959"/>
                          </a:xfrm>
                          <a:prstGeom prst="rect">
                            <a:avLst/>
                          </a:prstGeom>
                        </pic:spPr>
                      </pic:pic>
                    </a:graphicData>
                  </a:graphic>
                </wp:inline>
              </w:drawing>
            </w:r>
          </w:p>
        </w:tc>
      </w:tr>
    </w:tbl>
    <w:p w:rsidR="000C1074" w:rsidRDefault="00B15FA6" w:rsidP="00B57DDE">
      <w:pPr>
        <w:pStyle w:val="newsTitle"/>
      </w:pPr>
      <w:r>
        <w:t xml:space="preserve">Europäischer Drogenbericht 2015 – 20 Jahre </w:t>
      </w:r>
      <w:r w:rsidR="00B3032B">
        <w:t>Drogenmonitoring</w:t>
      </w:r>
    </w:p>
    <w:p w:rsidR="000C1074" w:rsidRPr="00860ABE" w:rsidRDefault="0045053C" w:rsidP="00860ABE">
      <w:pPr>
        <w:pStyle w:val="newsSubTitle"/>
      </w:pPr>
      <w:r w:rsidRPr="00860ABE">
        <w:t>EMCDDA erforscht neue Dynamiken und Dimensionen des europäischen Drogenproblems</w:t>
      </w:r>
    </w:p>
    <w:p w:rsidR="000C1074" w:rsidRDefault="0008340F" w:rsidP="00782D22">
      <w:pPr>
        <w:pStyle w:val="newsContent"/>
        <w:rPr>
          <w:rFonts w:eastAsia="Times New Roman"/>
        </w:rPr>
      </w:pPr>
      <w:r>
        <w:t xml:space="preserve">(4.6.2015, </w:t>
      </w:r>
      <w:r>
        <w:rPr>
          <w:caps/>
        </w:rPr>
        <w:t xml:space="preserve">Lissabon </w:t>
      </w:r>
      <w:r w:rsidR="00F179C1" w:rsidRPr="002406E7">
        <w:rPr>
          <w:b/>
          <w:color w:val="FF0000"/>
          <w:szCs w:val="24"/>
        </w:rPr>
        <w:t>GESPERRT bis 10 Uhr WEZ/Ortszeit Lissabon</w:t>
      </w:r>
      <w:r>
        <w:t xml:space="preserve">) </w:t>
      </w:r>
      <w:r w:rsidR="000D13BA">
        <w:t xml:space="preserve">Veränderte </w:t>
      </w:r>
      <w:r>
        <w:t xml:space="preserve">Dynamiken auf dem Heroinmarkt, </w:t>
      </w:r>
      <w:r w:rsidR="000D13BA">
        <w:t>aktuelle</w:t>
      </w:r>
      <w:r>
        <w:t xml:space="preserve"> Auswirkungen des Cannabiskonsums und neue Merkmale und Dimensionen der Szene für Stimulanzien und „neue Drogen“ gehören zu den Themen, die von der </w:t>
      </w:r>
      <w:r>
        <w:rPr>
          <w:b/>
        </w:rPr>
        <w:t>Europäischen Beobachtungsstelle für Drogen und Drogensucht (EMCDDA)</w:t>
      </w:r>
      <w:r>
        <w:t xml:space="preserve"> in ihrem gerade </w:t>
      </w:r>
      <w:r w:rsidR="000D13BA">
        <w:t xml:space="preserve">in Lissabon </w:t>
      </w:r>
      <w:r>
        <w:t xml:space="preserve">veröffentlichten </w:t>
      </w:r>
      <w:r>
        <w:rPr>
          <w:b/>
          <w:i/>
        </w:rPr>
        <w:t>Europäischen Drogenbericht 2015</w:t>
      </w:r>
      <w:r w:rsidRPr="000E54D0">
        <w:rPr>
          <w:b/>
        </w:rPr>
        <w:t>:</w:t>
      </w:r>
      <w:r>
        <w:rPr>
          <w:b/>
          <w:i/>
        </w:rPr>
        <w:t xml:space="preserve"> Trends und Entwicklungen</w:t>
      </w:r>
      <w:r w:rsidR="000D13BA" w:rsidRPr="000D13BA">
        <w:t xml:space="preserve"> </w:t>
      </w:r>
      <w:r w:rsidR="000D13BA">
        <w:t>behandelt werden</w:t>
      </w:r>
      <w:r w:rsidR="00860ABE">
        <w:t xml:space="preserve"> </w:t>
      </w:r>
      <w:r>
        <w:t>(</w:t>
      </w:r>
      <w:r>
        <w:rPr>
          <w:vertAlign w:val="superscript"/>
        </w:rPr>
        <w:t>1</w:t>
      </w:r>
      <w:r>
        <w:t>)</w:t>
      </w:r>
      <w:r w:rsidR="00860ABE">
        <w:t>.</w:t>
      </w:r>
      <w:r>
        <w:t xml:space="preserve"> </w:t>
      </w:r>
      <w:r w:rsidR="00F179C1">
        <w:t xml:space="preserve"> </w:t>
      </w:r>
      <w:r>
        <w:t>In ihrem Jahresbericht lässt die Beobachtungsstelle 20 Jahre Beobachtungsarbeit Revue passieren und untersucht die globalen Einflüsse und lokalen Auswirkungen der in stetem Wandel begriffenen europäischen Drogenproblematik.</w:t>
      </w:r>
    </w:p>
    <w:p w:rsidR="000C1074" w:rsidRDefault="00362CD8" w:rsidP="00362CD8">
      <w:pPr>
        <w:spacing w:after="260" w:line="260" w:lineRule="exact"/>
        <w:rPr>
          <w:rFonts w:eastAsia="Times New Roman" w:cs="Arial"/>
          <w:szCs w:val="20"/>
        </w:rPr>
      </w:pPr>
      <w:r>
        <w:rPr>
          <w:b/>
        </w:rPr>
        <w:t>Dimitris Avramopoulos, Europäischer Kommissar für Migration, Inneres und Bürgerschaft</w:t>
      </w:r>
      <w:r>
        <w:t>, erklärt: „Der Bericht zeigt, dass wir es mit einem sich rasch wandelnden, globalisierten Drogenmarkt zu tun haben und unsere Reaktion auf die Drogengefahr darum einmütig, schnell und entschlossen sein muss.</w:t>
      </w:r>
      <w:r>
        <w:rPr>
          <w:b/>
        </w:rPr>
        <w:t xml:space="preserve"> </w:t>
      </w:r>
      <w:r>
        <w:t>Besonders bereitet mir Sorge, dass das Internet zunehmend zu einer Quelle des Handels mit kontrollierten und nicht kontrollierten psychoaktiven Substanzen wird.“</w:t>
      </w:r>
    </w:p>
    <w:p w:rsidR="000C1074" w:rsidRDefault="00362CD8" w:rsidP="00362CD8">
      <w:r>
        <w:rPr>
          <w:b/>
        </w:rPr>
        <w:t>Kommissar Avramopoulos</w:t>
      </w:r>
      <w:r>
        <w:t xml:space="preserve"> fährt fort: „Europa spielt bei der Reaktion auf das Phänomen der „neuen Drogen“ eine führende Rolle und wird diese zum Wohle und zur Sicherheit unserer Bürger weiterhin ausfüllen. Im Jahr 2014 wurden 101 neue, nicht kontrollierte psychoaktive Substanzen gemeldet, die eine Herausforderung für unsere bestehenden Kontrollmechanismen darstellen. Ich begrüße die geplanten EU-Rechtsvorschriften in diesem Bereich, die gegenwärtig Gegenstand von Verhandlungen sind. </w:t>
      </w:r>
      <w:r w:rsidR="00C2187E">
        <w:t xml:space="preserve">           </w:t>
      </w:r>
      <w:r w:rsidR="000D13BA">
        <w:t xml:space="preserve">Sie werden </w:t>
      </w:r>
      <w:r w:rsidR="0059257D">
        <w:t xml:space="preserve">unsere </w:t>
      </w:r>
      <w:r>
        <w:t xml:space="preserve">Gegenmaßnahmen </w:t>
      </w:r>
      <w:r w:rsidR="000D13BA">
        <w:t xml:space="preserve">stärken </w:t>
      </w:r>
      <w:r>
        <w:t xml:space="preserve">und uns bessere Instrumente zur Verfügung stellen, um auf </w:t>
      </w:r>
      <w:r w:rsidR="000D13BA">
        <w:t xml:space="preserve">neue </w:t>
      </w:r>
      <w:r>
        <w:t>Substanzen schneller und wirksamer zu reagieren.“</w:t>
      </w:r>
    </w:p>
    <w:p w:rsidR="000C1074" w:rsidRDefault="004E5A93" w:rsidP="004E5A93">
      <w:pPr>
        <w:spacing w:after="260" w:line="260" w:lineRule="exact"/>
        <w:rPr>
          <w:rFonts w:cs="Arial"/>
          <w:b/>
          <w:szCs w:val="20"/>
        </w:rPr>
      </w:pPr>
      <w:r>
        <w:rPr>
          <w:b/>
        </w:rPr>
        <w:t>Heroin verliert zwar an Bedeutung, doch Marktveränderungen erfordern genaue Beobachtung</w:t>
      </w:r>
    </w:p>
    <w:p w:rsidR="000C1074" w:rsidRPr="0043414B" w:rsidRDefault="00D67E7B" w:rsidP="00782D22">
      <w:pPr>
        <w:spacing w:before="100" w:beforeAutospacing="1" w:after="100" w:afterAutospacing="1"/>
        <w:ind w:right="-142"/>
        <w:rPr>
          <w:rFonts w:cs="Arial"/>
          <w:szCs w:val="20"/>
        </w:rPr>
      </w:pPr>
      <w:r>
        <w:t xml:space="preserve">Der </w:t>
      </w:r>
      <w:r>
        <w:rPr>
          <w:b/>
        </w:rPr>
        <w:t>EMCDDA</w:t>
      </w:r>
      <w:r>
        <w:t xml:space="preserve"> zufolge machen Probleme im Zusammenhang mit Heroin zwar immer noch einen großen Anteil an den drogenbedingten Gesundheits- und Sozialkosten in Europa aus; jedoch wiesen die jüngsten Entwicklungen in diesem Bereich in eine „positivere“ Richtung. </w:t>
      </w:r>
      <w:r w:rsidR="000D13BA">
        <w:t xml:space="preserve">Insgesamt </w:t>
      </w:r>
      <w:r>
        <w:t xml:space="preserve">stagniere </w:t>
      </w:r>
      <w:r w:rsidR="000D13BA">
        <w:t xml:space="preserve">die </w:t>
      </w:r>
      <w:r>
        <w:t xml:space="preserve">Nachfrage nach dieser Droge. Mittlerweile würden weniger Menschen </w:t>
      </w:r>
      <w:r w:rsidR="000D13BA">
        <w:t xml:space="preserve">als früher </w:t>
      </w:r>
      <w:r>
        <w:t>erstmals eine spezialisierte Behandlung wegen Heroinproblemen beginnen: Im Jahr 2013 waren dies 23 000 gegenüber 59 000 im Jahr 2007. Schätzungen zufolge unterzieht sich über die Hälfte (700 000) der 1,3 Millionen europäischen Opioidkonsumenten (d. h. Langzeit- bzw. abhängige Konsumenten) derzeit einer opioidgestützten Substitutionstherapie (Abbildung 3.6).</w:t>
      </w:r>
    </w:p>
    <w:p w:rsidR="000C1074" w:rsidRDefault="004E5A93" w:rsidP="00782D22">
      <w:pPr>
        <w:spacing w:before="100" w:beforeAutospacing="1" w:after="260" w:line="260" w:lineRule="exact"/>
        <w:ind w:right="-142"/>
        <w:rPr>
          <w:rFonts w:eastAsia="Times New Roman" w:cs="Arial"/>
          <w:szCs w:val="20"/>
        </w:rPr>
      </w:pPr>
      <w:r>
        <w:t>Bei den Daten in Bezug auf gemeldete Sicherstellungen, die einen Einblick in die Entwicklung des Heroinangebots ermöglichen, sind ebenfalls Rückgänge zu verzeichnen. Die im Jahr 2013 in der EU sichergestellte Heroinmenge (5,6 Tonnen) war eine der niedrigsten gemeldeten Mengen seit zehn Jahren</w:t>
      </w:r>
      <w:r w:rsidR="000D13BA">
        <w:t xml:space="preserve"> und entspricht </w:t>
      </w:r>
      <w:r>
        <w:t xml:space="preserve">in etwa der Hälfte der im Jahr 2002 sichergestellten Menge (10 Tonnen). Die Zahl der Heroinsicherstellungen fiel ebenfalls von 45 000 im Jahr 2002 auf 32 000 im Jahr 2013 (Abbildung 1.6). Vor diesem </w:t>
      </w:r>
      <w:r w:rsidR="000D13BA">
        <w:t xml:space="preserve">insgesamt </w:t>
      </w:r>
      <w:r>
        <w:t xml:space="preserve">positiven Hintergrund erläutert die </w:t>
      </w:r>
      <w:r>
        <w:rPr>
          <w:b/>
        </w:rPr>
        <w:t>EMCDDA</w:t>
      </w:r>
      <w:r>
        <w:t xml:space="preserve"> eine Reihe von Marktveränderungen, die eine genaue Beobachtung erfordern.</w:t>
      </w:r>
    </w:p>
    <w:p w:rsidR="000C1074" w:rsidRDefault="004E5A93" w:rsidP="00782D22">
      <w:pPr>
        <w:spacing w:before="100" w:beforeAutospacing="1" w:after="260" w:line="260" w:lineRule="exact"/>
        <w:ind w:right="-142"/>
        <w:rPr>
          <w:rFonts w:eastAsia="Times New Roman" w:cs="Arial"/>
          <w:szCs w:val="20"/>
        </w:rPr>
      </w:pPr>
      <w:r>
        <w:lastRenderedPageBreak/>
        <w:t xml:space="preserve">Jüngsten Schätzungen der </w:t>
      </w:r>
      <w:r>
        <w:rPr>
          <w:b/>
        </w:rPr>
        <w:t>Vereinten Nationen</w:t>
      </w:r>
      <w:r w:rsidR="00860ABE">
        <w:rPr>
          <w:b/>
        </w:rPr>
        <w:t xml:space="preserve"> </w:t>
      </w:r>
      <w:r>
        <w:t>(</w:t>
      </w:r>
      <w:r>
        <w:rPr>
          <w:vertAlign w:val="superscript"/>
        </w:rPr>
        <w:t>2</w:t>
      </w:r>
      <w:r>
        <w:t xml:space="preserve">) zufolge hat die Opiumproduktion in </w:t>
      </w:r>
      <w:r>
        <w:rPr>
          <w:b/>
        </w:rPr>
        <w:t>Afghanistan</w:t>
      </w:r>
      <w:r>
        <w:t xml:space="preserve"> in den Jahren 2013 und 2014 deutlich zugenommen. So liefert das Land den Großteil des in Europa konsumierten Heroins. </w:t>
      </w:r>
      <w:r w:rsidR="000D13BA">
        <w:t xml:space="preserve">Diese </w:t>
      </w:r>
      <w:r>
        <w:t xml:space="preserve">Entwicklung könnte </w:t>
      </w:r>
      <w:r w:rsidR="000D13BA">
        <w:t xml:space="preserve">zu </w:t>
      </w:r>
      <w:r>
        <w:t>eine</w:t>
      </w:r>
      <w:r w:rsidR="000D13BA">
        <w:t>r</w:t>
      </w:r>
      <w:r>
        <w:t xml:space="preserve"> höhere</w:t>
      </w:r>
      <w:r w:rsidR="000D13BA">
        <w:t>n</w:t>
      </w:r>
      <w:r>
        <w:t xml:space="preserve"> Verfügbarkeit von Heroin auf dem europäischen Markt</w:t>
      </w:r>
      <w:r w:rsidR="000D13BA">
        <w:t xml:space="preserve"> führen</w:t>
      </w:r>
      <w:r>
        <w:t xml:space="preserve">. Ferner werden Anzeichen für </w:t>
      </w:r>
      <w:r w:rsidR="000D13BA">
        <w:t>Neu</w:t>
      </w:r>
      <w:r w:rsidR="001017B9">
        <w:t>e</w:t>
      </w:r>
      <w:r w:rsidR="000D13BA">
        <w:t>rungen im Heroin</w:t>
      </w:r>
      <w:r w:rsidR="00AE134F">
        <w:t>markt</w:t>
      </w:r>
      <w:r w:rsidR="000D13BA">
        <w:t xml:space="preserve"> </w:t>
      </w:r>
      <w:r>
        <w:t xml:space="preserve">hervorgehoben, einschließlich der erstmals seit den 1970er-Jahren erfolgten Entdeckung von Labors zur Heroinaufbereitung in Europa. </w:t>
      </w:r>
      <w:r w:rsidR="00860ABE">
        <w:t xml:space="preserve">         </w:t>
      </w:r>
      <w:r>
        <w:t xml:space="preserve">In den Jahren 2013 und 2014 wurden in </w:t>
      </w:r>
      <w:r>
        <w:rPr>
          <w:b/>
        </w:rPr>
        <w:t>Spanien</w:t>
      </w:r>
      <w:r>
        <w:t xml:space="preserve"> zwei Labors zur Umwandlung von Morphin in Heroin entdeckt.</w:t>
      </w:r>
    </w:p>
    <w:p w:rsidR="000C1074" w:rsidRDefault="004E5A93" w:rsidP="00782D22">
      <w:pPr>
        <w:spacing w:before="100" w:beforeAutospacing="1" w:after="260" w:line="260" w:lineRule="exact"/>
        <w:ind w:right="-142"/>
        <w:rPr>
          <w:rFonts w:eastAsia="SimSun" w:cs="Arial"/>
          <w:szCs w:val="20"/>
        </w:rPr>
      </w:pPr>
      <w:r>
        <w:t xml:space="preserve">Des Weiteren werden Veränderungen beim Heroinnachschub nach Europa beobachtet. Während die traditionelle </w:t>
      </w:r>
      <w:r>
        <w:rPr>
          <w:b/>
        </w:rPr>
        <w:t>„Balkanroute“</w:t>
      </w:r>
      <w:r>
        <w:t xml:space="preserve"> nach wie vor eine wichtige Rolle spielt, gibt es Anzeichen, dass die </w:t>
      </w:r>
      <w:r>
        <w:rPr>
          <w:b/>
        </w:rPr>
        <w:t>„südliche Route“</w:t>
      </w:r>
      <w:r>
        <w:t xml:space="preserve"> an Bedeutung gewinnt. (Diese beginnt in Iran und Pakistan und erreicht Europa direkt oder indirekt über die Länder der Arabischen Halbinsel und Ost-, Süd- und Westafrikas)</w:t>
      </w:r>
      <w:r w:rsidR="00860ABE">
        <w:t>.</w:t>
      </w:r>
      <w:r>
        <w:t xml:space="preserve"> Eine gerade veröffentlichte Studie über den Opioidhandel von </w:t>
      </w:r>
      <w:r>
        <w:rPr>
          <w:b/>
        </w:rPr>
        <w:t>Asien</w:t>
      </w:r>
      <w:r>
        <w:t xml:space="preserve"> nach </w:t>
      </w:r>
      <w:r>
        <w:rPr>
          <w:b/>
        </w:rPr>
        <w:t>Europa</w:t>
      </w:r>
      <w:r>
        <w:t xml:space="preserve"> deutet auf eine Diversifizierung der gehandelten Produkte (z. B. Morphinbase und Opium neben Heroin) und der genutzten Transportmittel und Routen </w:t>
      </w:r>
      <w:r w:rsidR="000D13BA">
        <w:t xml:space="preserve">hin </w:t>
      </w:r>
      <w:r>
        <w:t>(siehe „Drogenperspektiven</w:t>
      </w:r>
      <w:r w:rsidR="000E54D0">
        <w:t>“</w:t>
      </w:r>
      <w:r>
        <w:t xml:space="preserve"> </w:t>
      </w:r>
      <w:r w:rsidR="000E54D0">
        <w:t xml:space="preserve">— </w:t>
      </w:r>
      <w:r w:rsidRPr="000E54D0">
        <w:rPr>
          <w:i/>
        </w:rPr>
        <w:t>Perspectives on Drugs</w:t>
      </w:r>
      <w:r w:rsidR="000E54D0" w:rsidRPr="000E54D0">
        <w:rPr>
          <w:i/>
        </w:rPr>
        <w:t>/</w:t>
      </w:r>
      <w:r>
        <w:t>POD).</w:t>
      </w:r>
    </w:p>
    <w:p w:rsidR="000C1074" w:rsidRDefault="004E5A93" w:rsidP="00782D22">
      <w:pPr>
        <w:spacing w:before="100" w:beforeAutospacing="1" w:after="260" w:line="260" w:lineRule="exact"/>
        <w:ind w:right="-142"/>
        <w:rPr>
          <w:rFonts w:cs="Arial"/>
          <w:szCs w:val="20"/>
        </w:rPr>
      </w:pPr>
      <w:r>
        <w:rPr>
          <w:b/>
        </w:rPr>
        <w:t>EMCDDA-Direktor Wolfgang Götz</w:t>
      </w:r>
      <w:r>
        <w:t xml:space="preserve"> äußerte sich wie folgt: „Veränderungen der Tätigkeit der Strafverfolgungsbehörden, Instabilität und bewaffnete Konflikte sowie die infolge der Globalisierung entstehenden </w:t>
      </w:r>
      <w:r w:rsidR="000D13BA">
        <w:t xml:space="preserve">vielfältigen </w:t>
      </w:r>
      <w:r>
        <w:t>und schnellen Verbindungswege gehören zu einer Reihe von Faktoren, die eine Änderung der Handelsrouten bewirken können. Heute sind wir Zeugen einer Zunahme der Opiumproduktion in Afghanistan und einer Diversifizierung der geschmuggelten Produkte wie auch der genutzten Schmuggelmethoden und -routen. Erschwerend kommt hinzu, dass wichtige Phasen des Heroinherstellungsprozesses inzwischen in Europa stattfinden. Die Möglichkeit einer Renaissance der Heroinproblematik gibt Anlass zur Sorge, weshalb eine genaue Beobachtung der Situation von entscheidender Bedeutung ist.“</w:t>
      </w:r>
    </w:p>
    <w:p w:rsidR="000C1074" w:rsidRDefault="00D67E7B" w:rsidP="004026C6">
      <w:pPr>
        <w:spacing w:before="100" w:beforeAutospacing="1" w:after="260" w:line="260" w:lineRule="exact"/>
        <w:ind w:right="-142"/>
        <w:rPr>
          <w:rFonts w:cs="Arial"/>
        </w:rPr>
      </w:pPr>
      <w:r>
        <w:t>Neben Heroin stellten die Strafverfolgungsbehörden 2013 in europäischen Ländern eine Reihe weiterer Opioide sicher: Opium, Rohopiumzubereitungen (z. B. „Kompott“), Arzneimittel (Morphin, Methadon, Buprenorphin, Fentanyl und Tramadol) sowie neuartige synthetische Opioide.</w:t>
      </w:r>
    </w:p>
    <w:p w:rsidR="005C1394" w:rsidRPr="005C1394" w:rsidRDefault="00194867" w:rsidP="005C1394">
      <w:pPr>
        <w:spacing w:after="260" w:line="260" w:lineRule="exact"/>
        <w:rPr>
          <w:rFonts w:cs="Arial"/>
          <w:b/>
          <w:szCs w:val="20"/>
        </w:rPr>
      </w:pPr>
      <w:r>
        <w:rPr>
          <w:b/>
        </w:rPr>
        <w:t>Ältere Opioidkonsumenten benötigen maßgeschneiderte Therapieangebote</w:t>
      </w:r>
    </w:p>
    <w:p w:rsidR="000C1074" w:rsidRDefault="005C40D1" w:rsidP="00782D22">
      <w:pPr>
        <w:spacing w:after="260" w:line="260" w:lineRule="exact"/>
        <w:ind w:right="-142"/>
        <w:rPr>
          <w:rFonts w:cs="Arial"/>
          <w:szCs w:val="20"/>
        </w:rPr>
      </w:pPr>
      <w:r>
        <w:t xml:space="preserve">Opioidabhängigkeit ist häufig ein chronischer Zustand, weshalb die Bereitstellung geeigneter Behandlungs- und Pflegeangebote für Langzeitkonsumenten von Opium inzwischen eine immer größere Herausforderung für Behandlungs- und Sozialdienste darstellt. Im Bericht wird gezeigt, wie </w:t>
      </w:r>
      <w:r w:rsidR="000D13BA">
        <w:t xml:space="preserve">sich </w:t>
      </w:r>
      <w:r>
        <w:t>das Durchschnittsalter der Personen, die sich wegen Opioidproblemen in Behandlung begeben,</w:t>
      </w:r>
      <w:r w:rsidR="000D13BA">
        <w:t xml:space="preserve"> entwickelt</w:t>
      </w:r>
      <w:r>
        <w:t xml:space="preserve">; so stieg das Durchschnittsalter zwischen 2006 und 2013 um fünf Jahre (Abbildung 2.11). Ein bedeutender Teil der Opioidkonsumenten in Europa mit einer langen Vorgeschichte des Mehrfachkonsums befindet sich mittlerweile im vierten oder fünften Lebensjahrzehnt. Ein seit Langem bestehender schlechter körperlicher und psychischer Gesundheitszustand, </w:t>
      </w:r>
      <w:r w:rsidR="000D13BA">
        <w:t xml:space="preserve">ungünstige </w:t>
      </w:r>
      <w:r>
        <w:t>Lebensbedingungen, Infektionen und der missbräuchliche Mehrfachkonsum (</w:t>
      </w:r>
      <w:r w:rsidR="000D13BA">
        <w:t xml:space="preserve">unter anderem auch von </w:t>
      </w:r>
      <w:r>
        <w:t>Alkohol und Tabak) machen diese Konsumentengruppe anfällig für eine Reihe von chronischen Gesundheitsproblemen (z. B. kardiovaskuläre und pulmonale Erkrankungen und Hepatitis).</w:t>
      </w:r>
    </w:p>
    <w:p w:rsidR="000C1074" w:rsidRDefault="005C1394" w:rsidP="00782D22">
      <w:pPr>
        <w:ind w:right="-142"/>
        <w:rPr>
          <w:rFonts w:ascii="Times New Roman" w:eastAsia="Times New Roman" w:hAnsi="Times New Roman" w:cs="Times New Roman"/>
          <w:sz w:val="24"/>
          <w:szCs w:val="24"/>
        </w:rPr>
      </w:pPr>
      <w:r>
        <w:t xml:space="preserve">Benötigt werden laut Bericht klinische Leitlinien, die den demografischen Wandel unter Europas problematischen Opioidkonsumenten berücksichtigen. </w:t>
      </w:r>
      <w:r w:rsidR="000D13BA">
        <w:t xml:space="preserve">Solche Leitlinien </w:t>
      </w:r>
      <w:r>
        <w:t xml:space="preserve">würden eine wirksame klinische Praxis begünstigen und folgende Themen umfassen: „Mitnahme“-Dosen von Arzneimitteln für die Substitutionstherapie (z. B. Methadon und Buprenorphin), Schmerztherapien und die Behandlung von Infektionen. Wenige Länder melden die Verfügbarkeit zielgerichteter Programme für ältere Drogenkonsumenten. Diese Personengruppe wird in der Regel in bestehende Drogentherapieangebote integriert (Abbildung 3.10). Die </w:t>
      </w:r>
      <w:r>
        <w:rPr>
          <w:b/>
        </w:rPr>
        <w:t>Niederlande</w:t>
      </w:r>
      <w:r>
        <w:t xml:space="preserve"> sind eines der Länder, in denen Altenpflegeheime eingerichtet wurden, die an die Bedürfnisse älterer Drogenkonsumenten angepasst sind.</w:t>
      </w:r>
    </w:p>
    <w:p w:rsidR="00860ABE" w:rsidRDefault="00860ABE">
      <w:pPr>
        <w:rPr>
          <w:b/>
        </w:rPr>
      </w:pPr>
      <w:r>
        <w:rPr>
          <w:b/>
        </w:rPr>
        <w:br w:type="page"/>
      </w:r>
    </w:p>
    <w:p w:rsidR="000C1074" w:rsidRDefault="00105FE2" w:rsidP="00435B19">
      <w:pPr>
        <w:spacing w:after="260" w:line="260" w:lineRule="exact"/>
        <w:rPr>
          <w:rFonts w:cs="Arial"/>
          <w:b/>
          <w:szCs w:val="20"/>
        </w:rPr>
      </w:pPr>
      <w:r>
        <w:rPr>
          <w:b/>
        </w:rPr>
        <w:lastRenderedPageBreak/>
        <w:t>Verbesserte Therapien bei Hepatitis C und stagnierende Zahlen bei HIV-Neudiagnosen</w:t>
      </w:r>
    </w:p>
    <w:p w:rsidR="007F03EB" w:rsidRPr="00EA3584" w:rsidRDefault="00B96281" w:rsidP="00782D22">
      <w:pPr>
        <w:spacing w:after="260" w:line="260" w:lineRule="exact"/>
        <w:ind w:right="-142"/>
        <w:rPr>
          <w:rFonts w:eastAsia="Times New Roman" w:cs="Arial"/>
          <w:szCs w:val="20"/>
        </w:rPr>
      </w:pPr>
      <w:r>
        <w:t>Aufgrund der Übertragung durch die gemeinsame Nutzung von Nadeln, Spritzen und anderem Spritzbesteck ist Hepatitis C die am häufigsten vorkommende Infektionskrankheit unter drogeninjizierenden Personen in Europa</w:t>
      </w:r>
      <w:r w:rsidR="000D13BA">
        <w:t>. N</w:t>
      </w:r>
      <w:r>
        <w:t xml:space="preserve">ationale Stichproben im Zeitraum 2012/2013 bei dieser Personengruppe ergaben eine Hepatitis C-Virus-Infektionsrate zwischen 14 % und 84 % (Abbildung 2.14). Eine Hepatitis C-Infektion verläuft </w:t>
      </w:r>
      <w:r w:rsidR="000D13BA">
        <w:t xml:space="preserve">anfänglich </w:t>
      </w:r>
      <w:r>
        <w:t>häufig ohne Symptome und kann jahrzehntelang unentdeckt bleiben. Viele Infizierte entwickeln später eine chronische Hepatitis, wodurch sich ihr Risiko für die Entwicklung von Lebererkrankungen (z. B. Leberzirrhose und Leberkrebs) erhöht.</w:t>
      </w:r>
    </w:p>
    <w:p w:rsidR="000C1074" w:rsidRDefault="00D10437" w:rsidP="00782D22">
      <w:pPr>
        <w:spacing w:after="260" w:line="260" w:lineRule="exact"/>
        <w:ind w:right="-142"/>
        <w:rPr>
          <w:rFonts w:eastAsia="Times New Roman" w:cs="Arial"/>
          <w:szCs w:val="20"/>
        </w:rPr>
      </w:pPr>
      <w:r>
        <w:t xml:space="preserve">Eine wachsende Anzahl von Ländern haben spezifische Hepatitis C-Strategien verabschiedet oder arbeiten zurzeit daran. Diese Strategien sollen insbesondere den Zugang zu Hepatitis C-Tests sicherstellen. </w:t>
      </w:r>
      <w:r w:rsidR="000D13BA">
        <w:t xml:space="preserve">Obwohl aktuell </w:t>
      </w:r>
      <w:r>
        <w:t xml:space="preserve">antivirale Arzneimittel erhältlich sind, die den Fortschritt der Erkrankung verhindern oder eine vollständige Genesung ermöglichen, beschränken </w:t>
      </w:r>
      <w:r w:rsidR="000D13BA">
        <w:t xml:space="preserve">fehlende </w:t>
      </w:r>
      <w:r>
        <w:t>Diagnos</w:t>
      </w:r>
      <w:r w:rsidR="000D13BA">
        <w:t>tik</w:t>
      </w:r>
      <w:r>
        <w:t xml:space="preserve"> und hohe Arzneimittelkosten die Reichweite dieser neuen Behandlungsangebote.</w:t>
      </w:r>
    </w:p>
    <w:p w:rsidR="000C1074" w:rsidRDefault="000D13BA" w:rsidP="00782D22">
      <w:pPr>
        <w:spacing w:after="260" w:line="260" w:lineRule="exact"/>
        <w:ind w:right="-142"/>
        <w:rPr>
          <w:rFonts w:cs="Arial"/>
          <w:szCs w:val="20"/>
        </w:rPr>
      </w:pPr>
      <w:r>
        <w:t xml:space="preserve">2011 und 2012 sind die Zahlen neuer HIV-Diagnosen die dem injizierenden Konsum zugeordnet waren angestiegen, hauptsächlich bedingt durch HIV-Krankheitsausbrüche in </w:t>
      </w:r>
      <w:r w:rsidRPr="000E54D0">
        <w:rPr>
          <w:b/>
        </w:rPr>
        <w:t>Griechenland</w:t>
      </w:r>
      <w:r>
        <w:t xml:space="preserve"> und </w:t>
      </w:r>
      <w:r w:rsidRPr="000E54D0">
        <w:rPr>
          <w:b/>
        </w:rPr>
        <w:t>Rumänien</w:t>
      </w:r>
      <w:r>
        <w:t xml:space="preserve">. </w:t>
      </w:r>
      <w:r w:rsidR="00860ABE">
        <w:t xml:space="preserve">          </w:t>
      </w:r>
      <w:r w:rsidR="00105FE2">
        <w:t xml:space="preserve">Die neuesten Zahlen zeigen, dass der Anstieg </w:t>
      </w:r>
      <w:r>
        <w:t xml:space="preserve">inzwischen </w:t>
      </w:r>
      <w:r w:rsidR="00105FE2">
        <w:t xml:space="preserve">gestoppt und die Gesamtzahl der Fälle in der EU auf ein Niveau wie vor den Ausbrüchen gesunken ist (Abbildung 2.13). Vorläufige Zahlen für 2013 weisen 1 458 neu gemeldete HIV-Infektionen gegenüber 1 974 im Jahr 2012 aus; damit kehrt sich der seit 2010 bestehende Aufwärtstrend um. Trotz der in diesem Bereich erzielten Fortschritte hält die </w:t>
      </w:r>
      <w:r w:rsidR="00105FE2">
        <w:rPr>
          <w:b/>
        </w:rPr>
        <w:t>EMCDDA</w:t>
      </w:r>
      <w:r w:rsidR="00105FE2">
        <w:t xml:space="preserve"> es für notwendig, wachsam zu bleiben und ein angemessenes Behandlungsangebot bereitzustellen.</w:t>
      </w:r>
    </w:p>
    <w:p w:rsidR="000C1074" w:rsidRDefault="009F3555" w:rsidP="00E522AE">
      <w:r>
        <w:rPr>
          <w:b/>
        </w:rPr>
        <w:t>Bekämpfung von Überdosierungen – eine gesundheitspolitische Herausforderung</w:t>
      </w:r>
    </w:p>
    <w:p w:rsidR="000C1074" w:rsidRPr="004A1615" w:rsidRDefault="00AD2A0A" w:rsidP="00782D22">
      <w:pPr>
        <w:spacing w:after="260" w:line="260" w:lineRule="exact"/>
        <w:ind w:right="-142"/>
        <w:rPr>
          <w:rFonts w:cs="Arial"/>
          <w:szCs w:val="20"/>
        </w:rPr>
      </w:pPr>
      <w:r>
        <w:t xml:space="preserve">Die Verringerung der Zahl tödlicher Überdosierungen und anderer drogenbedingter Todesfälle (z. B. als Folge von drogenbedingten Erkrankungen, Unfällen und </w:t>
      </w:r>
      <w:r w:rsidR="000D13BA">
        <w:t>Suizid</w:t>
      </w:r>
      <w:r>
        <w:t xml:space="preserve">) ist und bleibt eine zentrale Aufgabe der aktuellen Gesundheitspolitik. Schätzungen zufolge soll es im Jahr 2013 zu mindestens 6 100 Todesfällen aufgrund von Überdosierung, meist im Zusammenhang mit Heroin </w:t>
      </w:r>
      <w:r w:rsidR="00FC5ECF">
        <w:t xml:space="preserve">und </w:t>
      </w:r>
      <w:r>
        <w:t>anderen Opioiden, gekommen sein.</w:t>
      </w:r>
    </w:p>
    <w:p w:rsidR="000D3B2D" w:rsidRPr="006304FE" w:rsidRDefault="000D3B2D" w:rsidP="00782D22">
      <w:pPr>
        <w:spacing w:after="260" w:line="260" w:lineRule="exact"/>
        <w:ind w:right="-142"/>
        <w:rPr>
          <w:rFonts w:cs="Arial"/>
          <w:szCs w:val="20"/>
        </w:rPr>
      </w:pPr>
      <w:r>
        <w:t>In einer den aktuellen Bericht begleitenden neuen Analyse wird der Missbrauch von Benzodiazepinen unter Hochrisiko-Opioidkonsumenten, die diese Arzneimittel zur Selbstmedikation oder zur Verstärkung der Wirkung von Opioiden nehmen, näher beleuchtet (siehe POD). Die Analyse zeigt, wie der kombinierte Konsum von Opioiden</w:t>
      </w:r>
      <w:r w:rsidR="002359B7">
        <w:t>,</w:t>
      </w:r>
      <w:r>
        <w:t xml:space="preserve"> Benzodiazepinen und anderen </w:t>
      </w:r>
      <w:r w:rsidR="002359B7">
        <w:t xml:space="preserve">zentralnervös wirksamen Beruhigungsmitteln </w:t>
      </w:r>
      <w:r w:rsidR="00860ABE">
        <w:t xml:space="preserve">          </w:t>
      </w:r>
      <w:r>
        <w:t xml:space="preserve">(z. B. </w:t>
      </w:r>
      <w:r w:rsidR="002359B7">
        <w:t xml:space="preserve">auch </w:t>
      </w:r>
      <w:r>
        <w:t>Alkohol) zu eine</w:t>
      </w:r>
      <w:r w:rsidR="002359B7">
        <w:t>r</w:t>
      </w:r>
      <w:r>
        <w:t xml:space="preserve"> erhöhten </w:t>
      </w:r>
      <w:r w:rsidR="002359B7">
        <w:t xml:space="preserve">Lebensgefahr </w:t>
      </w:r>
      <w:r>
        <w:t xml:space="preserve">durch Überdosierung beiträgt. Verschreibungen und Leitlinien für die klinische Praxis könnten </w:t>
      </w:r>
      <w:r w:rsidR="002359B7">
        <w:t xml:space="preserve">für </w:t>
      </w:r>
      <w:r>
        <w:t>die Bewältigung dieses komplexen Problems eine entscheidende Rolle spielen.</w:t>
      </w:r>
    </w:p>
    <w:p w:rsidR="00782D22" w:rsidRDefault="00AD2A0A" w:rsidP="00DE3943">
      <w:pPr>
        <w:spacing w:after="260" w:line="260" w:lineRule="exact"/>
        <w:ind w:right="-142"/>
        <w:rPr>
          <w:b/>
        </w:rPr>
      </w:pPr>
      <w:r>
        <w:t xml:space="preserve">Maßnahmen zur </w:t>
      </w:r>
      <w:r w:rsidR="002359B7">
        <w:t xml:space="preserve">Vorbeugung </w:t>
      </w:r>
      <w:r>
        <w:t xml:space="preserve">von Überdosierungen umfassen zielgerichtete Strategien, </w:t>
      </w:r>
      <w:r w:rsidR="00620542">
        <w:t>Aufklärung über Risiken des Drogenkonsums sowie mögliche Hilfen bei Überdosierungen</w:t>
      </w:r>
      <w:r>
        <w:t xml:space="preserve">, einschließlich der Verteilung </w:t>
      </w:r>
      <w:r w:rsidR="00860ABE">
        <w:t xml:space="preserve">von Naloxon in „Mitnahme“-Dosen </w:t>
      </w:r>
      <w:r>
        <w:t>(</w:t>
      </w:r>
      <w:r>
        <w:rPr>
          <w:vertAlign w:val="superscript"/>
        </w:rPr>
        <w:t>3</w:t>
      </w:r>
      <w:r>
        <w:t>)</w:t>
      </w:r>
      <w:r w:rsidR="00860ABE">
        <w:t>.</w:t>
      </w:r>
      <w:r>
        <w:t xml:space="preserve"> Einige Länder haben eine seit Langem bewährte Praxis der Bereitstellung von „Drogenkonsumräumen“. In sechs europäischen Berichtsländern der </w:t>
      </w:r>
      <w:r>
        <w:rPr>
          <w:b/>
        </w:rPr>
        <w:t>EMCDDA</w:t>
      </w:r>
      <w:r>
        <w:t xml:space="preserve"> werden derartige Dienste derzeit </w:t>
      </w:r>
      <w:r w:rsidR="004357C9">
        <w:t xml:space="preserve">in insgesamt </w:t>
      </w:r>
      <w:r>
        <w:t xml:space="preserve">rund 70 Einrichtungen </w:t>
      </w:r>
      <w:r w:rsidR="004357C9">
        <w:t xml:space="preserve">angeboten </w:t>
      </w:r>
      <w:r>
        <w:t>(</w:t>
      </w:r>
      <w:r>
        <w:rPr>
          <w:b/>
        </w:rPr>
        <w:t>Dänemark, Deutschland, Spanien, Luxemburg, Niederlande und Norwegen</w:t>
      </w:r>
      <w:r>
        <w:t xml:space="preserve">), während in </w:t>
      </w:r>
      <w:r>
        <w:rPr>
          <w:b/>
        </w:rPr>
        <w:t>Frankreich</w:t>
      </w:r>
      <w:r>
        <w:t xml:space="preserve"> vor Kurzem </w:t>
      </w:r>
      <w:r w:rsidR="004357C9">
        <w:t xml:space="preserve">ein Modellversuch von </w:t>
      </w:r>
      <w:r>
        <w:t>Drogenkonsumräumen genehmigt wurde. Eine Überprüfung der in diesen Einrichtungen erbrachten Dienstleistungen ergänzt die diesjährige Analyse (siehe POD) und zeigt, wie mittels Drogenkonsumräumen eine „lokale Antwort“ auf „lokale Probleme“ gegeben wird. Unter anderem können Drogenkonsumräume eine Rolle bei der Reduzierung drogenbedingter Schäden (einschließlich Todesfälle durch Überdosierung) spielen und hilfreich sein, um schwer erreichbare Drogenkonsumenten an Gesundheitsdienste heranzuführen.</w:t>
      </w:r>
      <w:r w:rsidR="00782D22">
        <w:rPr>
          <w:b/>
        </w:rPr>
        <w:br w:type="page"/>
      </w:r>
    </w:p>
    <w:p w:rsidR="000C1074" w:rsidRDefault="0089193D" w:rsidP="00226E8D">
      <w:pPr>
        <w:rPr>
          <w:rFonts w:cs="Arial"/>
          <w:b/>
          <w:szCs w:val="20"/>
        </w:rPr>
      </w:pPr>
      <w:r>
        <w:rPr>
          <w:b/>
        </w:rPr>
        <w:lastRenderedPageBreak/>
        <w:t xml:space="preserve">Wachsende Bedeutung von Cannabis innerhalb der </w:t>
      </w:r>
      <w:r w:rsidR="00DD501B">
        <w:rPr>
          <w:b/>
        </w:rPr>
        <w:t>Drogenb</w:t>
      </w:r>
      <w:r w:rsidR="00D11EDC">
        <w:rPr>
          <w:b/>
        </w:rPr>
        <w:t xml:space="preserve">ehandlungssysteme </w:t>
      </w:r>
      <w:r>
        <w:rPr>
          <w:b/>
        </w:rPr>
        <w:t>in Europa</w:t>
      </w:r>
    </w:p>
    <w:p w:rsidR="000C1074" w:rsidRDefault="0089193D" w:rsidP="00782D22">
      <w:pPr>
        <w:pStyle w:val="newsContent"/>
        <w:rPr>
          <w:noProof/>
        </w:rPr>
      </w:pPr>
      <w:r>
        <w:t>Cannabis ist nach wie vor die am häufigsten konsumierte illegale Droge in Europa: 19,3 Millionen Erwachsene im Alter zwischen 15 und 64 Jahren geben an, die Droge in den vergangenen zwölf Monaten konsumiert zu haben; 14,6 Millionen davon sind junge Erwachsene im Alter zwischen 15 und 34 Jahren. Schätzungen zufolge konsumiert ein Prozent aller Erwachsenen die Droge täglich oder nahezu täglich.</w:t>
      </w:r>
    </w:p>
    <w:p w:rsidR="00275AED" w:rsidRPr="002331A0" w:rsidRDefault="00621C22" w:rsidP="00275AED">
      <w:pPr>
        <w:spacing w:after="260" w:line="260" w:lineRule="exact"/>
        <w:rPr>
          <w:rFonts w:cs="Arial"/>
          <w:szCs w:val="20"/>
        </w:rPr>
      </w:pPr>
      <w:r>
        <w:t>Aus Erhebungen unter der Allgemeinbevölkerung von drei Ländern (</w:t>
      </w:r>
      <w:r>
        <w:rPr>
          <w:b/>
        </w:rPr>
        <w:t xml:space="preserve">Deutschland, Spanien </w:t>
      </w:r>
      <w:r>
        <w:t>und das</w:t>
      </w:r>
      <w:r>
        <w:rPr>
          <w:b/>
        </w:rPr>
        <w:t xml:space="preserve"> Vereinigte Königreich</w:t>
      </w:r>
      <w:r>
        <w:t>) geht eine rückläufige oder stagnierende Prävalenz des Cannabiskonsums in den letzten zehn Jahren hervor.</w:t>
      </w:r>
      <w:r>
        <w:rPr>
          <w:i/>
        </w:rPr>
        <w:t xml:space="preserve"> </w:t>
      </w:r>
      <w:r>
        <w:t>Steigerungen wurden dagegen</w:t>
      </w:r>
      <w:r>
        <w:rPr>
          <w:i/>
        </w:rPr>
        <w:t xml:space="preserve"> </w:t>
      </w:r>
      <w:r>
        <w:t xml:space="preserve">in </w:t>
      </w:r>
      <w:r>
        <w:rPr>
          <w:b/>
        </w:rPr>
        <w:t>Bulgarien</w:t>
      </w:r>
      <w:r>
        <w:t xml:space="preserve">, </w:t>
      </w:r>
      <w:r>
        <w:rPr>
          <w:b/>
        </w:rPr>
        <w:t>Frankreich</w:t>
      </w:r>
      <w:r>
        <w:t xml:space="preserve"> und </w:t>
      </w:r>
      <w:r>
        <w:rPr>
          <w:b/>
        </w:rPr>
        <w:t xml:space="preserve">vier </w:t>
      </w:r>
      <w:r>
        <w:t>nordischen Ländern (</w:t>
      </w:r>
      <w:r>
        <w:rPr>
          <w:b/>
        </w:rPr>
        <w:t>Dänemark, Finnland, Schweden und Norwegen</w:t>
      </w:r>
      <w:r>
        <w:t>) beobachtet. Insgesamt zeigen die Ergebnisse der aktuellen Erhebung</w:t>
      </w:r>
      <w:r w:rsidR="00DE3943">
        <w:t>en</w:t>
      </w:r>
      <w:r>
        <w:t xml:space="preserve"> uneinheitliche Trends im Cannabiskonsum der letzten zwölf Monate bei jungen Erwachsenen (Abbildung 2.1).</w:t>
      </w:r>
    </w:p>
    <w:p w:rsidR="000C1074" w:rsidRDefault="00275AED" w:rsidP="00782D22">
      <w:pPr>
        <w:pStyle w:val="newsContent"/>
      </w:pPr>
      <w:r>
        <w:t xml:space="preserve">Die hohe Prävalenz der Droge spiegelt sich in der Anzahl an Personen wider, die eine spezialisierte Drogentherapie beginnen; so gibt die größte Gruppe von Erstpatienten inzwischen Cannabis als ihr Hauptdrogenproblem an. Die Gesamtzahl der Patienten in Europa, die sich erstmals wegen Cannabisproblemen in Behandlung begaben, stieg von 45 000 im Jahr 2006 auf 61 000 im Jahr 2013. Während sich viele der eine Behandlung beginnenden Cannabispatienten selbst einweisen (34 %), geht aus der Analyse hervor, dass etwa ein Viertel derjenigen, die eine Behandlung wegen Cannabis als Primärdroge begannen (23 000), fremdmotivierte Überweisungen aus dem Strafjustizsystem waren. </w:t>
      </w:r>
      <w:r w:rsidR="00DE3943">
        <w:t xml:space="preserve">Wissenschaftliche </w:t>
      </w:r>
      <w:r>
        <w:t xml:space="preserve">Erkenntnisse sprechen für psychosoziale Interventionen bei der Behandlung von Drogenproblemen. Bei der Behandlung von Problemen im Zusammenhang mit Cannabis wird von diesen auch umfassend Gebrauch gemacht. Diese Ansätze werden in einer den Bericht begleitenden Analyse </w:t>
      </w:r>
      <w:r w:rsidR="000E54D0">
        <w:t xml:space="preserve">(siehe POD) </w:t>
      </w:r>
      <w:r>
        <w:t xml:space="preserve">und in einer aktuellen </w:t>
      </w:r>
      <w:r>
        <w:rPr>
          <w:i/>
        </w:rPr>
        <w:t>Insights</w:t>
      </w:r>
      <w:r>
        <w:t xml:space="preserve">-Ausgabe der </w:t>
      </w:r>
      <w:r>
        <w:rPr>
          <w:b/>
        </w:rPr>
        <w:t>EMCDDA</w:t>
      </w:r>
      <w:r>
        <w:t xml:space="preserve"> erforscht</w:t>
      </w:r>
      <w:r w:rsidR="00860ABE">
        <w:t xml:space="preserve"> </w:t>
      </w:r>
      <w:r>
        <w:t>(</w:t>
      </w:r>
      <w:r>
        <w:rPr>
          <w:vertAlign w:val="superscript"/>
        </w:rPr>
        <w:t>4</w:t>
      </w:r>
      <w:r>
        <w:t>)</w:t>
      </w:r>
      <w:r w:rsidR="00860ABE">
        <w:t>.</w:t>
      </w:r>
    </w:p>
    <w:p w:rsidR="00F6333E" w:rsidRDefault="00F6333E" w:rsidP="00F6333E">
      <w:pPr>
        <w:spacing w:after="260" w:line="260" w:lineRule="exact"/>
        <w:rPr>
          <w:rFonts w:cs="Arial"/>
          <w:szCs w:val="20"/>
        </w:rPr>
      </w:pPr>
      <w:r>
        <w:t xml:space="preserve">Akute Notfälle im Zusammenhang mit Cannabiskonsum können – wenngleich selten – nach dem Konsum der Substanz, insbesondere in hohen Dosen, auftreten (siehe den nachfolgenden Abschnitt zum Reinheitsgrad). In einer in Notfalleinrichtungen durchgeführten aktuellen Studie wurde in </w:t>
      </w:r>
      <w:r w:rsidR="00860ABE">
        <w:t>11</w:t>
      </w:r>
      <w:r>
        <w:t xml:space="preserve"> von </w:t>
      </w:r>
      <w:r w:rsidR="00860ABE">
        <w:t xml:space="preserve">            </w:t>
      </w:r>
      <w:r>
        <w:t>13 untersuchten europäischen Ländern im Zeitraum zwischen 2008 und 2012 ein Anstieg der Zahl der Notfälle im Zusammenhang mit Cannabiskonsum festgestellt.</w:t>
      </w:r>
    </w:p>
    <w:p w:rsidR="000C1074" w:rsidRDefault="00F6333E" w:rsidP="00782D22">
      <w:pPr>
        <w:pStyle w:val="CommentText"/>
        <w:spacing w:after="260" w:line="260" w:lineRule="exact"/>
        <w:ind w:right="-142"/>
        <w:rPr>
          <w:rFonts w:cs="Arial"/>
        </w:rPr>
      </w:pPr>
      <w:r>
        <w:t xml:space="preserve">Im aktuellen Bericht wird die zentrale Rolle von Cannabis in Statistiken über Drogenkriminalität hervorgehoben, denen zufolge 80 % der Sicherstellungen auf die Droge und 60 % aller gemeldeten Drogendelikte in Europa auf den Konsum oder Besitz von Cannabis </w:t>
      </w:r>
      <w:r w:rsidR="003A4A9E">
        <w:t xml:space="preserve">für den eigenen Gebrauch </w:t>
      </w:r>
      <w:r>
        <w:t>entfallen (siehe Abbildung 1).</w:t>
      </w:r>
    </w:p>
    <w:p w:rsidR="000C1074" w:rsidRDefault="00226E8D" w:rsidP="00782D22">
      <w:pPr>
        <w:spacing w:before="100" w:beforeAutospacing="1" w:after="260" w:line="260" w:lineRule="exact"/>
        <w:ind w:right="-142"/>
        <w:rPr>
          <w:rFonts w:cs="Arial"/>
          <w:szCs w:val="20"/>
        </w:rPr>
      </w:pPr>
      <w:r>
        <w:t xml:space="preserve">Die Zahl der Sicherstellungen von Cannabiskraut in Europa überstieg im Jahr 2009 die von Cannabisharz, und diese Kluft hat sich noch weiter vergrößert (Abbildung 1.3). Im Jahr 2013 entfielen von den 671 000 in der EU gemeldeten Cannabis-Sicherstellungen 431 000 auf Cannabiskraut (Marihuana) und 240 000 auf Cannabisharz (Haschisch). Dieser Trend liegt vermutlich zum großen Teil in der Tatsache begründet, dass immer mehr </w:t>
      </w:r>
      <w:r w:rsidR="002246C8">
        <w:t xml:space="preserve">in Europa </w:t>
      </w:r>
      <w:r w:rsidR="00DE3943">
        <w:t xml:space="preserve">gezüchtetes </w:t>
      </w:r>
      <w:r>
        <w:t xml:space="preserve">Cannabiskraut verfügbar ist, was sich an der wachsenden Zahl der </w:t>
      </w:r>
      <w:r w:rsidR="00DE3943">
        <w:t xml:space="preserve">Beschlagnahmungen </w:t>
      </w:r>
      <w:r>
        <w:t xml:space="preserve">von Cannabispflanzen zeigt. </w:t>
      </w:r>
      <w:r>
        <w:rPr>
          <w:color w:val="000000"/>
        </w:rPr>
        <w:t>Dennoch ist die in der EU sichergestellte Menge an Cannabisharz immer noch deutlich höher als die Menge an sichergestelltem Cannabiskraut (460 Tonnen gegenüber 130 Tonnen).</w:t>
      </w:r>
    </w:p>
    <w:p w:rsidR="000C1074" w:rsidRDefault="00F6333E" w:rsidP="00782D22">
      <w:pPr>
        <w:spacing w:before="100" w:beforeAutospacing="1" w:after="260" w:line="260" w:lineRule="exact"/>
        <w:ind w:right="-142"/>
        <w:rPr>
          <w:rFonts w:cs="Arial"/>
          <w:szCs w:val="20"/>
        </w:rPr>
      </w:pPr>
      <w:r>
        <w:t>Mehr als 130 verschiedene synthetische Cannabinoide, die als legaler Ersatz für Cannabis verkauft werden</w:t>
      </w:r>
      <w:r w:rsidR="00DE3943">
        <w:t xml:space="preserve"> und </w:t>
      </w:r>
      <w:r>
        <w:t>dem Cannabismarkt eine neue Dimension hinzufüg</w:t>
      </w:r>
      <w:r w:rsidR="00DE3943">
        <w:t xml:space="preserve">en wurden bislang über das </w:t>
      </w:r>
      <w:r w:rsidR="00DE3943">
        <w:rPr>
          <w:b/>
        </w:rPr>
        <w:t>EU-Frühwarnsystem</w:t>
      </w:r>
      <w:r w:rsidR="00DE3943">
        <w:t xml:space="preserve"> entdeckt</w:t>
      </w:r>
      <w:r>
        <w:t>. Der Konsum dieser Substanzen kann gesundheitsschäd</w:t>
      </w:r>
      <w:r w:rsidR="00DE3943">
        <w:t>liche</w:t>
      </w:r>
      <w:r>
        <w:t xml:space="preserve"> Auswirkungen haben </w:t>
      </w:r>
      <w:r w:rsidR="00860ABE">
        <w:t xml:space="preserve">                             </w:t>
      </w:r>
      <w:r>
        <w:t xml:space="preserve">(z. B. Nierenschäden, kardiovaskuläre und pulmonale Erkrankungen und Krämpfe). Jüngste Todesfälle und akute Vergiftungen in Europa und der Welt im Zusammenhang mit diesen Substanzen haben die </w:t>
      </w:r>
      <w:r>
        <w:rPr>
          <w:b/>
        </w:rPr>
        <w:t>EMCDDA</w:t>
      </w:r>
      <w:r>
        <w:t xml:space="preserve"> dazu bewegt, Warnmeldungen in Bezug auf die Gefährdung der öffentlichen Gesundheit herauszugeben.</w:t>
      </w:r>
    </w:p>
    <w:p w:rsidR="00782D22" w:rsidRDefault="00782D22">
      <w:pPr>
        <w:rPr>
          <w:b/>
        </w:rPr>
      </w:pPr>
      <w:r>
        <w:rPr>
          <w:b/>
        </w:rPr>
        <w:br w:type="page"/>
      </w:r>
    </w:p>
    <w:p w:rsidR="000C1074" w:rsidRDefault="00050E92" w:rsidP="00782D22">
      <w:pPr>
        <w:spacing w:line="240" w:lineRule="auto"/>
        <w:outlineLvl w:val="2"/>
        <w:rPr>
          <w:rFonts w:eastAsia="Times New Roman" w:cs="Arial"/>
          <w:b/>
          <w:szCs w:val="20"/>
        </w:rPr>
      </w:pPr>
      <w:r w:rsidRPr="00C2187E">
        <w:rPr>
          <w:b/>
        </w:rPr>
        <w:lastRenderedPageBreak/>
        <w:t xml:space="preserve">Wettbewerb </w:t>
      </w:r>
      <w:r w:rsidR="00DE3943" w:rsidRPr="00C2187E">
        <w:rPr>
          <w:b/>
        </w:rPr>
        <w:t>im</w:t>
      </w:r>
      <w:r w:rsidRPr="00C2187E">
        <w:rPr>
          <w:b/>
        </w:rPr>
        <w:t xml:space="preserve"> umkämpften Stimulanzienmarkt</w:t>
      </w:r>
    </w:p>
    <w:p w:rsidR="007C5BE9" w:rsidRPr="00B44912" w:rsidRDefault="0080459C" w:rsidP="00782D22">
      <w:pPr>
        <w:spacing w:after="260" w:line="260" w:lineRule="exact"/>
        <w:ind w:right="-142"/>
        <w:outlineLvl w:val="2"/>
        <w:rPr>
          <w:rFonts w:eastAsia="Times New Roman" w:cs="Arial"/>
          <w:szCs w:val="20"/>
        </w:rPr>
      </w:pPr>
      <w:r w:rsidRPr="00C2187E">
        <w:t>Europa steht einem hart umkämpften Stimulanzienmarkt</w:t>
      </w:r>
      <w:r>
        <w:t xml:space="preserve"> gegenüber, auf dem sich das Angebot von Kokain, Amphetaminen, Ecstasy und einer wachsenden Anzahl an synthetischen Drogen an ähnliche Konsumentengruppen richtet. Kokain ist nach wie vor das am häufigsten konsumierte illegale Stimulans in Europa, doch konzentriert sich die Mehrheit der Konsumenten auf eine kleine Zahl von westlichen EU-Ländern. Schätzungsweise 3,4 Millionen Erwachsene der Altersgruppe zwischen 15 und 64 Jahren haben in den zurückliegenden zwölf Monaten Kokain konsumiert; davon waren 2,3 Millionen junge Erwachsene zwischen 15 und 34 Jahren. </w:t>
      </w:r>
      <w:r>
        <w:rPr>
          <w:color w:val="000000"/>
        </w:rPr>
        <w:t>Nur wenige Länder meldeten für die letzten zwölf Monate eine Kokain</w:t>
      </w:r>
      <w:r w:rsidR="00860ABE">
        <w:rPr>
          <w:color w:val="000000"/>
        </w:rPr>
        <w:t>-</w:t>
      </w:r>
      <w:r>
        <w:rPr>
          <w:color w:val="000000"/>
        </w:rPr>
        <w:t>prävalenz unter jungen Erwachsenen von mehr als 3 % (Abbildung 2.4). Bei den neuesten Daten ist ein Rückgang des Kokainkonsums feststellbar. Von den Ländern, die seit 2012 Erhebungen durchführen, meldeten acht niedrigere Schätzungen und drei höhere Schätzungen im Vergleich zur vorangegangenen Erhebung.</w:t>
      </w:r>
    </w:p>
    <w:p w:rsidR="009434EF" w:rsidRPr="00B44912" w:rsidRDefault="009434EF" w:rsidP="00782D22">
      <w:pPr>
        <w:spacing w:after="260" w:line="260" w:lineRule="exact"/>
        <w:ind w:right="-142"/>
        <w:outlineLvl w:val="2"/>
        <w:rPr>
          <w:rFonts w:cs="Arial"/>
          <w:szCs w:val="20"/>
        </w:rPr>
      </w:pPr>
      <w:r>
        <w:t>Der Konsum von Amphetaminen, darunter Amphetamine und Metamphetamine, liegt insgesamt auf niedrigerem Niveau als der Kokainkonsum in Europa</w:t>
      </w:r>
      <w:r w:rsidR="00DE3943">
        <w:t>.</w:t>
      </w:r>
      <w:r>
        <w:t xml:space="preserve"> </w:t>
      </w:r>
      <w:r w:rsidR="00DE3943">
        <w:t>S</w:t>
      </w:r>
      <w:r>
        <w:t xml:space="preserve">o gaben etwa 1,6 Millionen Erwachsene </w:t>
      </w:r>
      <w:r w:rsidR="00DE3943">
        <w:t xml:space="preserve">an, in den letzten 12 Monaten eine dieser Drogen konsumiert zu haben. </w:t>
      </w:r>
      <w:r>
        <w:t xml:space="preserve">1,3 Millionen davon waren junge Erwachsene im Alter zwischen 15 und 34 Jahren (Abbildung 2.5). Der aktuelle Bericht beleuchtet ferner neue Muster des Metamphetaminkonsums. So wurde in der </w:t>
      </w:r>
      <w:r>
        <w:rPr>
          <w:b/>
        </w:rPr>
        <w:t>Tschechischen Republik</w:t>
      </w:r>
      <w:r>
        <w:t xml:space="preserve"> ein deutlicher Anstieg des </w:t>
      </w:r>
      <w:r w:rsidR="00DE3943">
        <w:t xml:space="preserve">hochriskanten </w:t>
      </w:r>
      <w:r>
        <w:t>Metamphetaminkonsums (vor allem injizierender Konsum) beobachtet, wobei die Zahl der Konsumenten Schätzungen zufolge von rund 21 000 im Jahr 2007 auf über 34 000 im Jahr 2013 gestiegen ist. Des Weiteren wird aus einer Reihe von europäischen Ländern der injizierende Konsum von Metamphetamin in Kombination mit anderen Stimulanzien (z. B. synthetische Cathinone) unter kleinen Gruppen von Männern, die Geschlechtsverkehr mit anderen Männern praktizieren, gemeldet. Diese als „</w:t>
      </w:r>
      <w:r w:rsidRPr="00860ABE">
        <w:rPr>
          <w:i/>
        </w:rPr>
        <w:t>Slamming</w:t>
      </w:r>
      <w:r>
        <w:t xml:space="preserve">“ bezeichneten Praktiken geben aufgrund der Kombination von </w:t>
      </w:r>
      <w:r w:rsidR="00DE3943">
        <w:t xml:space="preserve">hochriskantem </w:t>
      </w:r>
      <w:r>
        <w:t xml:space="preserve">Drogenkonsum und </w:t>
      </w:r>
      <w:r w:rsidR="00DE3943">
        <w:t xml:space="preserve">riskantem </w:t>
      </w:r>
      <w:r>
        <w:t>Sexualverhalten Anlass zur Besorgnis.</w:t>
      </w:r>
    </w:p>
    <w:p w:rsidR="000C1074" w:rsidRPr="002331A0" w:rsidRDefault="009434EF" w:rsidP="009434EF">
      <w:pPr>
        <w:spacing w:after="260" w:line="260" w:lineRule="exact"/>
        <w:rPr>
          <w:rFonts w:cs="Arial"/>
          <w:szCs w:val="20"/>
        </w:rPr>
      </w:pPr>
      <w:r>
        <w:t>Schätzungsweise 2,1 Millionen Erwachsene der Altersgruppe zwischen 15 und 64 Jahren haben in den zurückliegenden zwölf Monaten Ecstasy konsumiert; davon waren 1,8 Millionen junge Erwachsene zwischen 15 und 34 Jahren (Abbildung 2.6). Nach einem Zeitraum, in dem als „Ecstasy“ verkaufte Tabletten unter Konsumenten im Ruf standen, von schlechter Qualität bzw. Produktfälschungen zu sein, ist hochreines MDMA in Pulver- und Tablettenform inzwischen weiter verbreitet (siehe den nachfolgenden Abschnitt zum Reinheitsgrad).</w:t>
      </w:r>
    </w:p>
    <w:p w:rsidR="009434EF" w:rsidRPr="00B40F29" w:rsidRDefault="009434EF" w:rsidP="00782D22">
      <w:pPr>
        <w:spacing w:after="260" w:line="260" w:lineRule="exact"/>
        <w:ind w:right="-142"/>
        <w:rPr>
          <w:rFonts w:cs="Arial"/>
          <w:szCs w:val="20"/>
          <w:u w:val="single"/>
        </w:rPr>
      </w:pPr>
      <w:r>
        <w:t xml:space="preserve">Synthetische Cathinone wie Mephedron, Pentedron und MDPV sind in einigen europäischen Ländern inzwischen zu einer festen Größe auf dem Markt für illegale Stimulanzien geworden und werden häufig abwechselnd mit Amphetamin und Ecstasy konsumiert. Der injizierende Konsum synthetischer Cathinone ist – obgleich in Europa kein besonders weit verbreitetes Phänomen – in einigen Ländern ein lokales Problem bei Gruppen von Hochrisiko-Drogenkonsumenten. Steigender Behandlungsbedarf im Zusammenhang mit dem Konsum dieser Substanzen wird aus </w:t>
      </w:r>
      <w:r>
        <w:rPr>
          <w:b/>
        </w:rPr>
        <w:t>Ungarn, Rumänien</w:t>
      </w:r>
      <w:r>
        <w:t xml:space="preserve"> und dem </w:t>
      </w:r>
      <w:r>
        <w:rPr>
          <w:b/>
        </w:rPr>
        <w:t>Vereinigten Königreich</w:t>
      </w:r>
      <w:r>
        <w:t xml:space="preserve"> gemeldet.</w:t>
      </w:r>
    </w:p>
    <w:p w:rsidR="000C1074" w:rsidRDefault="00D4757E" w:rsidP="00782D22">
      <w:pPr>
        <w:pStyle w:val="newsContent"/>
      </w:pPr>
      <w:r w:rsidRPr="000E54D0">
        <w:rPr>
          <w:b/>
        </w:rPr>
        <w:t xml:space="preserve">Zunahme </w:t>
      </w:r>
      <w:r w:rsidR="007C5BE9" w:rsidRPr="000E54D0">
        <w:rPr>
          <w:b/>
        </w:rPr>
        <w:t>des Wirkstoffgehalts und des Reinheitsgrads gibt Anlass zur Besorgnis</w:t>
      </w:r>
    </w:p>
    <w:p w:rsidR="007C5BE9" w:rsidRPr="00362CD8" w:rsidRDefault="007C5BE9" w:rsidP="00782D22">
      <w:pPr>
        <w:spacing w:after="260" w:line="260" w:lineRule="exact"/>
        <w:ind w:right="-142"/>
        <w:rPr>
          <w:rFonts w:cs="Arial"/>
          <w:szCs w:val="20"/>
        </w:rPr>
      </w:pPr>
      <w:r>
        <w:t>Ein zentraler Befund des diesjährigen Berichts ist der deutliche Anstieg des Wirkstoffgehalts und des Reinheitsgrads der europaweit am häufigsten konsumierten illegalen Drogen, was Bedenken hinsichtlich der Gesundheit der Konsumenten hervorruft, die bewusst oder unbewusst möglicherweise stärkere Produkte konsumieren (Kapitel 1). Die Gesam</w:t>
      </w:r>
      <w:r w:rsidR="00860ABE">
        <w:t>tentwicklung im Zeitraum 2006–</w:t>
      </w:r>
      <w:r>
        <w:t>13 zeigt, dass in den Ländern, die regelmäßig Meldungen übermitteln, ein Anstieg des Wirkstoffgehalts von Cannabis (THC-Gehalt), des Reinheitsgrads von Kokain und des MDMA-Gehalts in Ecstasytabletten zu verzeichnen sind; der Reinheitsgrad von Heroin ist 2013 ebenfalls gestiegen. Technische Innovation und Wettbewerb sind zwei Faktoren, die aller Wahrscheinlichkeit nach für diesen Trend verantwortlich sind.</w:t>
      </w:r>
    </w:p>
    <w:p w:rsidR="000C1074" w:rsidRDefault="007C5BE9" w:rsidP="007C5BE9">
      <w:pPr>
        <w:spacing w:after="260" w:line="260" w:lineRule="exact"/>
        <w:rPr>
          <w:rFonts w:cs="Arial"/>
          <w:szCs w:val="20"/>
        </w:rPr>
      </w:pPr>
      <w:r>
        <w:t xml:space="preserve">Hervorgehoben werden Bedenken angesichts von Ecstasytabletten mit hohem MDMA-Gehalt, die oft in individuellen Formen und mit markanten Logos angeboten werden. Im Laufe des vergangenen Jahres haben die </w:t>
      </w:r>
      <w:r>
        <w:rPr>
          <w:b/>
        </w:rPr>
        <w:t>EMCDDA</w:t>
      </w:r>
      <w:r>
        <w:t xml:space="preserve"> und </w:t>
      </w:r>
      <w:r>
        <w:rPr>
          <w:b/>
        </w:rPr>
        <w:t>Europol</w:t>
      </w:r>
      <w:r>
        <w:t xml:space="preserve"> Warnmitteilungen zu Gesundheitsrisiken im Zusammenhang mit dem Konsum derartiger Produkte herausgegeben. Weitere Warnmitteilungen, die nach einer Reihe von </w:t>
      </w:r>
      <w:r>
        <w:lastRenderedPageBreak/>
        <w:t>Todesfällen herausgegeben wurden, betrafen Tabletten, die als Ecstasy verkauft wurden, aber andere schädliche Substanzen wie PMMA enthielten.</w:t>
      </w:r>
    </w:p>
    <w:p w:rsidR="000C1074" w:rsidRDefault="000D1C68" w:rsidP="007C5BE9">
      <w:pPr>
        <w:spacing w:after="260" w:line="260" w:lineRule="exact"/>
        <w:rPr>
          <w:rFonts w:cs="Arial"/>
          <w:b/>
          <w:szCs w:val="20"/>
        </w:rPr>
      </w:pPr>
      <w:r>
        <w:rPr>
          <w:b/>
        </w:rPr>
        <w:t>Zwei „neue Drogen“ pro Woche entdeckt</w:t>
      </w:r>
    </w:p>
    <w:p w:rsidR="00C175B5" w:rsidRPr="0080459C" w:rsidRDefault="00C175B5" w:rsidP="00782D22">
      <w:pPr>
        <w:pStyle w:val="newsContent"/>
      </w:pPr>
      <w:r>
        <w:t>Pro Woche wurden in den letzten zwölf Monaten in der EU zwei neue psychoaktive Substanzen (NPS oder „neue Drogen“, häufig als „</w:t>
      </w:r>
      <w:r w:rsidRPr="00860ABE">
        <w:rPr>
          <w:i/>
        </w:rPr>
        <w:t>Legal Highs</w:t>
      </w:r>
      <w:r>
        <w:t xml:space="preserve">“ verkauft) entdeckt. Insgesamt wurden dem </w:t>
      </w:r>
      <w:r>
        <w:rPr>
          <w:b/>
        </w:rPr>
        <w:t>EU-Frühwarnsystem</w:t>
      </w:r>
      <w:r>
        <w:t xml:space="preserve"> im Jahr 2014 101 neue Substanzen gemeldet (gegenüber 81 Substanzen im Jahr 2013). Damit setzte </w:t>
      </w:r>
      <w:r w:rsidR="00477781">
        <w:t xml:space="preserve">            </w:t>
      </w:r>
      <w:r>
        <w:t xml:space="preserve">sich der Aufwärtstrend bei Substanzen, die innerhalb eines einzelnen Jahres gemeldet wurden, fort (Abbildung 1.12). </w:t>
      </w:r>
      <w:r w:rsidR="00D4757E">
        <w:t>D</w:t>
      </w:r>
      <w:r>
        <w:t xml:space="preserve">ie Gesamtzahl von Substanzen, die von der Beobachtungsstelle überwacht werden, </w:t>
      </w:r>
      <w:r w:rsidR="00D4757E">
        <w:t xml:space="preserve">steigt so </w:t>
      </w:r>
      <w:r>
        <w:t>auf über 450, wobei mehr als die Hälfte allein in den zurückliegenden drei Jahren identifiziert wurde.</w:t>
      </w:r>
    </w:p>
    <w:p w:rsidR="00C175B5" w:rsidRPr="00F613F0" w:rsidRDefault="00C175B5" w:rsidP="00782D22">
      <w:pPr>
        <w:pStyle w:val="newsContent"/>
      </w:pPr>
      <w:r>
        <w:t>Im Jahr 2014 wurde die Liste der gemeldeten Substanzen einmal mehr von zwei Gruppen dominiert</w:t>
      </w:r>
      <w:r w:rsidR="00110F9C">
        <w:t xml:space="preserve">: </w:t>
      </w:r>
      <w:r>
        <w:t xml:space="preserve">von synthetischen Cathinonen (31 Substanzen) und synthetischen Cannabinoiden (30 Substanzen), die jeweils häufig als legaler Ersatz für Stimulanzien bzw. Cannabis angeboten werden. Diese beiden Gruppen sind die größten über das EU-Frühwarnsystem beobachteten Gruppen und machen zusammen fast zwei Drittel der im Jahr 2014 gemeldeten neuen Drogen aus. Neue Daten zu Sicherstellungen zeigen, dass im Jahr 2013 in der EU etwa 35 000 Sicherstellungen </w:t>
      </w:r>
      <w:r w:rsidR="00110F9C">
        <w:t xml:space="preserve">von NPS </w:t>
      </w:r>
      <w:r>
        <w:t>gemeldet wurden</w:t>
      </w:r>
      <w:r w:rsidR="00110F9C">
        <w:t>.</w:t>
      </w:r>
      <w:r>
        <w:t xml:space="preserve"> </w:t>
      </w:r>
      <w:r w:rsidR="00110F9C">
        <w:t>D</w:t>
      </w:r>
      <w:r>
        <w:t xml:space="preserve">iese Zahl </w:t>
      </w:r>
      <w:r w:rsidR="00110F9C">
        <w:t xml:space="preserve">ist </w:t>
      </w:r>
      <w:r>
        <w:t xml:space="preserve">in Ermangelung von routinemäßigen Meldungen in diesem Bereich als Mindestschätzung anzusehen. </w:t>
      </w:r>
      <w:r w:rsidR="00477781">
        <w:t xml:space="preserve">                 </w:t>
      </w:r>
      <w:r>
        <w:t>Die am häufigsten sichergestellten Drogen waren synthetische Cannabinoide und synthetische Cathinone (Abbildung 1.2).</w:t>
      </w:r>
    </w:p>
    <w:p w:rsidR="00C175B5" w:rsidRPr="004E7B44" w:rsidRDefault="00C175B5" w:rsidP="00782D22">
      <w:pPr>
        <w:pStyle w:val="newsContent"/>
      </w:pPr>
      <w:r>
        <w:t xml:space="preserve">Neue Studien und Erhebungen gewähren zunehmend Einblicke in den Konsum von NPS, wobei neun Länder die NPS-Prävalenz mittlerweile in ihre nationalen Drogenerhebungen aufgenommen haben. </w:t>
      </w:r>
      <w:r w:rsidR="00860ABE">
        <w:t xml:space="preserve">                 </w:t>
      </w:r>
      <w:r>
        <w:t xml:space="preserve">Die meisten EU-Länder weisen eine niedrige Prävalenz des Konsums dieser Substanzen auf. </w:t>
      </w:r>
      <w:r w:rsidR="00477781">
        <w:t xml:space="preserve">                 </w:t>
      </w:r>
      <w:r>
        <w:t>Allerdings kann aufgrund der hochtoxischen Eigenschaften einiger NPS auch ein begrenzter Konsum dieser Substanzen problematisch sein. Die gesundheits- und sozialpolitischen Maßnahmen zur Bewältigung der durch neue Drogen entstehenden Herausforderungen gewinnen an Dynamik und entsprechen dem gesamten Spektrum an Maßnahmen zur Bekämpfung der stärker etablierten Drogen (z. B. Aufklärungsarbeit, internetbasierte Interventionen und Nadel- und Spritzenaustauschprogramme).</w:t>
      </w:r>
    </w:p>
    <w:p w:rsidR="0001152D" w:rsidRPr="00AC750C" w:rsidRDefault="0001152D" w:rsidP="0001152D">
      <w:pPr>
        <w:spacing w:after="260" w:line="260" w:lineRule="exact"/>
        <w:rPr>
          <w:rFonts w:cs="Arial"/>
          <w:b/>
          <w:szCs w:val="20"/>
        </w:rPr>
      </w:pPr>
      <w:r>
        <w:rPr>
          <w:b/>
        </w:rPr>
        <w:t>Das Internet und Apps: Entwicklung eines virtuellen Drogenmarkts</w:t>
      </w:r>
    </w:p>
    <w:p w:rsidR="000C1074" w:rsidRPr="00CD3FFC" w:rsidRDefault="0001152D" w:rsidP="000E54D0">
      <w:pPr>
        <w:pStyle w:val="NormalWeb"/>
        <w:spacing w:after="260" w:afterAutospacing="0" w:line="260" w:lineRule="exact"/>
        <w:ind w:right="-142"/>
        <w:rPr>
          <w:rFonts w:ascii="Arial" w:hAnsi="Arial" w:cs="Arial"/>
          <w:sz w:val="20"/>
          <w:szCs w:val="20"/>
        </w:rPr>
      </w:pPr>
      <w:r>
        <w:rPr>
          <w:rFonts w:ascii="Arial" w:hAnsi="Arial"/>
          <w:sz w:val="20"/>
        </w:rPr>
        <w:t xml:space="preserve">Das Internet spielt beim Nachschub und der Vermarktung von Drogen in Europa eine immer wichtigere Rolle; so werden sowohl NPS als auch etablierte Drogen online zum Kauf angeboten. Die Nutzung des über die einschlägigen Suchmaschinen zugänglichen „Surface Web“ zum Verkauf von NPS hat in den letzten zehn Jahren größere Aufmerksamkeit erfahren. So identifizierte die </w:t>
      </w:r>
      <w:r>
        <w:rPr>
          <w:rFonts w:ascii="Arial" w:hAnsi="Arial"/>
          <w:b/>
          <w:sz w:val="20"/>
        </w:rPr>
        <w:t>EMCDDA</w:t>
      </w:r>
      <w:r>
        <w:rPr>
          <w:rFonts w:ascii="Arial" w:hAnsi="Arial"/>
          <w:sz w:val="20"/>
        </w:rPr>
        <w:t xml:space="preserve"> rund 650 Websites, auf der „Legal Highs“ für die europäische Kundschaft angeboten werden. Eine problematische Entwicklung auf dem Online-Markt ist der Verkauf illegaler Drogen auf „Kryptomärkten“ oder auf Online-Marktplätzen im „Deep Web“, die über Verschlüsselungssoftware zugänglich sind. Auf derartigen Plattformen können Waren und Dienstleistungen anonym zwischen den Parteien ausgetauscht werden. Dabei werden häufig „Kryptowährungen“ (z. B. Bitcoin) eingesetzt, um verborgene Transaktionen zu erleichtern. Sogenannte „graue Märkte“ sind ebenfalls zunehmend zu finden. Hierbei handelt es sich um Websites, die sowohl im „Surface Web“ als auch im „Deep Web“ betrieben werden. Im Bericht wird erläutert, wie soziale Medien und Apps bei derartigen Drogengeschäften eingesetzt werden – entweder direkt zum Kaufen und Verkaufen von Drogen oder indirekt zu Zwecken des Marketings, der Meinungsbildung oder des Erfahrungsaustausches.</w:t>
      </w:r>
    </w:p>
    <w:p w:rsidR="000C1074" w:rsidRDefault="0001152D" w:rsidP="000E54D0">
      <w:pPr>
        <w:spacing w:after="260" w:line="260" w:lineRule="exact"/>
        <w:rPr>
          <w:rFonts w:cs="Arial"/>
          <w:szCs w:val="20"/>
        </w:rPr>
      </w:pPr>
      <w:r>
        <w:t>„Insgesamt stellt das Wachstum der Online- und virtuellen Drogenmärkte Strafverfolgung und Drogenkontrollpolitik vor große Herausforderungen“, lautet eine</w:t>
      </w:r>
      <w:r w:rsidR="00087052">
        <w:t xml:space="preserve"> zentrale</w:t>
      </w:r>
      <w:r>
        <w:t xml:space="preserve"> Aussage des Berichts. Bestehende Reg</w:t>
      </w:r>
      <w:r w:rsidR="00087052">
        <w:t>u</w:t>
      </w:r>
      <w:r>
        <w:t>l</w:t>
      </w:r>
      <w:r w:rsidR="00087052">
        <w:t>ier</w:t>
      </w:r>
      <w:r>
        <w:t>ungsmodelle müssten angepasst werden, um in einem globalen und virtuellen Kontext zu funktionieren.</w:t>
      </w:r>
    </w:p>
    <w:p w:rsidR="00477781" w:rsidRDefault="00477781" w:rsidP="000E54D0">
      <w:pPr>
        <w:spacing w:after="260" w:line="260" w:lineRule="exact"/>
        <w:rPr>
          <w:rStyle w:val="header-line-3"/>
        </w:rPr>
      </w:pPr>
    </w:p>
    <w:p w:rsidR="000C1074" w:rsidRDefault="00DB5716" w:rsidP="000E54D0">
      <w:pPr>
        <w:spacing w:after="260" w:line="260" w:lineRule="exact"/>
        <w:rPr>
          <w:rStyle w:val="header-line-3"/>
          <w:rFonts w:cs="Arial"/>
          <w:color w:val="FF0000"/>
          <w:szCs w:val="20"/>
          <w:highlight w:val="yellow"/>
        </w:rPr>
      </w:pPr>
      <w:r>
        <w:rPr>
          <w:rStyle w:val="header-line-3"/>
          <w:b/>
        </w:rPr>
        <w:lastRenderedPageBreak/>
        <w:t>João Goulão, Vorsitzender des Verwaltungsrates der EMCDDA</w:t>
      </w:r>
      <w:r w:rsidRPr="000E54D0">
        <w:rPr>
          <w:rStyle w:val="header-line-3"/>
        </w:rPr>
        <w:t>,</w:t>
      </w:r>
      <w:r>
        <w:rPr>
          <w:rStyle w:val="header-line-3"/>
        </w:rPr>
        <w:t xml:space="preserve"> zieht folgendes Fazit: </w:t>
      </w:r>
      <w:r w:rsidR="00C2187E">
        <w:rPr>
          <w:rStyle w:val="header-line-3"/>
        </w:rPr>
        <w:t xml:space="preserve">                       </w:t>
      </w:r>
      <w:r>
        <w:rPr>
          <w:rStyle w:val="header-line-3"/>
        </w:rPr>
        <w:t xml:space="preserve">„Diese 20. Analyse der europäischen Drogenproblematik macht deutlich, wie viel sich seit </w:t>
      </w:r>
      <w:r w:rsidR="00961B72">
        <w:rPr>
          <w:rStyle w:val="header-line-3"/>
        </w:rPr>
        <w:t xml:space="preserve">der </w:t>
      </w:r>
      <w:r>
        <w:rPr>
          <w:rStyle w:val="header-line-3"/>
        </w:rPr>
        <w:t>Veröffentlichung des ersten Berichts der EMCDDA im Jahr 1996 geändert und wie sehr die Beobachtungsstelle ihre Kenntnisse in diesem Bereich vertieft hat. Die Drogenproblematik ist inzwischen weitaus komplexer, da viele der in diesem Bericht genannten Substanzen vor zwei Jahrzehnten praktisch unbekannt waren. Die Grenzen zwischen alten und neuen Drogen verschwimmen ebenfalls immer mehr, da neuartige Substanzen zunehmend kontrollierte Drogen nachahmen. Dieser jährliche Einblick in die Drogenproblematik in Europa bildet eine wertvolle Grundlage für fundierte Diskussionen über die aktuelle Drogenpolitik. Außerdem vermittelt er wichtige Erkenntnisse im Hinblick auf politische Strategien, die in der Zukunft benötigt werden.“</w:t>
      </w:r>
      <w:bookmarkStart w:id="0" w:name="_GoBack"/>
      <w:bookmarkEnd w:id="0"/>
    </w:p>
    <w:p w:rsidR="00C6303A" w:rsidRDefault="00C6303A" w:rsidP="00D57CC0">
      <w:pPr>
        <w:spacing w:after="0" w:line="240" w:lineRule="auto"/>
        <w:rPr>
          <w:rStyle w:val="header-line-3"/>
          <w:rFonts w:cs="Arial"/>
          <w:b/>
          <w:sz w:val="16"/>
          <w:szCs w:val="16"/>
        </w:rPr>
      </w:pPr>
    </w:p>
    <w:p w:rsidR="008C53EC" w:rsidRPr="0002521E" w:rsidRDefault="001F4003" w:rsidP="00D57CC0">
      <w:pPr>
        <w:spacing w:after="0" w:line="240" w:lineRule="auto"/>
        <w:rPr>
          <w:rStyle w:val="header-line-3"/>
          <w:rFonts w:cs="Arial"/>
          <w:b/>
          <w:sz w:val="16"/>
          <w:szCs w:val="16"/>
        </w:rPr>
      </w:pPr>
      <w:r>
        <w:rPr>
          <w:rStyle w:val="header-line-3"/>
          <w:b/>
          <w:sz w:val="16"/>
        </w:rPr>
        <w:t>Anmerkungen</w:t>
      </w:r>
    </w:p>
    <w:p w:rsidR="000C1074" w:rsidRPr="00860ABE" w:rsidRDefault="008C53EC" w:rsidP="00184E73">
      <w:pPr>
        <w:spacing w:after="0" w:line="240" w:lineRule="auto"/>
        <w:rPr>
          <w:rFonts w:cs="Arial"/>
          <w:sz w:val="16"/>
          <w:szCs w:val="16"/>
        </w:rPr>
      </w:pPr>
      <w:r w:rsidRPr="00860ABE">
        <w:rPr>
          <w:rStyle w:val="header-line-3"/>
          <w:sz w:val="16"/>
          <w:szCs w:val="16"/>
        </w:rPr>
        <w:t>(</w:t>
      </w:r>
      <w:r w:rsidRPr="00860ABE">
        <w:rPr>
          <w:rStyle w:val="header-line-3"/>
          <w:sz w:val="16"/>
          <w:szCs w:val="16"/>
          <w:vertAlign w:val="superscript"/>
        </w:rPr>
        <w:t>1</w:t>
      </w:r>
      <w:r w:rsidRPr="00860ABE">
        <w:rPr>
          <w:rStyle w:val="header-line-3"/>
          <w:sz w:val="16"/>
          <w:szCs w:val="16"/>
        </w:rPr>
        <w:t xml:space="preserve">) </w:t>
      </w:r>
      <w:r w:rsidRPr="00860ABE">
        <w:rPr>
          <w:sz w:val="16"/>
          <w:szCs w:val="16"/>
        </w:rPr>
        <w:t>Das vollständige Informationspaket „</w:t>
      </w:r>
      <w:r w:rsidRPr="00860ABE">
        <w:rPr>
          <w:b/>
          <w:i/>
          <w:sz w:val="16"/>
          <w:szCs w:val="16"/>
        </w:rPr>
        <w:t>Europäischer Drogenbericht</w:t>
      </w:r>
      <w:r w:rsidRPr="00860ABE">
        <w:rPr>
          <w:sz w:val="16"/>
          <w:szCs w:val="16"/>
        </w:rPr>
        <w:t> </w:t>
      </w:r>
      <w:r w:rsidRPr="00860ABE">
        <w:rPr>
          <w:b/>
          <w:i/>
          <w:sz w:val="16"/>
          <w:szCs w:val="16"/>
        </w:rPr>
        <w:t>2015</w:t>
      </w:r>
      <w:r w:rsidRPr="00860ABE">
        <w:rPr>
          <w:sz w:val="16"/>
          <w:szCs w:val="16"/>
        </w:rPr>
        <w:t xml:space="preserve">“ ist erhältlich unter </w:t>
      </w:r>
      <w:hyperlink r:id="rId10">
        <w:r w:rsidRPr="00860ABE">
          <w:rPr>
            <w:rStyle w:val="Hyperlink"/>
            <w:sz w:val="16"/>
            <w:szCs w:val="16"/>
          </w:rPr>
          <w:t>www.emcdda.europa.eu/edr2015</w:t>
        </w:r>
      </w:hyperlink>
    </w:p>
    <w:p w:rsidR="000C1074" w:rsidRPr="00860ABE" w:rsidRDefault="000A4F68" w:rsidP="00184E73">
      <w:pPr>
        <w:spacing w:after="0" w:line="240" w:lineRule="auto"/>
        <w:rPr>
          <w:rFonts w:cs="Arial"/>
          <w:sz w:val="16"/>
          <w:szCs w:val="16"/>
        </w:rPr>
      </w:pPr>
      <w:r w:rsidRPr="00860ABE">
        <w:rPr>
          <w:sz w:val="16"/>
          <w:szCs w:val="16"/>
        </w:rPr>
        <w:t>Die Daten in diesem Bericht beziehen sich auf das Jahr 2013 bzw. das letzte verfügbare Jahr.</w:t>
      </w:r>
    </w:p>
    <w:p w:rsidR="000C1074" w:rsidRPr="00860ABE" w:rsidRDefault="008C53EC" w:rsidP="00184E73">
      <w:pPr>
        <w:spacing w:after="0" w:line="240" w:lineRule="auto"/>
        <w:rPr>
          <w:rFonts w:cs="Arial"/>
          <w:sz w:val="16"/>
          <w:szCs w:val="16"/>
          <w:highlight w:val="yellow"/>
        </w:rPr>
      </w:pPr>
      <w:r w:rsidRPr="00860ABE">
        <w:rPr>
          <w:rStyle w:val="header-line-3"/>
          <w:sz w:val="16"/>
          <w:szCs w:val="16"/>
        </w:rPr>
        <w:t>(</w:t>
      </w:r>
      <w:r w:rsidRPr="00860ABE">
        <w:rPr>
          <w:rStyle w:val="header-line-3"/>
          <w:sz w:val="16"/>
          <w:szCs w:val="16"/>
          <w:vertAlign w:val="superscript"/>
        </w:rPr>
        <w:t>2</w:t>
      </w:r>
      <w:r w:rsidRPr="00860ABE">
        <w:rPr>
          <w:rStyle w:val="header-line-3"/>
          <w:sz w:val="16"/>
          <w:szCs w:val="16"/>
        </w:rPr>
        <w:t xml:space="preserve">) </w:t>
      </w:r>
      <w:hyperlink r:id="rId11">
        <w:r w:rsidRPr="00860ABE">
          <w:rPr>
            <w:rStyle w:val="Hyperlink"/>
            <w:sz w:val="16"/>
            <w:szCs w:val="16"/>
          </w:rPr>
          <w:t>www.unodc.org/documents/wdr2014/World_Drug_Report_2014_web.pdf</w:t>
        </w:r>
      </w:hyperlink>
    </w:p>
    <w:p w:rsidR="008C53EC" w:rsidRPr="00860ABE" w:rsidRDefault="00477781" w:rsidP="00184E73">
      <w:pPr>
        <w:spacing w:after="0" w:line="240" w:lineRule="auto"/>
        <w:rPr>
          <w:rFonts w:cs="Arial"/>
          <w:sz w:val="16"/>
          <w:szCs w:val="16"/>
        </w:rPr>
      </w:pPr>
      <w:hyperlink r:id="rId12">
        <w:r w:rsidR="00117596" w:rsidRPr="00860ABE">
          <w:rPr>
            <w:rStyle w:val="Hyperlink"/>
            <w:sz w:val="16"/>
            <w:szCs w:val="16"/>
          </w:rPr>
          <w:t>www.unodc.org/documents/crop-monitoring/Afghanistan/Afghan-opium-survey-2014.pdf</w:t>
        </w:r>
      </w:hyperlink>
    </w:p>
    <w:p w:rsidR="000C1074" w:rsidRPr="00860ABE" w:rsidRDefault="0002128C" w:rsidP="00184E73">
      <w:pPr>
        <w:spacing w:after="0" w:line="240" w:lineRule="auto"/>
        <w:rPr>
          <w:rStyle w:val="Hyperlink"/>
          <w:rFonts w:cs="Arial"/>
          <w:sz w:val="16"/>
          <w:szCs w:val="16"/>
        </w:rPr>
      </w:pPr>
      <w:r w:rsidRPr="00860ABE">
        <w:rPr>
          <w:rStyle w:val="header-line-3"/>
          <w:sz w:val="16"/>
          <w:szCs w:val="16"/>
        </w:rPr>
        <w:t>(</w:t>
      </w:r>
      <w:r w:rsidRPr="00860ABE">
        <w:rPr>
          <w:rStyle w:val="header-line-3"/>
          <w:sz w:val="16"/>
          <w:szCs w:val="16"/>
          <w:vertAlign w:val="superscript"/>
        </w:rPr>
        <w:t>3</w:t>
      </w:r>
      <w:r w:rsidRPr="00860ABE">
        <w:rPr>
          <w:rStyle w:val="header-line-3"/>
          <w:sz w:val="16"/>
          <w:szCs w:val="16"/>
        </w:rPr>
        <w:t xml:space="preserve">) </w:t>
      </w:r>
      <w:hyperlink r:id="rId13">
        <w:r w:rsidRPr="00860ABE">
          <w:rPr>
            <w:rStyle w:val="Hyperlink"/>
            <w:sz w:val="16"/>
            <w:szCs w:val="16"/>
          </w:rPr>
          <w:t>www.emcdda.europa.eu/news/2015/naloxone</w:t>
        </w:r>
      </w:hyperlink>
    </w:p>
    <w:p w:rsidR="00EC5A9C" w:rsidRPr="00860ABE" w:rsidRDefault="0060343A" w:rsidP="00184E73">
      <w:pPr>
        <w:spacing w:after="0" w:line="240" w:lineRule="auto"/>
        <w:rPr>
          <w:rStyle w:val="Hyperlink"/>
          <w:rFonts w:cs="Arial"/>
          <w:sz w:val="16"/>
          <w:szCs w:val="16"/>
        </w:rPr>
      </w:pPr>
      <w:r w:rsidRPr="00860ABE">
        <w:rPr>
          <w:rStyle w:val="header-line-3"/>
          <w:sz w:val="16"/>
          <w:szCs w:val="16"/>
        </w:rPr>
        <w:t>(</w:t>
      </w:r>
      <w:r w:rsidRPr="00860ABE">
        <w:rPr>
          <w:rStyle w:val="header-line-3"/>
          <w:sz w:val="16"/>
          <w:szCs w:val="16"/>
          <w:vertAlign w:val="superscript"/>
        </w:rPr>
        <w:t>4</w:t>
      </w:r>
      <w:r w:rsidRPr="00860ABE">
        <w:rPr>
          <w:rStyle w:val="header-line-3"/>
          <w:sz w:val="16"/>
          <w:szCs w:val="16"/>
        </w:rPr>
        <w:t xml:space="preserve">) </w:t>
      </w:r>
      <w:hyperlink r:id="rId14">
        <w:r w:rsidRPr="00860ABE">
          <w:rPr>
            <w:rStyle w:val="Hyperlink"/>
            <w:sz w:val="16"/>
            <w:szCs w:val="16"/>
          </w:rPr>
          <w:t>www.emcdda.europa.eu/news/2015/treatment-of-cannabis-related-disorders-in-Europe</w:t>
        </w:r>
      </w:hyperlink>
    </w:p>
    <w:sectPr w:rsidR="00EC5A9C" w:rsidRPr="00860ABE" w:rsidSect="00F57B5A">
      <w:headerReference w:type="default" r:id="rId15"/>
      <w:footerReference w:type="default" r:id="rId16"/>
      <w:footerReference w:type="first" r:id="rId17"/>
      <w:type w:val="continuous"/>
      <w:pgSz w:w="11906" w:h="16838" w:code="9"/>
      <w:pgMar w:top="1276" w:right="1274" w:bottom="709" w:left="1276" w:header="73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2C3" w:rsidRDefault="004242C3" w:rsidP="009A28FB">
      <w:pPr>
        <w:spacing w:after="0" w:line="240" w:lineRule="auto"/>
      </w:pPr>
      <w:r>
        <w:separator/>
      </w:r>
    </w:p>
  </w:endnote>
  <w:endnote w:type="continuationSeparator" w:id="0">
    <w:p w:rsidR="004242C3" w:rsidRDefault="004242C3" w:rsidP="009A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Trivia Sans Regular">
    <w:altName w:val="Trivia Sans Regular"/>
    <w:panose1 w:val="00000000000000000000"/>
    <w:charset w:val="00"/>
    <w:family w:val="swiss"/>
    <w:notTrueType/>
    <w:pitch w:val="default"/>
    <w:sig w:usb0="00000003" w:usb1="00000000" w:usb2="00000000" w:usb3="00000000" w:csb0="00000001" w:csb1="00000000"/>
  </w:font>
  <w:font w:name="Zapf Dingbats">
    <w:altName w:val="ZapfDingbat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rivia Sans Book">
    <w:altName w:val="Trivia Sans Book"/>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197"/>
      <w:gridCol w:w="7293"/>
    </w:tblGrid>
    <w:tr w:rsidR="00031350" w:rsidTr="002F4635">
      <w:tc>
        <w:tcPr>
          <w:tcW w:w="1444" w:type="dxa"/>
        </w:tcPr>
        <w:p w:rsidR="00031350" w:rsidRDefault="00031350" w:rsidP="00D37865">
          <w:pPr>
            <w:pStyle w:val="newsCoordinates"/>
          </w:pPr>
          <w:r>
            <w:rPr>
              <w:noProof/>
              <w:lang w:val="en-GB" w:eastAsia="en-GB" w:bidi="ar-SA"/>
            </w:rPr>
            <mc:AlternateContent>
              <mc:Choice Requires="wps">
                <w:drawing>
                  <wp:anchor distT="0" distB="0" distL="114300" distR="114300" simplePos="0" relativeHeight="251663360" behindDoc="1" locked="0" layoutInCell="1" allowOverlap="1" wp14:anchorId="61143E82" wp14:editId="60AEFCEE">
                    <wp:simplePos x="0" y="0"/>
                    <wp:positionH relativeFrom="page">
                      <wp:posOffset>35560</wp:posOffset>
                    </wp:positionH>
                    <wp:positionV relativeFrom="page">
                      <wp:posOffset>15240</wp:posOffset>
                    </wp:positionV>
                    <wp:extent cx="1" cy="108000"/>
                    <wp:effectExtent l="0" t="0" r="19050" b="25400"/>
                    <wp:wrapNone/>
                    <wp:docPr id="14" name="Straight Connector 14"/>
                    <wp:cNvGraphicFramePr/>
                    <a:graphic xmlns:a="http://schemas.openxmlformats.org/drawingml/2006/main">
                      <a:graphicData uri="http://schemas.microsoft.com/office/word/2010/wordprocessingShape">
                        <wps:wsp>
                          <wps:cNvCnPr/>
                          <wps:spPr>
                            <a:xfrm flipH="1">
                              <a:off x="0" y="0"/>
                              <a:ext cx="1" cy="1080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id="Straight Connector 14" o:spid="_x0000_s1026" style="position:absolute;flip:x;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8pt,1.2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" strokecolor="#009" strokeweight="1.5pt">
                    <w10:wrap xmlns:w10="urn:schemas-microsoft-com:office:word" anchorx="page" anchory="page"/>
                  </v:line>
                </w:pict>
              </mc:Fallback>
            </mc:AlternateContent>
          </w:r>
          <w:r>
            <w:t xml:space="preserve">emcdda.europa.eu </w:t>
          </w:r>
        </w:p>
      </w:tc>
      <w:tc>
        <w:tcPr>
          <w:tcW w:w="3294" w:type="dxa"/>
          <w:vAlign w:val="bottom"/>
        </w:tcPr>
        <w:p w:rsidR="00031350" w:rsidRDefault="00031350" w:rsidP="00BF1E3B">
          <w:pPr>
            <w:pStyle w:val="newsReference"/>
            <w:jc w:val="right"/>
          </w:pPr>
          <w:r>
            <w:fldChar w:fldCharType="begin"/>
          </w:r>
          <w:r>
            <w:instrText xml:space="preserve"> PAGE   \* MERGEFORMAT </w:instrText>
          </w:r>
          <w:r>
            <w:fldChar w:fldCharType="separate"/>
          </w:r>
          <w:r w:rsidR="00477781">
            <w:rPr>
              <w:noProof/>
            </w:rPr>
            <w:t>7</w:t>
          </w:r>
          <w:r>
            <w:rPr>
              <w:noProof/>
            </w:rPr>
            <w:fldChar w:fldCharType="end"/>
          </w:r>
        </w:p>
      </w:tc>
    </w:tr>
  </w:tbl>
  <w:p w:rsidR="00031350" w:rsidRDefault="00031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031350" w:rsidTr="00860ABE">
      <w:tc>
        <w:tcPr>
          <w:tcW w:w="7196" w:type="dxa"/>
        </w:tcPr>
        <w:p w:rsidR="000C1074" w:rsidRDefault="00031350" w:rsidP="00031350">
          <w:pPr>
            <w:pStyle w:val="newsCoordinates"/>
          </w:pPr>
          <w:r>
            <w:rPr>
              <w:noProof/>
              <w:lang w:val="en-GB" w:eastAsia="en-GB" w:bidi="ar-SA"/>
            </w:rPr>
            <mc:AlternateContent>
              <mc:Choice Requires="wps">
                <w:drawing>
                  <wp:anchor distT="0" distB="0" distL="114300" distR="114300" simplePos="0" relativeHeight="251665408" behindDoc="1" locked="0" layoutInCell="1" allowOverlap="1" wp14:anchorId="3A70C088" wp14:editId="1296FE52">
                    <wp:simplePos x="0" y="0"/>
                    <wp:positionH relativeFrom="page">
                      <wp:posOffset>32385</wp:posOffset>
                    </wp:positionH>
                    <wp:positionV relativeFrom="page">
                      <wp:posOffset>-14605</wp:posOffset>
                    </wp:positionV>
                    <wp:extent cx="0" cy="431800"/>
                    <wp:effectExtent l="0" t="0" r="19050" b="25400"/>
                    <wp:wrapNone/>
                    <wp:docPr id="4" name="Straight Connector 4"/>
                    <wp:cNvGraphicFramePr/>
                    <a:graphic xmlns:a="http://schemas.openxmlformats.org/drawingml/2006/main">
                      <a:graphicData uri="http://schemas.microsoft.com/office/word/2010/wordprocessingShape">
                        <wps:wsp>
                          <wps:cNvCnPr/>
                          <wps:spPr>
                            <a:xfrm>
                              <a:off x="0" y="0"/>
                              <a:ext cx="0" cy="43180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4" o:spid="_x0000_s1026" style="position:absolute;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55pt,-1.15pt" to="2.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" strokecolor="#009" strokeweight="1.5pt">
                    <w10:wrap xmlns:w10="urn:schemas-microsoft-com:office:word" anchorx="page" anchory="page"/>
                  </v:line>
                </w:pict>
              </mc:Fallback>
            </mc:AlternateContent>
          </w:r>
          <w:r>
            <w:t>Kontakt: Kathy Robertson, Medienbeziehungen</w:t>
          </w:r>
        </w:p>
        <w:p w:rsidR="000C1074" w:rsidRDefault="00031350" w:rsidP="00031350">
          <w:pPr>
            <w:pStyle w:val="newsCoordinates"/>
          </w:pPr>
          <w:proofErr w:type="spellStart"/>
          <w:r>
            <w:t>Praça</w:t>
          </w:r>
          <w:proofErr w:type="spellEnd"/>
          <w:r>
            <w:t xml:space="preserve"> Europa 1, Cais do </w:t>
          </w:r>
          <w:proofErr w:type="spellStart"/>
          <w:r>
            <w:t>Sodré</w:t>
          </w:r>
          <w:proofErr w:type="spellEnd"/>
          <w:r>
            <w:t>, 1249-289 Lissabon, Portugal</w:t>
          </w:r>
        </w:p>
        <w:p w:rsidR="00031350" w:rsidRPr="000E54D0" w:rsidRDefault="00031350" w:rsidP="00031350">
          <w:pPr>
            <w:pStyle w:val="newsCoordinates"/>
            <w:rPr>
              <w:lang w:val="en-US"/>
            </w:rPr>
          </w:pPr>
          <w:r w:rsidRPr="000E54D0">
            <w:rPr>
              <w:lang w:val="en-US"/>
            </w:rPr>
            <w:t xml:space="preserve">Tel.: (351) 211 21 02 00 </w:t>
          </w:r>
          <w:r w:rsidRPr="000E54D0">
            <w:rPr>
              <w:sz w:val="18"/>
              <w:lang w:val="en-US"/>
            </w:rPr>
            <w:t xml:space="preserve">I </w:t>
          </w:r>
          <w:r w:rsidRPr="000E54D0">
            <w:rPr>
              <w:lang w:val="en-US"/>
            </w:rPr>
            <w:t xml:space="preserve">press@emcdda.europa.eu </w:t>
          </w:r>
          <w:r w:rsidRPr="000E54D0">
            <w:rPr>
              <w:sz w:val="18"/>
              <w:lang w:val="en-US"/>
            </w:rPr>
            <w:t>I</w:t>
          </w:r>
          <w:r w:rsidRPr="000E54D0">
            <w:rPr>
              <w:lang w:val="en-US"/>
            </w:rPr>
            <w:t xml:space="preserve"> emcdda.europa.eu</w:t>
          </w:r>
        </w:p>
      </w:tc>
      <w:tc>
        <w:tcPr>
          <w:tcW w:w="2869" w:type="dxa"/>
          <w:vAlign w:val="bottom"/>
        </w:tcPr>
        <w:p w:rsidR="00031350" w:rsidRDefault="00031350" w:rsidP="000A4F68">
          <w:pPr>
            <w:pStyle w:val="newsReference"/>
            <w:jc w:val="right"/>
          </w:pPr>
          <w:r>
            <w:t>DE — Nr. 4/2015</w:t>
          </w:r>
        </w:p>
      </w:tc>
    </w:tr>
  </w:tbl>
  <w:p w:rsidR="00031350" w:rsidRDefault="00031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2C3" w:rsidRDefault="004242C3" w:rsidP="009A28FB">
      <w:pPr>
        <w:spacing w:after="0" w:line="240" w:lineRule="auto"/>
      </w:pPr>
      <w:r>
        <w:separator/>
      </w:r>
    </w:p>
  </w:footnote>
  <w:footnote w:type="continuationSeparator" w:id="0">
    <w:p w:rsidR="004242C3" w:rsidRDefault="004242C3" w:rsidP="009A2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Ind w:w="-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196"/>
      <w:gridCol w:w="2869"/>
    </w:tblGrid>
    <w:tr w:rsidR="00031350" w:rsidTr="00F179C1">
      <w:tc>
        <w:tcPr>
          <w:tcW w:w="7196" w:type="dxa"/>
        </w:tcPr>
        <w:p w:rsidR="00031350" w:rsidRDefault="00031350" w:rsidP="00CC4FDA">
          <w:pPr>
            <w:pStyle w:val="newsEmbargo"/>
          </w:pPr>
          <w:r>
            <w:rPr>
              <w:noProof/>
              <w:lang w:val="en-GB" w:eastAsia="en-GB" w:bidi="ar-SA"/>
            </w:rPr>
            <mc:AlternateContent>
              <mc:Choice Requires="wps">
                <w:drawing>
                  <wp:anchor distT="0" distB="0" distL="114300" distR="114300" simplePos="0" relativeHeight="251661312" behindDoc="1" locked="0" layoutInCell="1" allowOverlap="1" wp14:anchorId="010F6273" wp14:editId="4640995D">
                    <wp:simplePos x="0" y="0"/>
                    <wp:positionH relativeFrom="page">
                      <wp:posOffset>35560</wp:posOffset>
                    </wp:positionH>
                    <wp:positionV relativeFrom="page">
                      <wp:posOffset>-1270</wp:posOffset>
                    </wp:positionV>
                    <wp:extent cx="0" cy="124460"/>
                    <wp:effectExtent l="0" t="0" r="19050" b="27940"/>
                    <wp:wrapNone/>
                    <wp:docPr id="11" name="Straight Connector 11"/>
                    <wp:cNvGraphicFramePr/>
                    <a:graphic xmlns:a="http://schemas.openxmlformats.org/drawingml/2006/main">
                      <a:graphicData uri="http://schemas.microsoft.com/office/word/2010/wordprocessingShape">
                        <wps:wsp>
                          <wps:cNvCnPr/>
                          <wps:spPr>
                            <a:xfrm>
                              <a:off x="0" y="0"/>
                              <a:ext cx="0" cy="124460"/>
                            </a:xfrm>
                            <a:prstGeom prst="line">
                              <a:avLst/>
                            </a:prstGeom>
                            <a:ln w="19050">
                              <a:solidFill>
                                <a:srgbClr val="00009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xmlns:o="urn:schemas-microsoft-com:office:office" xmlns:v="urn:schemas-microsoft-com:vml" id="Straight Connector 11" o:spid="_x0000_s1026" style="position:absolute;z-index:-25165516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pt,-.1pt" to="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" strokecolor="#009" strokeweight="1.5pt">
                    <w10:wrap xmlns:w10="urn:schemas-microsoft-com:office:word" anchorx="page" anchory="page"/>
                  </v:line>
                </w:pict>
              </mc:Fallback>
            </mc:AlternateContent>
          </w:r>
          <w:r>
            <w:t xml:space="preserve">Europäischer Drogenbericht 2015 </w:t>
          </w:r>
          <w:r>
            <w:rPr>
              <w:noProof/>
              <w:sz w:val="18"/>
            </w:rPr>
            <w:t>I</w:t>
          </w:r>
          <w:r>
            <w:t xml:space="preserve"> </w:t>
          </w:r>
          <w:r w:rsidR="00F179C1">
            <w:rPr>
              <w:b/>
              <w:color w:val="FF0000"/>
              <w:szCs w:val="24"/>
            </w:rPr>
            <w:t>GESPERRT bis 10 Uhr WEZ/Ortszeit Lissabon</w:t>
          </w:r>
        </w:p>
      </w:tc>
      <w:tc>
        <w:tcPr>
          <w:tcW w:w="2869" w:type="dxa"/>
          <w:vAlign w:val="bottom"/>
        </w:tcPr>
        <w:p w:rsidR="00031350" w:rsidRDefault="00031350" w:rsidP="00A13D42">
          <w:pPr>
            <w:pStyle w:val="newsReference"/>
            <w:jc w:val="right"/>
          </w:pPr>
          <w:r>
            <w:t>4.6.2015</w:t>
          </w:r>
        </w:p>
      </w:tc>
    </w:tr>
  </w:tbl>
  <w:p w:rsidR="00031350" w:rsidRDefault="00031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89"/>
    <w:rsid w:val="00006E04"/>
    <w:rsid w:val="0001152D"/>
    <w:rsid w:val="00011655"/>
    <w:rsid w:val="00012CCC"/>
    <w:rsid w:val="00014E8E"/>
    <w:rsid w:val="00017CF2"/>
    <w:rsid w:val="0002128C"/>
    <w:rsid w:val="0002521E"/>
    <w:rsid w:val="0002642F"/>
    <w:rsid w:val="00030F8E"/>
    <w:rsid w:val="00031350"/>
    <w:rsid w:val="000341E6"/>
    <w:rsid w:val="00036DAA"/>
    <w:rsid w:val="00042704"/>
    <w:rsid w:val="0004569C"/>
    <w:rsid w:val="000457B2"/>
    <w:rsid w:val="00050E92"/>
    <w:rsid w:val="000535B7"/>
    <w:rsid w:val="00067C0A"/>
    <w:rsid w:val="00067DD3"/>
    <w:rsid w:val="0008340F"/>
    <w:rsid w:val="00087052"/>
    <w:rsid w:val="000940B9"/>
    <w:rsid w:val="00094B2A"/>
    <w:rsid w:val="000A1C65"/>
    <w:rsid w:val="000A4F68"/>
    <w:rsid w:val="000B2DDF"/>
    <w:rsid w:val="000C00EF"/>
    <w:rsid w:val="000C1074"/>
    <w:rsid w:val="000C1799"/>
    <w:rsid w:val="000C3FA2"/>
    <w:rsid w:val="000C6200"/>
    <w:rsid w:val="000D13BA"/>
    <w:rsid w:val="000D1C68"/>
    <w:rsid w:val="000D371F"/>
    <w:rsid w:val="000D3B2D"/>
    <w:rsid w:val="000D6DB7"/>
    <w:rsid w:val="000E54D0"/>
    <w:rsid w:val="000F2A75"/>
    <w:rsid w:val="000F7D57"/>
    <w:rsid w:val="00100F42"/>
    <w:rsid w:val="001017B9"/>
    <w:rsid w:val="00101B89"/>
    <w:rsid w:val="00105BFC"/>
    <w:rsid w:val="00105FE2"/>
    <w:rsid w:val="00107C96"/>
    <w:rsid w:val="00107CE0"/>
    <w:rsid w:val="00110BD2"/>
    <w:rsid w:val="00110F9C"/>
    <w:rsid w:val="001119A8"/>
    <w:rsid w:val="00111DD7"/>
    <w:rsid w:val="00113F76"/>
    <w:rsid w:val="001165FD"/>
    <w:rsid w:val="00117596"/>
    <w:rsid w:val="00121121"/>
    <w:rsid w:val="001518D5"/>
    <w:rsid w:val="00156CE8"/>
    <w:rsid w:val="001575A4"/>
    <w:rsid w:val="00161BC1"/>
    <w:rsid w:val="001622F3"/>
    <w:rsid w:val="00164F37"/>
    <w:rsid w:val="00172DB0"/>
    <w:rsid w:val="0017713E"/>
    <w:rsid w:val="0017757B"/>
    <w:rsid w:val="001800D0"/>
    <w:rsid w:val="00182270"/>
    <w:rsid w:val="00184E73"/>
    <w:rsid w:val="00193596"/>
    <w:rsid w:val="00194867"/>
    <w:rsid w:val="00196CAB"/>
    <w:rsid w:val="001A18C6"/>
    <w:rsid w:val="001A1E56"/>
    <w:rsid w:val="001A3338"/>
    <w:rsid w:val="001A579D"/>
    <w:rsid w:val="001A69E6"/>
    <w:rsid w:val="001B17B3"/>
    <w:rsid w:val="001B188F"/>
    <w:rsid w:val="001B5593"/>
    <w:rsid w:val="001C1D39"/>
    <w:rsid w:val="001C383B"/>
    <w:rsid w:val="001C795A"/>
    <w:rsid w:val="001D18F4"/>
    <w:rsid w:val="001D22AF"/>
    <w:rsid w:val="001D43CB"/>
    <w:rsid w:val="001D4B78"/>
    <w:rsid w:val="001D5C26"/>
    <w:rsid w:val="001D6720"/>
    <w:rsid w:val="001E7122"/>
    <w:rsid w:val="001F067B"/>
    <w:rsid w:val="001F1D05"/>
    <w:rsid w:val="001F2A80"/>
    <w:rsid w:val="001F4003"/>
    <w:rsid w:val="001F44C6"/>
    <w:rsid w:val="001F5B61"/>
    <w:rsid w:val="001F70B4"/>
    <w:rsid w:val="001F76C7"/>
    <w:rsid w:val="0021417F"/>
    <w:rsid w:val="002142A8"/>
    <w:rsid w:val="00220E2D"/>
    <w:rsid w:val="002228DE"/>
    <w:rsid w:val="00223753"/>
    <w:rsid w:val="002246C8"/>
    <w:rsid w:val="00224BE2"/>
    <w:rsid w:val="00226E8D"/>
    <w:rsid w:val="002331A0"/>
    <w:rsid w:val="002359B7"/>
    <w:rsid w:val="00246D13"/>
    <w:rsid w:val="00250AD6"/>
    <w:rsid w:val="002545D9"/>
    <w:rsid w:val="002557B0"/>
    <w:rsid w:val="00261883"/>
    <w:rsid w:val="002646E4"/>
    <w:rsid w:val="002662DA"/>
    <w:rsid w:val="0027189B"/>
    <w:rsid w:val="00271C5B"/>
    <w:rsid w:val="0027252D"/>
    <w:rsid w:val="002730DF"/>
    <w:rsid w:val="00275AED"/>
    <w:rsid w:val="00275F30"/>
    <w:rsid w:val="0027733D"/>
    <w:rsid w:val="00277F89"/>
    <w:rsid w:val="0028141E"/>
    <w:rsid w:val="00283951"/>
    <w:rsid w:val="002919EA"/>
    <w:rsid w:val="002948E2"/>
    <w:rsid w:val="00294B1A"/>
    <w:rsid w:val="00296408"/>
    <w:rsid w:val="00297B50"/>
    <w:rsid w:val="002A2566"/>
    <w:rsid w:val="002A3971"/>
    <w:rsid w:val="002A3C24"/>
    <w:rsid w:val="002A6038"/>
    <w:rsid w:val="002A61F7"/>
    <w:rsid w:val="002A7504"/>
    <w:rsid w:val="002A7C68"/>
    <w:rsid w:val="002B05CE"/>
    <w:rsid w:val="002B225D"/>
    <w:rsid w:val="002B45AC"/>
    <w:rsid w:val="002B4631"/>
    <w:rsid w:val="002B57E1"/>
    <w:rsid w:val="002B76D8"/>
    <w:rsid w:val="002C14B6"/>
    <w:rsid w:val="002C457A"/>
    <w:rsid w:val="002C6982"/>
    <w:rsid w:val="002E139D"/>
    <w:rsid w:val="002E5C77"/>
    <w:rsid w:val="002E6E4B"/>
    <w:rsid w:val="002E7B7E"/>
    <w:rsid w:val="002F041B"/>
    <w:rsid w:val="002F13E4"/>
    <w:rsid w:val="002F15DC"/>
    <w:rsid w:val="002F1DC5"/>
    <w:rsid w:val="002F4635"/>
    <w:rsid w:val="00300989"/>
    <w:rsid w:val="00304ED3"/>
    <w:rsid w:val="00313B77"/>
    <w:rsid w:val="0032347B"/>
    <w:rsid w:val="0033158E"/>
    <w:rsid w:val="00334B9B"/>
    <w:rsid w:val="003366A1"/>
    <w:rsid w:val="003423CF"/>
    <w:rsid w:val="00346A2D"/>
    <w:rsid w:val="00352A65"/>
    <w:rsid w:val="00356C18"/>
    <w:rsid w:val="0036121D"/>
    <w:rsid w:val="003621BA"/>
    <w:rsid w:val="00362CD8"/>
    <w:rsid w:val="003728ED"/>
    <w:rsid w:val="00380C21"/>
    <w:rsid w:val="003849C1"/>
    <w:rsid w:val="00387D02"/>
    <w:rsid w:val="00392E6E"/>
    <w:rsid w:val="003953B8"/>
    <w:rsid w:val="00396377"/>
    <w:rsid w:val="00397BE5"/>
    <w:rsid w:val="003A4A9E"/>
    <w:rsid w:val="003B1D7B"/>
    <w:rsid w:val="003B2845"/>
    <w:rsid w:val="003B41B1"/>
    <w:rsid w:val="003B7A42"/>
    <w:rsid w:val="003C0395"/>
    <w:rsid w:val="003C21DD"/>
    <w:rsid w:val="003C52DA"/>
    <w:rsid w:val="003C6E5F"/>
    <w:rsid w:val="003D2A4C"/>
    <w:rsid w:val="003D4C63"/>
    <w:rsid w:val="003F26CE"/>
    <w:rsid w:val="004026C6"/>
    <w:rsid w:val="00410873"/>
    <w:rsid w:val="00410CA5"/>
    <w:rsid w:val="004137B0"/>
    <w:rsid w:val="00416CB0"/>
    <w:rsid w:val="004204A7"/>
    <w:rsid w:val="004221D3"/>
    <w:rsid w:val="004242C3"/>
    <w:rsid w:val="0043414B"/>
    <w:rsid w:val="004357C9"/>
    <w:rsid w:val="00435B19"/>
    <w:rsid w:val="00436BB4"/>
    <w:rsid w:val="0044111C"/>
    <w:rsid w:val="00445080"/>
    <w:rsid w:val="00446E8A"/>
    <w:rsid w:val="0045053C"/>
    <w:rsid w:val="00453A6F"/>
    <w:rsid w:val="0045468D"/>
    <w:rsid w:val="00457495"/>
    <w:rsid w:val="004616FC"/>
    <w:rsid w:val="00463747"/>
    <w:rsid w:val="00464316"/>
    <w:rsid w:val="00466EF3"/>
    <w:rsid w:val="00470469"/>
    <w:rsid w:val="0047107C"/>
    <w:rsid w:val="00472386"/>
    <w:rsid w:val="00476147"/>
    <w:rsid w:val="00477781"/>
    <w:rsid w:val="004847FB"/>
    <w:rsid w:val="004851A4"/>
    <w:rsid w:val="00486797"/>
    <w:rsid w:val="00496E01"/>
    <w:rsid w:val="004A1615"/>
    <w:rsid w:val="004A5D08"/>
    <w:rsid w:val="004B1BC3"/>
    <w:rsid w:val="004B3A1C"/>
    <w:rsid w:val="004C0D27"/>
    <w:rsid w:val="004C3028"/>
    <w:rsid w:val="004C4312"/>
    <w:rsid w:val="004C5510"/>
    <w:rsid w:val="004C7511"/>
    <w:rsid w:val="004D0D9E"/>
    <w:rsid w:val="004D1ED2"/>
    <w:rsid w:val="004D2188"/>
    <w:rsid w:val="004D494C"/>
    <w:rsid w:val="004D6E0C"/>
    <w:rsid w:val="004E1FAE"/>
    <w:rsid w:val="004E539A"/>
    <w:rsid w:val="004E5A93"/>
    <w:rsid w:val="004E7B44"/>
    <w:rsid w:val="004F4969"/>
    <w:rsid w:val="004F594D"/>
    <w:rsid w:val="00500777"/>
    <w:rsid w:val="00503F3F"/>
    <w:rsid w:val="0050431E"/>
    <w:rsid w:val="00505482"/>
    <w:rsid w:val="00505DE2"/>
    <w:rsid w:val="00511FFE"/>
    <w:rsid w:val="00513192"/>
    <w:rsid w:val="00520EF1"/>
    <w:rsid w:val="0052228C"/>
    <w:rsid w:val="005338AE"/>
    <w:rsid w:val="00534FDD"/>
    <w:rsid w:val="00540BE4"/>
    <w:rsid w:val="00542CEE"/>
    <w:rsid w:val="005432B9"/>
    <w:rsid w:val="00546D90"/>
    <w:rsid w:val="005518FF"/>
    <w:rsid w:val="005546C3"/>
    <w:rsid w:val="00554E99"/>
    <w:rsid w:val="00557061"/>
    <w:rsid w:val="00562415"/>
    <w:rsid w:val="005630CC"/>
    <w:rsid w:val="00567518"/>
    <w:rsid w:val="005870C5"/>
    <w:rsid w:val="0059257D"/>
    <w:rsid w:val="005A0DC8"/>
    <w:rsid w:val="005A2CDF"/>
    <w:rsid w:val="005A527F"/>
    <w:rsid w:val="005A66D8"/>
    <w:rsid w:val="005B05A0"/>
    <w:rsid w:val="005B0882"/>
    <w:rsid w:val="005B1B63"/>
    <w:rsid w:val="005C1394"/>
    <w:rsid w:val="005C4033"/>
    <w:rsid w:val="005C40D1"/>
    <w:rsid w:val="005C55AC"/>
    <w:rsid w:val="005C7DB9"/>
    <w:rsid w:val="005D6630"/>
    <w:rsid w:val="005E69A2"/>
    <w:rsid w:val="0060343A"/>
    <w:rsid w:val="00605AC6"/>
    <w:rsid w:val="00605DD5"/>
    <w:rsid w:val="00605FE0"/>
    <w:rsid w:val="006116D9"/>
    <w:rsid w:val="0061677E"/>
    <w:rsid w:val="00620411"/>
    <w:rsid w:val="00620542"/>
    <w:rsid w:val="00621210"/>
    <w:rsid w:val="00621C22"/>
    <w:rsid w:val="00623A55"/>
    <w:rsid w:val="006304FE"/>
    <w:rsid w:val="0063235A"/>
    <w:rsid w:val="006328A3"/>
    <w:rsid w:val="0063370E"/>
    <w:rsid w:val="00634F35"/>
    <w:rsid w:val="0063677C"/>
    <w:rsid w:val="00636FDC"/>
    <w:rsid w:val="00640D05"/>
    <w:rsid w:val="00642E25"/>
    <w:rsid w:val="00646888"/>
    <w:rsid w:val="00646DD0"/>
    <w:rsid w:val="00656F97"/>
    <w:rsid w:val="00662A1B"/>
    <w:rsid w:val="00664312"/>
    <w:rsid w:val="00666A63"/>
    <w:rsid w:val="0067480A"/>
    <w:rsid w:val="00683B65"/>
    <w:rsid w:val="00692FCC"/>
    <w:rsid w:val="006950E8"/>
    <w:rsid w:val="00697DC6"/>
    <w:rsid w:val="006A1A74"/>
    <w:rsid w:val="006A4A9F"/>
    <w:rsid w:val="006B01D4"/>
    <w:rsid w:val="006B599C"/>
    <w:rsid w:val="006B5AAD"/>
    <w:rsid w:val="006C35F4"/>
    <w:rsid w:val="006C59B0"/>
    <w:rsid w:val="006D5289"/>
    <w:rsid w:val="006D664F"/>
    <w:rsid w:val="006E187F"/>
    <w:rsid w:val="006E4951"/>
    <w:rsid w:val="006E7456"/>
    <w:rsid w:val="006F28AB"/>
    <w:rsid w:val="006F3DE0"/>
    <w:rsid w:val="006F4E96"/>
    <w:rsid w:val="007050A1"/>
    <w:rsid w:val="00705646"/>
    <w:rsid w:val="0071598F"/>
    <w:rsid w:val="00717FF3"/>
    <w:rsid w:val="0072365E"/>
    <w:rsid w:val="00724454"/>
    <w:rsid w:val="00730132"/>
    <w:rsid w:val="00736408"/>
    <w:rsid w:val="007473D9"/>
    <w:rsid w:val="00753C9D"/>
    <w:rsid w:val="007547D4"/>
    <w:rsid w:val="00754D07"/>
    <w:rsid w:val="007550F3"/>
    <w:rsid w:val="00760F82"/>
    <w:rsid w:val="00763314"/>
    <w:rsid w:val="00764747"/>
    <w:rsid w:val="00767BEF"/>
    <w:rsid w:val="00771E5A"/>
    <w:rsid w:val="00773814"/>
    <w:rsid w:val="007741E8"/>
    <w:rsid w:val="00776161"/>
    <w:rsid w:val="00776C34"/>
    <w:rsid w:val="007770EB"/>
    <w:rsid w:val="007779A2"/>
    <w:rsid w:val="0078292B"/>
    <w:rsid w:val="00782D22"/>
    <w:rsid w:val="00784911"/>
    <w:rsid w:val="007854E3"/>
    <w:rsid w:val="00791747"/>
    <w:rsid w:val="00791F09"/>
    <w:rsid w:val="007956DF"/>
    <w:rsid w:val="007A07A7"/>
    <w:rsid w:val="007A1A26"/>
    <w:rsid w:val="007A6CA7"/>
    <w:rsid w:val="007B0E03"/>
    <w:rsid w:val="007B1CCD"/>
    <w:rsid w:val="007B4942"/>
    <w:rsid w:val="007C23FC"/>
    <w:rsid w:val="007C5BE9"/>
    <w:rsid w:val="007E171E"/>
    <w:rsid w:val="007F03EB"/>
    <w:rsid w:val="007F2B3B"/>
    <w:rsid w:val="00802C85"/>
    <w:rsid w:val="0080459C"/>
    <w:rsid w:val="00805BF9"/>
    <w:rsid w:val="008073F2"/>
    <w:rsid w:val="00813FB5"/>
    <w:rsid w:val="0082389D"/>
    <w:rsid w:val="00824119"/>
    <w:rsid w:val="00824A01"/>
    <w:rsid w:val="00827FD7"/>
    <w:rsid w:val="00830695"/>
    <w:rsid w:val="00841E86"/>
    <w:rsid w:val="00842B37"/>
    <w:rsid w:val="00844C8B"/>
    <w:rsid w:val="0084714F"/>
    <w:rsid w:val="008529CD"/>
    <w:rsid w:val="00857DF0"/>
    <w:rsid w:val="00860797"/>
    <w:rsid w:val="00860ABE"/>
    <w:rsid w:val="00863DB6"/>
    <w:rsid w:val="008666C2"/>
    <w:rsid w:val="00874568"/>
    <w:rsid w:val="00874F64"/>
    <w:rsid w:val="00881730"/>
    <w:rsid w:val="0089193D"/>
    <w:rsid w:val="008A3DFC"/>
    <w:rsid w:val="008C06D1"/>
    <w:rsid w:val="008C1172"/>
    <w:rsid w:val="008C39A8"/>
    <w:rsid w:val="008C53EC"/>
    <w:rsid w:val="008D1D9C"/>
    <w:rsid w:val="008D54B3"/>
    <w:rsid w:val="008E02FE"/>
    <w:rsid w:val="008E0611"/>
    <w:rsid w:val="008E15DC"/>
    <w:rsid w:val="008E4A06"/>
    <w:rsid w:val="008E65C2"/>
    <w:rsid w:val="008F177B"/>
    <w:rsid w:val="008F399E"/>
    <w:rsid w:val="008F5C8B"/>
    <w:rsid w:val="00902300"/>
    <w:rsid w:val="00911592"/>
    <w:rsid w:val="00913348"/>
    <w:rsid w:val="00916556"/>
    <w:rsid w:val="00916EB9"/>
    <w:rsid w:val="0092217A"/>
    <w:rsid w:val="00925F49"/>
    <w:rsid w:val="009307CE"/>
    <w:rsid w:val="00931D2D"/>
    <w:rsid w:val="0093680B"/>
    <w:rsid w:val="009370DA"/>
    <w:rsid w:val="0093775D"/>
    <w:rsid w:val="00941F43"/>
    <w:rsid w:val="009434EF"/>
    <w:rsid w:val="00951E0B"/>
    <w:rsid w:val="0095472E"/>
    <w:rsid w:val="00955F0C"/>
    <w:rsid w:val="009562C5"/>
    <w:rsid w:val="00961B72"/>
    <w:rsid w:val="0097400D"/>
    <w:rsid w:val="009749D3"/>
    <w:rsid w:val="00974A27"/>
    <w:rsid w:val="00984544"/>
    <w:rsid w:val="00984FCF"/>
    <w:rsid w:val="00987558"/>
    <w:rsid w:val="00992D9C"/>
    <w:rsid w:val="00996773"/>
    <w:rsid w:val="009A28FB"/>
    <w:rsid w:val="009A7E53"/>
    <w:rsid w:val="009D6255"/>
    <w:rsid w:val="009E2487"/>
    <w:rsid w:val="009E38C9"/>
    <w:rsid w:val="009F02D9"/>
    <w:rsid w:val="009F2AD1"/>
    <w:rsid w:val="009F3555"/>
    <w:rsid w:val="009F4FB0"/>
    <w:rsid w:val="009F5145"/>
    <w:rsid w:val="009F6E84"/>
    <w:rsid w:val="00A03F8C"/>
    <w:rsid w:val="00A06142"/>
    <w:rsid w:val="00A0788A"/>
    <w:rsid w:val="00A108BC"/>
    <w:rsid w:val="00A133E9"/>
    <w:rsid w:val="00A13D42"/>
    <w:rsid w:val="00A15C9B"/>
    <w:rsid w:val="00A16B77"/>
    <w:rsid w:val="00A26486"/>
    <w:rsid w:val="00A3087A"/>
    <w:rsid w:val="00A311EF"/>
    <w:rsid w:val="00A3254D"/>
    <w:rsid w:val="00A32EF2"/>
    <w:rsid w:val="00A37D57"/>
    <w:rsid w:val="00A4004A"/>
    <w:rsid w:val="00A41A51"/>
    <w:rsid w:val="00A424D4"/>
    <w:rsid w:val="00A53D93"/>
    <w:rsid w:val="00A661E2"/>
    <w:rsid w:val="00A71431"/>
    <w:rsid w:val="00A7204F"/>
    <w:rsid w:val="00A73AE7"/>
    <w:rsid w:val="00A770AD"/>
    <w:rsid w:val="00A805C1"/>
    <w:rsid w:val="00A830C1"/>
    <w:rsid w:val="00A8385C"/>
    <w:rsid w:val="00A856B7"/>
    <w:rsid w:val="00A86D66"/>
    <w:rsid w:val="00A951CF"/>
    <w:rsid w:val="00AB07FD"/>
    <w:rsid w:val="00AB3CF0"/>
    <w:rsid w:val="00AB3EE9"/>
    <w:rsid w:val="00AB769E"/>
    <w:rsid w:val="00AC4EF8"/>
    <w:rsid w:val="00AD2A0A"/>
    <w:rsid w:val="00AD4800"/>
    <w:rsid w:val="00AD7BFC"/>
    <w:rsid w:val="00AE093C"/>
    <w:rsid w:val="00AE134F"/>
    <w:rsid w:val="00AE1738"/>
    <w:rsid w:val="00AE6B04"/>
    <w:rsid w:val="00AF0654"/>
    <w:rsid w:val="00AF13B3"/>
    <w:rsid w:val="00AF1862"/>
    <w:rsid w:val="00AF1BA7"/>
    <w:rsid w:val="00AF259D"/>
    <w:rsid w:val="00AF34AB"/>
    <w:rsid w:val="00AF7F31"/>
    <w:rsid w:val="00B00559"/>
    <w:rsid w:val="00B030A8"/>
    <w:rsid w:val="00B11B73"/>
    <w:rsid w:val="00B1345A"/>
    <w:rsid w:val="00B1517F"/>
    <w:rsid w:val="00B15FA6"/>
    <w:rsid w:val="00B249BB"/>
    <w:rsid w:val="00B25554"/>
    <w:rsid w:val="00B26499"/>
    <w:rsid w:val="00B26AFA"/>
    <w:rsid w:val="00B272F1"/>
    <w:rsid w:val="00B3032B"/>
    <w:rsid w:val="00B40F29"/>
    <w:rsid w:val="00B432C8"/>
    <w:rsid w:val="00B44912"/>
    <w:rsid w:val="00B51E08"/>
    <w:rsid w:val="00B57464"/>
    <w:rsid w:val="00B57DDE"/>
    <w:rsid w:val="00B61036"/>
    <w:rsid w:val="00B66555"/>
    <w:rsid w:val="00B66DDC"/>
    <w:rsid w:val="00B711CD"/>
    <w:rsid w:val="00B72DD3"/>
    <w:rsid w:val="00B7335C"/>
    <w:rsid w:val="00B737E6"/>
    <w:rsid w:val="00B73B34"/>
    <w:rsid w:val="00B907C8"/>
    <w:rsid w:val="00B95414"/>
    <w:rsid w:val="00B95814"/>
    <w:rsid w:val="00B96281"/>
    <w:rsid w:val="00B97BC5"/>
    <w:rsid w:val="00BA15CB"/>
    <w:rsid w:val="00BA170A"/>
    <w:rsid w:val="00BA20E7"/>
    <w:rsid w:val="00BA71FB"/>
    <w:rsid w:val="00BA728B"/>
    <w:rsid w:val="00BB2BEE"/>
    <w:rsid w:val="00BB60CF"/>
    <w:rsid w:val="00BC2240"/>
    <w:rsid w:val="00BD2DD8"/>
    <w:rsid w:val="00BE17DE"/>
    <w:rsid w:val="00BE28E2"/>
    <w:rsid w:val="00BE51BC"/>
    <w:rsid w:val="00BF1DBA"/>
    <w:rsid w:val="00BF1E3B"/>
    <w:rsid w:val="00C024B9"/>
    <w:rsid w:val="00C03D93"/>
    <w:rsid w:val="00C13291"/>
    <w:rsid w:val="00C175B5"/>
    <w:rsid w:val="00C205A8"/>
    <w:rsid w:val="00C2187E"/>
    <w:rsid w:val="00C340B5"/>
    <w:rsid w:val="00C36154"/>
    <w:rsid w:val="00C36BC1"/>
    <w:rsid w:val="00C4778C"/>
    <w:rsid w:val="00C47E5C"/>
    <w:rsid w:val="00C52720"/>
    <w:rsid w:val="00C540EA"/>
    <w:rsid w:val="00C62010"/>
    <w:rsid w:val="00C628C4"/>
    <w:rsid w:val="00C6303A"/>
    <w:rsid w:val="00C63254"/>
    <w:rsid w:val="00C76B0A"/>
    <w:rsid w:val="00C83467"/>
    <w:rsid w:val="00C84047"/>
    <w:rsid w:val="00C85AAA"/>
    <w:rsid w:val="00C874C0"/>
    <w:rsid w:val="00C915FE"/>
    <w:rsid w:val="00C929E0"/>
    <w:rsid w:val="00C94998"/>
    <w:rsid w:val="00C94A01"/>
    <w:rsid w:val="00CA0825"/>
    <w:rsid w:val="00CA2FF5"/>
    <w:rsid w:val="00CA43D8"/>
    <w:rsid w:val="00CB49DA"/>
    <w:rsid w:val="00CB5F04"/>
    <w:rsid w:val="00CC1F19"/>
    <w:rsid w:val="00CC3108"/>
    <w:rsid w:val="00CC4FDA"/>
    <w:rsid w:val="00CC6A8B"/>
    <w:rsid w:val="00CD3EA5"/>
    <w:rsid w:val="00CD3FFC"/>
    <w:rsid w:val="00CE161F"/>
    <w:rsid w:val="00CE24C4"/>
    <w:rsid w:val="00CE3C57"/>
    <w:rsid w:val="00CE4CEB"/>
    <w:rsid w:val="00CF432D"/>
    <w:rsid w:val="00D0019A"/>
    <w:rsid w:val="00D01335"/>
    <w:rsid w:val="00D02CF3"/>
    <w:rsid w:val="00D03355"/>
    <w:rsid w:val="00D03EC6"/>
    <w:rsid w:val="00D0422C"/>
    <w:rsid w:val="00D0675E"/>
    <w:rsid w:val="00D10437"/>
    <w:rsid w:val="00D11EDC"/>
    <w:rsid w:val="00D2058B"/>
    <w:rsid w:val="00D20D65"/>
    <w:rsid w:val="00D235E3"/>
    <w:rsid w:val="00D27054"/>
    <w:rsid w:val="00D272CD"/>
    <w:rsid w:val="00D2784A"/>
    <w:rsid w:val="00D30BCA"/>
    <w:rsid w:val="00D31764"/>
    <w:rsid w:val="00D3312B"/>
    <w:rsid w:val="00D37865"/>
    <w:rsid w:val="00D4082E"/>
    <w:rsid w:val="00D4757E"/>
    <w:rsid w:val="00D54649"/>
    <w:rsid w:val="00D55E8F"/>
    <w:rsid w:val="00D56DD3"/>
    <w:rsid w:val="00D57367"/>
    <w:rsid w:val="00D57CC0"/>
    <w:rsid w:val="00D65832"/>
    <w:rsid w:val="00D67E7B"/>
    <w:rsid w:val="00D83011"/>
    <w:rsid w:val="00D84AE3"/>
    <w:rsid w:val="00D9012C"/>
    <w:rsid w:val="00D90A1D"/>
    <w:rsid w:val="00D92A34"/>
    <w:rsid w:val="00DA1D8E"/>
    <w:rsid w:val="00DA26B0"/>
    <w:rsid w:val="00DB33D2"/>
    <w:rsid w:val="00DB5716"/>
    <w:rsid w:val="00DC16DB"/>
    <w:rsid w:val="00DC1D26"/>
    <w:rsid w:val="00DC2E98"/>
    <w:rsid w:val="00DC6D6C"/>
    <w:rsid w:val="00DD2021"/>
    <w:rsid w:val="00DD501B"/>
    <w:rsid w:val="00DD547A"/>
    <w:rsid w:val="00DD5674"/>
    <w:rsid w:val="00DE1589"/>
    <w:rsid w:val="00DE3943"/>
    <w:rsid w:val="00DE511A"/>
    <w:rsid w:val="00DE7E29"/>
    <w:rsid w:val="00DF0372"/>
    <w:rsid w:val="00DF4A60"/>
    <w:rsid w:val="00E02F97"/>
    <w:rsid w:val="00E11205"/>
    <w:rsid w:val="00E13334"/>
    <w:rsid w:val="00E16EF2"/>
    <w:rsid w:val="00E23E1B"/>
    <w:rsid w:val="00E30B08"/>
    <w:rsid w:val="00E31C66"/>
    <w:rsid w:val="00E321BA"/>
    <w:rsid w:val="00E329E8"/>
    <w:rsid w:val="00E40B83"/>
    <w:rsid w:val="00E42045"/>
    <w:rsid w:val="00E42D8B"/>
    <w:rsid w:val="00E42F45"/>
    <w:rsid w:val="00E45914"/>
    <w:rsid w:val="00E51BDC"/>
    <w:rsid w:val="00E522AE"/>
    <w:rsid w:val="00E5288D"/>
    <w:rsid w:val="00E529A8"/>
    <w:rsid w:val="00E53EF6"/>
    <w:rsid w:val="00E547B6"/>
    <w:rsid w:val="00E57C9D"/>
    <w:rsid w:val="00E66CCD"/>
    <w:rsid w:val="00E71191"/>
    <w:rsid w:val="00E81F3D"/>
    <w:rsid w:val="00E8301B"/>
    <w:rsid w:val="00E83FC3"/>
    <w:rsid w:val="00E84D58"/>
    <w:rsid w:val="00E851A1"/>
    <w:rsid w:val="00E9208C"/>
    <w:rsid w:val="00E9226F"/>
    <w:rsid w:val="00EA0906"/>
    <w:rsid w:val="00EA2412"/>
    <w:rsid w:val="00EA3584"/>
    <w:rsid w:val="00EB5B38"/>
    <w:rsid w:val="00EB603B"/>
    <w:rsid w:val="00EC2D32"/>
    <w:rsid w:val="00EC4D3E"/>
    <w:rsid w:val="00EC5A9C"/>
    <w:rsid w:val="00ED3F0D"/>
    <w:rsid w:val="00EE23CC"/>
    <w:rsid w:val="00EF39B3"/>
    <w:rsid w:val="00EF6088"/>
    <w:rsid w:val="00EF7C66"/>
    <w:rsid w:val="00F0248E"/>
    <w:rsid w:val="00F04A5A"/>
    <w:rsid w:val="00F0504A"/>
    <w:rsid w:val="00F06CDE"/>
    <w:rsid w:val="00F078D7"/>
    <w:rsid w:val="00F139B1"/>
    <w:rsid w:val="00F179C1"/>
    <w:rsid w:val="00F21CA9"/>
    <w:rsid w:val="00F24096"/>
    <w:rsid w:val="00F40746"/>
    <w:rsid w:val="00F414EF"/>
    <w:rsid w:val="00F4152C"/>
    <w:rsid w:val="00F442E1"/>
    <w:rsid w:val="00F47542"/>
    <w:rsid w:val="00F57B5A"/>
    <w:rsid w:val="00F613F0"/>
    <w:rsid w:val="00F6333E"/>
    <w:rsid w:val="00F64D52"/>
    <w:rsid w:val="00F7610F"/>
    <w:rsid w:val="00F76DAF"/>
    <w:rsid w:val="00F854F6"/>
    <w:rsid w:val="00F93AB5"/>
    <w:rsid w:val="00FA0F3D"/>
    <w:rsid w:val="00FA2A93"/>
    <w:rsid w:val="00FA606A"/>
    <w:rsid w:val="00FB2A43"/>
    <w:rsid w:val="00FB351B"/>
    <w:rsid w:val="00FB5E5C"/>
    <w:rsid w:val="00FC0187"/>
    <w:rsid w:val="00FC0378"/>
    <w:rsid w:val="00FC24C0"/>
    <w:rsid w:val="00FC25A0"/>
    <w:rsid w:val="00FC5ECF"/>
    <w:rsid w:val="00FC7816"/>
    <w:rsid w:val="00FD65C5"/>
    <w:rsid w:val="00FD688A"/>
    <w:rsid w:val="00FD6AD0"/>
    <w:rsid w:val="00FD70AF"/>
    <w:rsid w:val="00FE359B"/>
    <w:rsid w:val="00FE3721"/>
    <w:rsid w:val="00FE4789"/>
    <w:rsid w:val="00FF06DC"/>
    <w:rsid w:val="00FF1C0F"/>
    <w:rsid w:val="00FF3539"/>
    <w:rsid w:val="00FF6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57DDE"/>
    <w:pPr>
      <w:tabs>
        <w:tab w:val="left" w:pos="5205"/>
      </w:tabs>
      <w:spacing w:before="160" w:after="112" w:line="260" w:lineRule="exact"/>
    </w:pPr>
    <w:rPr>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860ABE"/>
    <w:pPr>
      <w:spacing w:after="300" w:line="300" w:lineRule="exact"/>
    </w:pPr>
    <w:rPr>
      <w:b/>
      <w:sz w:val="21"/>
      <w:szCs w:val="21"/>
    </w:rPr>
  </w:style>
  <w:style w:type="paragraph" w:customStyle="1" w:styleId="newsContent">
    <w:name w:val="newsContent"/>
    <w:basedOn w:val="Normal"/>
    <w:link w:val="newsContentChar"/>
    <w:autoRedefine/>
    <w:qFormat/>
    <w:rsid w:val="00782D22"/>
    <w:pPr>
      <w:spacing w:after="260" w:line="260" w:lineRule="exact"/>
      <w:ind w:right="-142"/>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782D22"/>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06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FB"/>
    <w:rPr>
      <w:rFonts w:ascii="Tahoma" w:hAnsi="Tahoma" w:cs="Tahoma"/>
      <w:sz w:val="16"/>
      <w:szCs w:val="16"/>
    </w:rPr>
  </w:style>
  <w:style w:type="paragraph" w:customStyle="1" w:styleId="newsTitle">
    <w:name w:val="newsTitle"/>
    <w:basedOn w:val="Normal"/>
    <w:autoRedefine/>
    <w:qFormat/>
    <w:rsid w:val="00B57DDE"/>
    <w:pPr>
      <w:tabs>
        <w:tab w:val="left" w:pos="5205"/>
      </w:tabs>
      <w:spacing w:before="160" w:after="112" w:line="260" w:lineRule="exact"/>
    </w:pPr>
    <w:rPr>
      <w:caps/>
    </w:rPr>
  </w:style>
  <w:style w:type="paragraph" w:styleId="Header">
    <w:name w:val="header"/>
    <w:basedOn w:val="Normal"/>
    <w:link w:val="HeaderChar"/>
    <w:uiPriority w:val="99"/>
    <w:unhideWhenUsed/>
    <w:rsid w:val="00FE37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3721"/>
  </w:style>
  <w:style w:type="paragraph" w:styleId="Footer">
    <w:name w:val="footer"/>
    <w:basedOn w:val="Normal"/>
    <w:link w:val="FooterChar"/>
    <w:uiPriority w:val="99"/>
    <w:unhideWhenUsed/>
    <w:rsid w:val="009A28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28FB"/>
  </w:style>
  <w:style w:type="character" w:styleId="Hyperlink">
    <w:name w:val="Hyperlink"/>
    <w:basedOn w:val="DefaultParagraphFont"/>
    <w:uiPriority w:val="99"/>
    <w:unhideWhenUsed/>
    <w:qFormat/>
    <w:rsid w:val="00A661E2"/>
    <w:rPr>
      <w:rFonts w:ascii="Arial" w:hAnsi="Arial"/>
      <w:b w:val="0"/>
      <w:i w:val="0"/>
      <w:color w:val="003399"/>
      <w:sz w:val="17"/>
      <w:u w:val="none"/>
    </w:rPr>
  </w:style>
  <w:style w:type="paragraph" w:customStyle="1" w:styleId="newsSubTitle">
    <w:name w:val="newsSubTitle"/>
    <w:basedOn w:val="Normal"/>
    <w:autoRedefine/>
    <w:qFormat/>
    <w:rsid w:val="00860ABE"/>
    <w:pPr>
      <w:spacing w:after="300" w:line="300" w:lineRule="exact"/>
    </w:pPr>
    <w:rPr>
      <w:b/>
      <w:sz w:val="21"/>
      <w:szCs w:val="21"/>
    </w:rPr>
  </w:style>
  <w:style w:type="paragraph" w:customStyle="1" w:styleId="newsContent">
    <w:name w:val="newsContent"/>
    <w:basedOn w:val="Normal"/>
    <w:link w:val="newsContentChar"/>
    <w:autoRedefine/>
    <w:qFormat/>
    <w:rsid w:val="00782D22"/>
    <w:pPr>
      <w:spacing w:after="260" w:line="260" w:lineRule="exact"/>
      <w:ind w:right="-142"/>
    </w:pPr>
    <w:rPr>
      <w:rFonts w:cs="Arial"/>
      <w:szCs w:val="20"/>
    </w:rPr>
  </w:style>
  <w:style w:type="paragraph" w:customStyle="1" w:styleId="newsAddress">
    <w:name w:val="newsAddress"/>
    <w:basedOn w:val="Footer"/>
    <w:autoRedefine/>
    <w:qFormat/>
    <w:rsid w:val="00FE3721"/>
    <w:pPr>
      <w:framePr w:wrap="around" w:vAnchor="text" w:hAnchor="page" w:x="852" w:y="1"/>
      <w:tabs>
        <w:tab w:val="clear" w:pos="9072"/>
        <w:tab w:val="right" w:pos="7371"/>
      </w:tabs>
      <w:spacing w:line="200" w:lineRule="exact"/>
    </w:pPr>
    <w:rPr>
      <w:sz w:val="14"/>
    </w:rPr>
  </w:style>
  <w:style w:type="paragraph" w:customStyle="1" w:styleId="newsReference">
    <w:name w:val="newsReference"/>
    <w:basedOn w:val="Normal"/>
    <w:autoRedefine/>
    <w:qFormat/>
    <w:rsid w:val="00974A27"/>
    <w:pPr>
      <w:spacing w:after="0" w:line="200" w:lineRule="exact"/>
    </w:pPr>
    <w:rPr>
      <w:sz w:val="14"/>
    </w:rPr>
  </w:style>
  <w:style w:type="paragraph" w:customStyle="1" w:styleId="newsRef">
    <w:name w:val="newsRef"/>
    <w:basedOn w:val="newsAddress"/>
    <w:autoRedefine/>
    <w:qFormat/>
    <w:rsid w:val="00B97BC5"/>
    <w:pPr>
      <w:framePr w:wrap="around"/>
      <w:tabs>
        <w:tab w:val="clear" w:pos="4536"/>
        <w:tab w:val="right" w:pos="6946"/>
        <w:tab w:val="left" w:pos="8505"/>
      </w:tabs>
      <w:ind w:right="-569"/>
    </w:pPr>
  </w:style>
  <w:style w:type="character" w:styleId="PlaceholderText">
    <w:name w:val="Placeholder Text"/>
    <w:basedOn w:val="DefaultParagraphFont"/>
    <w:uiPriority w:val="99"/>
    <w:semiHidden/>
    <w:rsid w:val="00730132"/>
    <w:rPr>
      <w:color w:val="808080"/>
    </w:rPr>
  </w:style>
  <w:style w:type="paragraph" w:customStyle="1" w:styleId="newsCoordinates">
    <w:name w:val="newsCoordinates"/>
    <w:basedOn w:val="Footer"/>
    <w:autoRedefine/>
    <w:qFormat/>
    <w:rsid w:val="00FC0187"/>
    <w:pPr>
      <w:tabs>
        <w:tab w:val="clear" w:pos="9072"/>
        <w:tab w:val="right" w:pos="8222"/>
      </w:tabs>
      <w:spacing w:line="200" w:lineRule="exact"/>
      <w:ind w:left="84"/>
    </w:pPr>
    <w:rPr>
      <w:sz w:val="14"/>
    </w:rPr>
  </w:style>
  <w:style w:type="paragraph" w:customStyle="1" w:styleId="newsEmbargo">
    <w:name w:val="newsEmbargo"/>
    <w:basedOn w:val="newsCoordinates"/>
    <w:autoRedefine/>
    <w:qFormat/>
    <w:rsid w:val="002948E2"/>
    <w:rPr>
      <w:color w:val="000000" w:themeColor="text1"/>
      <w:sz w:val="15"/>
    </w:rPr>
  </w:style>
  <w:style w:type="paragraph" w:customStyle="1" w:styleId="newsDate">
    <w:name w:val="newsDate"/>
    <w:basedOn w:val="newsEmbargo"/>
    <w:autoRedefine/>
    <w:qFormat/>
    <w:rsid w:val="00B97BC5"/>
    <w:pPr>
      <w:jc w:val="center"/>
    </w:pPr>
  </w:style>
  <w:style w:type="paragraph" w:customStyle="1" w:styleId="newsNotes">
    <w:name w:val="newsNotes"/>
    <w:basedOn w:val="newsContent"/>
    <w:link w:val="newsNotesChar"/>
    <w:autoRedefine/>
    <w:qFormat/>
    <w:rsid w:val="00CB49DA"/>
    <w:pPr>
      <w:spacing w:after="0" w:line="220" w:lineRule="exact"/>
    </w:pPr>
    <w:rPr>
      <w:sz w:val="17"/>
    </w:rPr>
  </w:style>
  <w:style w:type="table" w:styleId="TableGrid">
    <w:name w:val="Table Grid"/>
    <w:basedOn w:val="TableNormal"/>
    <w:uiPriority w:val="59"/>
    <w:rsid w:val="00FE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rsid w:val="00D84AE3"/>
    <w:pPr>
      <w:spacing w:after="0" w:line="240" w:lineRule="auto"/>
    </w:pPr>
    <w:rPr>
      <w:rFonts w:ascii="Comic Sans MS" w:eastAsia="Times New Roman" w:hAnsi="Comic Sans MS" w:cs="Times New Roman"/>
      <w:color w:val="0000FF"/>
      <w:sz w:val="24"/>
      <w:szCs w:val="20"/>
    </w:rPr>
  </w:style>
  <w:style w:type="paragraph" w:customStyle="1" w:styleId="newsNotesNumber">
    <w:name w:val="newsNotesNumber"/>
    <w:basedOn w:val="newsNotes"/>
    <w:next w:val="Normal"/>
    <w:link w:val="newsNotesNumberChar"/>
    <w:autoRedefine/>
    <w:qFormat/>
    <w:rsid w:val="00CB49DA"/>
    <w:rPr>
      <w:vertAlign w:val="superscript"/>
    </w:rPr>
  </w:style>
  <w:style w:type="character" w:customStyle="1" w:styleId="newsContentChar">
    <w:name w:val="newsContent Char"/>
    <w:basedOn w:val="DefaultParagraphFont"/>
    <w:link w:val="newsContent"/>
    <w:rsid w:val="00782D22"/>
    <w:rPr>
      <w:rFonts w:ascii="Arial" w:hAnsi="Arial" w:cs="Arial"/>
      <w:sz w:val="20"/>
      <w:szCs w:val="20"/>
    </w:rPr>
  </w:style>
  <w:style w:type="character" w:customStyle="1" w:styleId="newsNotesChar">
    <w:name w:val="newsNotes Char"/>
    <w:basedOn w:val="newsContentChar"/>
    <w:link w:val="newsNotes"/>
    <w:rsid w:val="00CB49DA"/>
    <w:rPr>
      <w:rFonts w:ascii="Arial" w:hAnsi="Arial" w:cs="Arial"/>
      <w:color w:val="000000" w:themeColor="text1"/>
      <w:sz w:val="17"/>
      <w:szCs w:val="20"/>
    </w:rPr>
  </w:style>
  <w:style w:type="character" w:customStyle="1" w:styleId="newsNotesNumberChar">
    <w:name w:val="newsNotesNumber Char"/>
    <w:basedOn w:val="newsNotesChar"/>
    <w:link w:val="newsNotesNumber"/>
    <w:rsid w:val="00CB49DA"/>
    <w:rPr>
      <w:rFonts w:ascii="Arial" w:hAnsi="Arial" w:cs="Arial"/>
      <w:color w:val="000000" w:themeColor="text1"/>
      <w:sz w:val="17"/>
      <w:szCs w:val="20"/>
      <w:vertAlign w:val="superscript"/>
    </w:rPr>
  </w:style>
  <w:style w:type="character" w:styleId="Strong">
    <w:name w:val="Strong"/>
    <w:basedOn w:val="DefaultParagraphFont"/>
    <w:uiPriority w:val="99"/>
    <w:qFormat/>
    <w:rsid w:val="00860797"/>
    <w:rPr>
      <w:b/>
      <w:bCs/>
    </w:rPr>
  </w:style>
  <w:style w:type="paragraph" w:customStyle="1" w:styleId="Pa5">
    <w:name w:val="Pa5"/>
    <w:basedOn w:val="Normal"/>
    <w:next w:val="Normal"/>
    <w:uiPriority w:val="99"/>
    <w:rsid w:val="00860797"/>
    <w:pPr>
      <w:autoSpaceDE w:val="0"/>
      <w:autoSpaceDN w:val="0"/>
      <w:adjustRightInd w:val="0"/>
      <w:spacing w:after="0" w:line="171" w:lineRule="atLeast"/>
    </w:pPr>
    <w:rPr>
      <w:rFonts w:ascii="Trivia Sans Regular" w:hAnsi="Trivia Sans Regular"/>
      <w:sz w:val="24"/>
      <w:szCs w:val="24"/>
    </w:rPr>
  </w:style>
  <w:style w:type="paragraph" w:customStyle="1" w:styleId="Pa9">
    <w:name w:val="Pa9"/>
    <w:basedOn w:val="Normal"/>
    <w:next w:val="Normal"/>
    <w:uiPriority w:val="99"/>
    <w:rsid w:val="00860797"/>
    <w:pPr>
      <w:autoSpaceDE w:val="0"/>
      <w:autoSpaceDN w:val="0"/>
      <w:adjustRightInd w:val="0"/>
      <w:spacing w:after="0" w:line="161" w:lineRule="atLeast"/>
    </w:pPr>
    <w:rPr>
      <w:rFonts w:ascii="Trivia Sans Regular" w:hAnsi="Trivia Sans Regular"/>
      <w:sz w:val="24"/>
      <w:szCs w:val="24"/>
    </w:rPr>
  </w:style>
  <w:style w:type="character" w:customStyle="1" w:styleId="A9">
    <w:name w:val="A9"/>
    <w:uiPriority w:val="99"/>
    <w:rsid w:val="00860797"/>
    <w:rPr>
      <w:rFonts w:cs="Trivia Sans Regular"/>
      <w:b/>
      <w:bCs/>
      <w:color w:val="FFFFFF"/>
      <w:sz w:val="16"/>
      <w:szCs w:val="16"/>
      <w:u w:val="single"/>
    </w:rPr>
  </w:style>
  <w:style w:type="paragraph" w:customStyle="1" w:styleId="CarcterCarcter">
    <w:name w:val="Carácter Carácter"/>
    <w:basedOn w:val="Normal"/>
    <w:rsid w:val="00356C18"/>
    <w:pPr>
      <w:spacing w:after="0" w:line="240" w:lineRule="auto"/>
    </w:pPr>
    <w:rPr>
      <w:rFonts w:ascii="Times New Roman" w:eastAsia="Times New Roman" w:hAnsi="Times New Roman" w:cs="Times New Roman"/>
      <w:sz w:val="24"/>
      <w:szCs w:val="24"/>
    </w:rPr>
  </w:style>
  <w:style w:type="character" w:customStyle="1" w:styleId="A13">
    <w:name w:val="A13"/>
    <w:uiPriority w:val="99"/>
    <w:rsid w:val="004E539A"/>
    <w:rPr>
      <w:rFonts w:ascii="Zapf Dingbats" w:hAnsi="Zapf Dingbats" w:cs="Zapf Dingbats"/>
      <w:color w:val="000000"/>
      <w:sz w:val="8"/>
      <w:szCs w:val="8"/>
    </w:rPr>
  </w:style>
  <w:style w:type="character" w:customStyle="1" w:styleId="tgc">
    <w:name w:val="_tgc"/>
    <w:rsid w:val="00D9012C"/>
  </w:style>
  <w:style w:type="character" w:customStyle="1" w:styleId="header-line-3">
    <w:name w:val="header-line-3"/>
    <w:rsid w:val="00D9012C"/>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sid w:val="001119A8"/>
    <w:rPr>
      <w:sz w:val="20"/>
      <w:szCs w:val="20"/>
    </w:rPr>
  </w:style>
  <w:style w:type="paragraph" w:styleId="CommentSubject">
    <w:name w:val="annotation subject"/>
    <w:basedOn w:val="CommentText"/>
    <w:next w:val="CommentText"/>
    <w:link w:val="CommentSubjectChar"/>
    <w:uiPriority w:val="99"/>
    <w:semiHidden/>
    <w:unhideWhenUsed/>
    <w:rsid w:val="001119A8"/>
    <w:rPr>
      <w:b/>
      <w:bCs/>
    </w:rPr>
  </w:style>
  <w:style w:type="character" w:customStyle="1" w:styleId="CommentSubjectChar">
    <w:name w:val="Comment Subject Char"/>
    <w:basedOn w:val="CommentTextChar"/>
    <w:link w:val="CommentSubject"/>
    <w:uiPriority w:val="99"/>
    <w:semiHidden/>
    <w:rsid w:val="001119A8"/>
    <w:rPr>
      <w:b/>
      <w:bCs/>
      <w:sz w:val="20"/>
      <w:szCs w:val="20"/>
    </w:rPr>
  </w:style>
  <w:style w:type="paragraph" w:styleId="Revision">
    <w:name w:val="Revision"/>
    <w:hidden/>
    <w:uiPriority w:val="99"/>
    <w:semiHidden/>
    <w:rsid w:val="00161BC1"/>
    <w:pPr>
      <w:spacing w:after="0" w:line="240" w:lineRule="auto"/>
    </w:pPr>
  </w:style>
  <w:style w:type="paragraph" w:styleId="NormalWeb">
    <w:name w:val="Normal (Web)"/>
    <w:basedOn w:val="Normal"/>
    <w:uiPriority w:val="99"/>
    <w:unhideWhenUsed/>
    <w:rsid w:val="0001152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D5289"/>
    <w:rPr>
      <w:i/>
      <w:iCs/>
    </w:rPr>
  </w:style>
  <w:style w:type="paragraph" w:customStyle="1" w:styleId="Default">
    <w:name w:val="Default"/>
    <w:rsid w:val="00805BF9"/>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customStyle="1" w:styleId="Pa4">
    <w:name w:val="Pa4"/>
    <w:basedOn w:val="Default"/>
    <w:next w:val="Default"/>
    <w:uiPriority w:val="99"/>
    <w:rsid w:val="00DF037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81" w:lineRule="atLeast"/>
    </w:pPr>
    <w:rPr>
      <w:rFonts w:ascii="Trivia Sans Book" w:eastAsiaTheme="minorHAnsi" w:hAnsi="Trivia Sans Book" w:cstheme="minorBidi"/>
      <w:color w:val="auto"/>
      <w:sz w:val="24"/>
      <w:szCs w:val="24"/>
      <w:bdr w:val="none" w:sz="0" w:space="0" w:color="auto"/>
    </w:rPr>
  </w:style>
  <w:style w:type="paragraph" w:styleId="ListParagraph">
    <w:name w:val="List Paragraph"/>
    <w:basedOn w:val="Normal"/>
    <w:uiPriority w:val="34"/>
    <w:qFormat/>
    <w:rsid w:val="000C1074"/>
    <w:pPr>
      <w:ind w:left="720"/>
      <w:contextualSpacing/>
    </w:pPr>
  </w:style>
  <w:style w:type="character" w:customStyle="1" w:styleId="DoNotTranslateInternal1">
    <w:name w:val="DoNotTranslateInternal1"/>
    <w:basedOn w:val="DefaultParagraphFont"/>
    <w:uiPriority w:val="1"/>
    <w:qFormat/>
    <w:rsid w:val="00EC5A9C"/>
    <w:rPr>
      <w:rFonts w:ascii="Arial" w:hAnsi="Arial" w:cs="Arial"/>
      <w:b/>
      <w:color w:val="0000FF"/>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5550">
      <w:bodyDiv w:val="1"/>
      <w:marLeft w:val="0"/>
      <w:marRight w:val="0"/>
      <w:marTop w:val="0"/>
      <w:marBottom w:val="0"/>
      <w:divBdr>
        <w:top w:val="none" w:sz="0" w:space="0" w:color="auto"/>
        <w:left w:val="none" w:sz="0" w:space="0" w:color="auto"/>
        <w:bottom w:val="none" w:sz="0" w:space="0" w:color="auto"/>
        <w:right w:val="none" w:sz="0" w:space="0" w:color="auto"/>
      </w:divBdr>
      <w:divsChild>
        <w:div w:id="1158768334">
          <w:marLeft w:val="0"/>
          <w:marRight w:val="0"/>
          <w:marTop w:val="0"/>
          <w:marBottom w:val="0"/>
          <w:divBdr>
            <w:top w:val="none" w:sz="0" w:space="0" w:color="auto"/>
            <w:left w:val="none" w:sz="0" w:space="0" w:color="auto"/>
            <w:bottom w:val="none" w:sz="0" w:space="0" w:color="auto"/>
            <w:right w:val="none" w:sz="0" w:space="0" w:color="auto"/>
          </w:divBdr>
        </w:div>
      </w:divsChild>
    </w:div>
    <w:div w:id="421797103">
      <w:bodyDiv w:val="1"/>
      <w:marLeft w:val="0"/>
      <w:marRight w:val="0"/>
      <w:marTop w:val="0"/>
      <w:marBottom w:val="0"/>
      <w:divBdr>
        <w:top w:val="none" w:sz="0" w:space="0" w:color="auto"/>
        <w:left w:val="none" w:sz="0" w:space="0" w:color="auto"/>
        <w:bottom w:val="none" w:sz="0" w:space="0" w:color="auto"/>
        <w:right w:val="none" w:sz="0" w:space="0" w:color="auto"/>
      </w:divBdr>
    </w:div>
    <w:div w:id="1079407504">
      <w:bodyDiv w:val="1"/>
      <w:marLeft w:val="0"/>
      <w:marRight w:val="0"/>
      <w:marTop w:val="0"/>
      <w:marBottom w:val="0"/>
      <w:divBdr>
        <w:top w:val="none" w:sz="0" w:space="0" w:color="auto"/>
        <w:left w:val="none" w:sz="0" w:space="0" w:color="auto"/>
        <w:bottom w:val="none" w:sz="0" w:space="0" w:color="auto"/>
        <w:right w:val="none" w:sz="0" w:space="0" w:color="auto"/>
      </w:divBdr>
    </w:div>
    <w:div w:id="1362197718">
      <w:bodyDiv w:val="1"/>
      <w:marLeft w:val="0"/>
      <w:marRight w:val="0"/>
      <w:marTop w:val="0"/>
      <w:marBottom w:val="0"/>
      <w:divBdr>
        <w:top w:val="none" w:sz="0" w:space="0" w:color="auto"/>
        <w:left w:val="none" w:sz="0" w:space="0" w:color="auto"/>
        <w:bottom w:val="none" w:sz="0" w:space="0" w:color="auto"/>
        <w:right w:val="none" w:sz="0" w:space="0" w:color="auto"/>
      </w:divBdr>
    </w:div>
    <w:div w:id="1435595473">
      <w:bodyDiv w:val="1"/>
      <w:marLeft w:val="0"/>
      <w:marRight w:val="0"/>
      <w:marTop w:val="0"/>
      <w:marBottom w:val="0"/>
      <w:divBdr>
        <w:top w:val="none" w:sz="0" w:space="0" w:color="auto"/>
        <w:left w:val="none" w:sz="0" w:space="0" w:color="auto"/>
        <w:bottom w:val="none" w:sz="0" w:space="0" w:color="auto"/>
        <w:right w:val="none" w:sz="0" w:space="0" w:color="auto"/>
      </w:divBdr>
    </w:div>
    <w:div w:id="1922059345">
      <w:bodyDiv w:val="1"/>
      <w:marLeft w:val="0"/>
      <w:marRight w:val="0"/>
      <w:marTop w:val="0"/>
      <w:marBottom w:val="0"/>
      <w:divBdr>
        <w:top w:val="none" w:sz="0" w:space="0" w:color="auto"/>
        <w:left w:val="none" w:sz="0" w:space="0" w:color="auto"/>
        <w:bottom w:val="none" w:sz="0" w:space="0" w:color="auto"/>
        <w:right w:val="none" w:sz="0" w:space="0" w:color="auto"/>
      </w:divBdr>
    </w:div>
    <w:div w:id="2082829004">
      <w:bodyDiv w:val="1"/>
      <w:marLeft w:val="0"/>
      <w:marRight w:val="0"/>
      <w:marTop w:val="0"/>
      <w:marBottom w:val="0"/>
      <w:divBdr>
        <w:top w:val="none" w:sz="0" w:space="0" w:color="auto"/>
        <w:left w:val="none" w:sz="0" w:space="0" w:color="auto"/>
        <w:bottom w:val="none" w:sz="0" w:space="0" w:color="auto"/>
        <w:right w:val="none" w:sz="0" w:space="0" w:color="auto"/>
      </w:divBdr>
    </w:div>
    <w:div w:id="2127964027">
      <w:bodyDiv w:val="1"/>
      <w:marLeft w:val="0"/>
      <w:marRight w:val="0"/>
      <w:marTop w:val="0"/>
      <w:marBottom w:val="0"/>
      <w:divBdr>
        <w:top w:val="none" w:sz="0" w:space="0" w:color="auto"/>
        <w:left w:val="none" w:sz="0" w:space="0" w:color="auto"/>
        <w:bottom w:val="none" w:sz="0" w:space="0" w:color="auto"/>
        <w:right w:val="none" w:sz="0" w:space="0" w:color="auto"/>
      </w:divBdr>
    </w:div>
    <w:div w:id="21438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mcdda.europa.eu/news/2015/naloxo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dc.org/documents/crop-monitoring/Afghanistan/Afghan-opium-survey-2014.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dc.org/documents/wdr2014/World_Drug_Report_2014_web.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cdda.europa.eu/edr201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mcdda.europa.eu/news/2015/treatment-of-cannabis-related-disorders-in-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5501D-CAE9-4E76-9BE0-043C5BA2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3908</Words>
  <Characters>22280</Characters>
  <Application>Microsoft Office Word</Application>
  <DocSecurity>0</DocSecurity>
  <Lines>185</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 release EN</vt:lpstr>
      <vt:lpstr>News release EN</vt:lpstr>
    </vt:vector>
  </TitlesOfParts>
  <Company>Translation Centre</Company>
  <LinksUpToDate>false</LinksUpToDate>
  <CharactersWithSpaces>26136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EN</dc:title>
  <dc:subject>News release EN</dc:subject>
  <dc:creator>Translation Centre</dc:creator>
  <cp:lastModifiedBy>Kathryn Robertson</cp:lastModifiedBy>
  <cp:revision>12</cp:revision>
  <cp:lastPrinted>2015-05-22T08:54:00Z</cp:lastPrinted>
  <dcterms:created xsi:type="dcterms:W3CDTF">2015-05-18T16:04:00Z</dcterms:created>
  <dcterms:modified xsi:type="dcterms:W3CDTF">2015-05-22T09:02:00Z</dcterms:modified>
  <cp:category>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EMCDDA</vt:lpwstr>
  </property>
  <property fmtid="{D5CDD505-2E9C-101B-9397-08002B2CF9AE}" pid="3" name="Editor">
    <vt:lpwstr>EMCDDA</vt:lpwstr>
  </property>
</Properties>
</file>