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70" w:rightFromText="170" w:vertAnchor="page" w:horzAnchor="page" w:tblpX="738" w:tblpY="738"/>
        <w:tblW w:w="561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2" w:type="dxa"/>
          <w:right w:w="0" w:type="dxa"/>
        </w:tblCellMar>
        <w:tblLook w:val="0680" w:firstRow="0" w:lastRow="0" w:firstColumn="1" w:lastColumn="0" w:noHBand="1" w:noVBand="1"/>
      </w:tblPr>
      <w:tblGrid>
        <w:gridCol w:w="4972"/>
        <w:gridCol w:w="5692"/>
      </w:tblGrid>
      <w:tr w:rsidR="00EE23CC" w:rsidRPr="003A18B4" w:rsidTr="00837F8F">
        <w:trPr>
          <w:trHeight w:val="1695"/>
        </w:trPr>
        <w:tc>
          <w:tcPr>
            <w:tcW w:w="2331" w:type="pct"/>
          </w:tcPr>
          <w:p w:rsidR="00EE23CC" w:rsidRPr="003A18B4" w:rsidRDefault="00EE23CC" w:rsidP="00837F8F">
            <w:r w:rsidRPr="003A18B4">
              <w:rPr>
                <w:noProof/>
                <w:lang w:val="en-GB" w:eastAsia="en-GB"/>
              </w:rPr>
              <w:drawing>
                <wp:inline distT="0" distB="0" distL="0" distR="0" wp14:anchorId="17267AFC" wp14:editId="3A48D8E8">
                  <wp:extent cx="2559009" cy="612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-logo.e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9009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9" w:type="pct"/>
          </w:tcPr>
          <w:p w:rsidR="00EE23CC" w:rsidRPr="003A18B4" w:rsidRDefault="00EE23CC" w:rsidP="00837F8F"/>
        </w:tc>
      </w:tr>
    </w:tbl>
    <w:tbl>
      <w:tblPr>
        <w:tblStyle w:val="TableGrid"/>
        <w:tblW w:w="12796" w:type="dxa"/>
        <w:tblInd w:w="-12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6"/>
      </w:tblGrid>
      <w:tr w:rsidR="00EE23CC" w:rsidRPr="003A18B4" w:rsidTr="001F70B4">
        <w:trPr>
          <w:trHeight w:val="1304"/>
        </w:trPr>
        <w:tc>
          <w:tcPr>
            <w:tcW w:w="12796" w:type="dxa"/>
            <w:vAlign w:val="bottom"/>
          </w:tcPr>
          <w:p w:rsidR="00EE23CC" w:rsidRPr="003A18B4" w:rsidRDefault="001F70B4" w:rsidP="001F70B4">
            <w:r w:rsidRPr="003A18B4">
              <w:rPr>
                <w:noProof/>
                <w:lang w:val="en-GB" w:eastAsia="en-GB"/>
              </w:rPr>
              <w:drawing>
                <wp:inline distT="0" distB="0" distL="0" distR="0" wp14:anchorId="17B62170" wp14:editId="412D8168">
                  <wp:extent cx="7562850" cy="920959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ing-EN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0" cy="920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7CB" w:rsidRPr="0063544C" w:rsidRDefault="0063544C" w:rsidP="0063544C">
      <w:pPr>
        <w:pStyle w:val="newsTitle"/>
      </w:pPr>
      <w:r w:rsidRPr="0063544C">
        <w:t>emcdda pr</w:t>
      </w:r>
      <w:r>
        <w:t xml:space="preserve">ésent à </w:t>
      </w:r>
      <w:r w:rsidRPr="0063544C">
        <w:t xml:space="preserve">la </w:t>
      </w:r>
      <w:r w:rsidR="003A17BB" w:rsidRPr="0063544C">
        <w:t>session</w:t>
      </w:r>
      <w:r w:rsidR="009A2EE0" w:rsidRPr="0063544C">
        <w:t> </w:t>
      </w:r>
      <w:r w:rsidR="003A17BB" w:rsidRPr="0063544C">
        <w:t>2015 de la commission des stupéfiants des nations unies à vienne</w:t>
      </w:r>
    </w:p>
    <w:p w:rsidR="00BF67CB" w:rsidRPr="006860EB" w:rsidRDefault="003A17BB" w:rsidP="006860EB">
      <w:pPr>
        <w:pStyle w:val="newsSubTitle"/>
      </w:pPr>
      <w:r w:rsidRPr="006860EB">
        <w:t>L’O</w:t>
      </w:r>
      <w:r w:rsidR="006860EB" w:rsidRPr="006860EB">
        <w:t xml:space="preserve">bservatoire </w:t>
      </w:r>
      <w:r w:rsidRPr="006860EB">
        <w:t xml:space="preserve">présente les dernières </w:t>
      </w:r>
      <w:r w:rsidR="00591EB8" w:rsidRPr="006860EB">
        <w:t>données</w:t>
      </w:r>
      <w:r w:rsidRPr="006860EB">
        <w:t xml:space="preserve"> du système d’alerte rapide de l’UE</w:t>
      </w:r>
      <w:r w:rsidR="00591EB8" w:rsidRPr="006860EB">
        <w:t xml:space="preserve"> concernant les «nouvelles drogues»</w:t>
      </w:r>
    </w:p>
    <w:p w:rsidR="003A17BB" w:rsidRPr="003A18B4" w:rsidRDefault="003A17BB" w:rsidP="00910AD0">
      <w:pPr>
        <w:pStyle w:val="newsContent"/>
        <w:ind w:right="-2"/>
      </w:pPr>
      <w:r w:rsidRPr="003A18B4">
        <w:t>(9.3.2015, LISBONNE/VIENNE) De nouvelles substances psychoactives (NSP ou «nouvelles drogues») ont été détectées dans l’Union européenne l’année dernière au rythme d</w:t>
      </w:r>
      <w:r w:rsidR="00591EB8">
        <w:t>e</w:t>
      </w:r>
      <w:r w:rsidRPr="003A18B4">
        <w:t xml:space="preserve"> deux par semaine </w:t>
      </w:r>
      <w:r w:rsidR="00591EB8">
        <w:t>environ</w:t>
      </w:r>
      <w:r w:rsidR="009A2EE0">
        <w:t xml:space="preserve">, </w:t>
      </w:r>
      <w:r w:rsidR="00440433">
        <w:t xml:space="preserve"> </w:t>
      </w:r>
      <w:r w:rsidRPr="003A18B4">
        <w:t>selon un</w:t>
      </w:r>
      <w:r w:rsidR="0063544C">
        <w:t xml:space="preserve"> rapport </w:t>
      </w:r>
      <w:r w:rsidR="003A18B4" w:rsidRPr="0063544C">
        <w:t>publié</w:t>
      </w:r>
      <w:r w:rsidR="003A18B4" w:rsidRPr="003A18B4">
        <w:t xml:space="preserve"> ce jour par l’</w:t>
      </w:r>
      <w:r w:rsidR="003A18B4" w:rsidRPr="003A18B4">
        <w:rPr>
          <w:b/>
        </w:rPr>
        <w:t>Observatoire européen des drogues et des toxicomanies</w:t>
      </w:r>
      <w:r w:rsidRPr="003A18B4">
        <w:rPr>
          <w:b/>
        </w:rPr>
        <w:t xml:space="preserve"> (</w:t>
      </w:r>
      <w:r w:rsidR="00440433">
        <w:rPr>
          <w:b/>
        </w:rPr>
        <w:t>EMCDDA</w:t>
      </w:r>
      <w:proofErr w:type="gramStart"/>
      <w:r w:rsidRPr="003A18B4">
        <w:rPr>
          <w:b/>
        </w:rPr>
        <w:t>)</w:t>
      </w:r>
      <w:r w:rsidRPr="003A18B4">
        <w:t>(</w:t>
      </w:r>
      <w:proofErr w:type="gramEnd"/>
      <w:r w:rsidRPr="003A18B4">
        <w:rPr>
          <w:vertAlign w:val="superscript"/>
        </w:rPr>
        <w:t>1</w:t>
      </w:r>
      <w:r w:rsidRPr="003A18B4">
        <w:t xml:space="preserve">). </w:t>
      </w:r>
      <w:r w:rsidR="003A18B4" w:rsidRPr="003A18B4">
        <w:t xml:space="preserve">Au total, </w:t>
      </w:r>
      <w:r w:rsidRPr="003A18B4">
        <w:t xml:space="preserve">101 </w:t>
      </w:r>
      <w:r w:rsidR="003A18B4" w:rsidRPr="003A18B4">
        <w:t>nouvelles substances</w:t>
      </w:r>
      <w:r w:rsidRPr="003A18B4">
        <w:t xml:space="preserve"> </w:t>
      </w:r>
      <w:r w:rsidR="003A18B4" w:rsidRPr="003A18B4">
        <w:t xml:space="preserve">ont été signalées au </w:t>
      </w:r>
      <w:r w:rsidR="00591EB8">
        <w:rPr>
          <w:b/>
        </w:rPr>
        <w:t>système d’alerte rapide</w:t>
      </w:r>
      <w:r w:rsidRPr="003A18B4">
        <w:t xml:space="preserve"> </w:t>
      </w:r>
      <w:r w:rsidRPr="003A18B4">
        <w:rPr>
          <w:b/>
        </w:rPr>
        <w:t>(EWS)</w:t>
      </w:r>
      <w:r w:rsidR="003A18B4" w:rsidRPr="003A18B4">
        <w:rPr>
          <w:b/>
        </w:rPr>
        <w:t xml:space="preserve"> de l’UE</w:t>
      </w:r>
      <w:r w:rsidRPr="003A18B4">
        <w:t xml:space="preserve"> </w:t>
      </w:r>
      <w:r w:rsidR="003A18B4" w:rsidRPr="003A18B4">
        <w:t>e</w:t>
      </w:r>
      <w:r w:rsidRPr="003A18B4">
        <w:t>n 2014 (</w:t>
      </w:r>
      <w:r w:rsidR="003A18B4" w:rsidRPr="003A18B4">
        <w:t>contre</w:t>
      </w:r>
      <w:r w:rsidRPr="003A18B4">
        <w:t xml:space="preserve"> 81 </w:t>
      </w:r>
      <w:r w:rsidR="003A18B4" w:rsidRPr="003A18B4">
        <w:t>e</w:t>
      </w:r>
      <w:r w:rsidRPr="003A18B4">
        <w:t xml:space="preserve">n 2013), </w:t>
      </w:r>
      <w:r w:rsidR="003A18B4" w:rsidRPr="003A18B4">
        <w:t xml:space="preserve">poursuivant une tendance </w:t>
      </w:r>
      <w:r w:rsidR="00591EB8">
        <w:t>à la hausse</w:t>
      </w:r>
      <w:r w:rsidR="003A18B4" w:rsidRPr="003A18B4">
        <w:t xml:space="preserve"> </w:t>
      </w:r>
      <w:r w:rsidR="009A2EE0">
        <w:t>existant dans</w:t>
      </w:r>
      <w:r w:rsidR="00591EB8">
        <w:t xml:space="preserve"> les</w:t>
      </w:r>
      <w:r w:rsidRPr="003A18B4">
        <w:t xml:space="preserve"> substances notifi</w:t>
      </w:r>
      <w:r w:rsidR="003A18B4" w:rsidRPr="003A18B4">
        <w:t>é</w:t>
      </w:r>
      <w:r w:rsidRPr="003A18B4">
        <w:t>e</w:t>
      </w:r>
      <w:r w:rsidR="003A18B4" w:rsidRPr="003A18B4">
        <w:t>s</w:t>
      </w:r>
      <w:r w:rsidRPr="003A18B4">
        <w:t xml:space="preserve"> </w:t>
      </w:r>
      <w:r w:rsidR="003A18B4" w:rsidRPr="003A18B4">
        <w:t>au cours d’une seule année</w:t>
      </w:r>
      <w:r w:rsidRPr="003A18B4">
        <w:t xml:space="preserve"> (</w:t>
      </w:r>
      <w:r w:rsidRPr="003A18B4">
        <w:rPr>
          <w:vertAlign w:val="superscript"/>
        </w:rPr>
        <w:t>2</w:t>
      </w:r>
      <w:r w:rsidRPr="003A18B4">
        <w:t xml:space="preserve">). </w:t>
      </w:r>
      <w:r w:rsidR="003A18B4" w:rsidRPr="003A18B4">
        <w:t xml:space="preserve">Ceci porte à plus de 450 le nombre </w:t>
      </w:r>
      <w:r w:rsidRPr="003A18B4">
        <w:t xml:space="preserve">total </w:t>
      </w:r>
      <w:r w:rsidR="003A18B4" w:rsidRPr="003A18B4">
        <w:t>de</w:t>
      </w:r>
      <w:r w:rsidRPr="003A18B4">
        <w:t xml:space="preserve"> substances </w:t>
      </w:r>
      <w:r w:rsidR="003A18B4" w:rsidRPr="003A18B4">
        <w:t>surveillées par l’</w:t>
      </w:r>
      <w:r w:rsidRPr="003A18B4">
        <w:t>agenc</w:t>
      </w:r>
      <w:r w:rsidR="003A18B4" w:rsidRPr="003A18B4">
        <w:t>e</w:t>
      </w:r>
      <w:r w:rsidRPr="003A18B4">
        <w:t xml:space="preserve">, </w:t>
      </w:r>
      <w:r w:rsidR="003A18B4" w:rsidRPr="003A18B4">
        <w:t xml:space="preserve">dont plus de la </w:t>
      </w:r>
      <w:r w:rsidR="003A18B4">
        <w:t>moitié ont été identifiées au cours des trois dernières</w:t>
      </w:r>
      <w:r w:rsidRPr="003A18B4">
        <w:t xml:space="preserve"> </w:t>
      </w:r>
      <w:r w:rsidR="003A18B4">
        <w:t>années seulement</w:t>
      </w:r>
      <w:r w:rsidRPr="003A18B4">
        <w:t xml:space="preserve">. </w:t>
      </w:r>
    </w:p>
    <w:p w:rsidR="003A17BB" w:rsidRPr="006E17F1" w:rsidRDefault="003A18B4" w:rsidP="001A10FB">
      <w:pPr>
        <w:pStyle w:val="newsContent"/>
        <w:ind w:right="-285"/>
      </w:pPr>
      <w:r w:rsidRPr="003A18B4">
        <w:t>La publication du</w:t>
      </w:r>
      <w:r w:rsidR="003A17BB" w:rsidRPr="003A18B4">
        <w:t xml:space="preserve"> r</w:t>
      </w:r>
      <w:r w:rsidRPr="003A18B4">
        <w:t>ap</w:t>
      </w:r>
      <w:r w:rsidR="003A17BB" w:rsidRPr="003A18B4">
        <w:t xml:space="preserve">port </w:t>
      </w:r>
      <w:r w:rsidRPr="003A18B4">
        <w:t>co</w:t>
      </w:r>
      <w:r w:rsidR="001814C3">
        <w:t>ï</w:t>
      </w:r>
      <w:r w:rsidRPr="003A18B4">
        <w:t>nc</w:t>
      </w:r>
      <w:r w:rsidR="001814C3">
        <w:t>i</w:t>
      </w:r>
      <w:r w:rsidRPr="003A18B4">
        <w:t>de avec l’</w:t>
      </w:r>
      <w:r w:rsidR="001814C3">
        <w:t xml:space="preserve">ouverture </w:t>
      </w:r>
      <w:r w:rsidRPr="003A18B4">
        <w:t>de la</w:t>
      </w:r>
      <w:r w:rsidR="003A17BB" w:rsidRPr="003A18B4">
        <w:t xml:space="preserve"> 58</w:t>
      </w:r>
      <w:r>
        <w:rPr>
          <w:vertAlign w:val="superscript"/>
        </w:rPr>
        <w:t>e</w:t>
      </w:r>
      <w:r w:rsidR="003A17BB" w:rsidRPr="003A18B4">
        <w:t xml:space="preserve"> session </w:t>
      </w:r>
      <w:r>
        <w:t>de la</w:t>
      </w:r>
      <w:r w:rsidR="003A17BB" w:rsidRPr="003A18B4">
        <w:t xml:space="preserve"> </w:t>
      </w:r>
      <w:r>
        <w:rPr>
          <w:b/>
        </w:rPr>
        <w:t>Commission des stupéfiants des N</w:t>
      </w:r>
      <w:r w:rsidR="00440433">
        <w:rPr>
          <w:b/>
        </w:rPr>
        <w:t xml:space="preserve">ations </w:t>
      </w:r>
      <w:r>
        <w:rPr>
          <w:b/>
        </w:rPr>
        <w:t>U</w:t>
      </w:r>
      <w:r w:rsidR="00440433">
        <w:rPr>
          <w:b/>
        </w:rPr>
        <w:t>nies</w:t>
      </w:r>
      <w:r w:rsidR="003A17BB" w:rsidRPr="003A18B4">
        <w:t xml:space="preserve"> (CND) </w:t>
      </w:r>
      <w:r w:rsidR="006E17F1">
        <w:t>à</w:t>
      </w:r>
      <w:r w:rsidR="003A17BB" w:rsidRPr="003A18B4">
        <w:t xml:space="preserve"> Vienn</w:t>
      </w:r>
      <w:r w:rsidR="006E17F1">
        <w:t>e</w:t>
      </w:r>
      <w:r w:rsidR="001814C3">
        <w:t>,</w:t>
      </w:r>
      <w:r w:rsidR="006E17F1">
        <w:t xml:space="preserve"> à laquelle l’</w:t>
      </w:r>
      <w:r w:rsidR="00440433">
        <w:rPr>
          <w:b/>
        </w:rPr>
        <w:t>EMCDDA</w:t>
      </w:r>
      <w:r w:rsidR="003A17BB" w:rsidRPr="003A18B4">
        <w:t xml:space="preserve"> particip</w:t>
      </w:r>
      <w:r w:rsidR="006E17F1">
        <w:t>e aux côtés de la</w:t>
      </w:r>
      <w:r w:rsidR="003A17BB" w:rsidRPr="003A18B4">
        <w:t xml:space="preserve"> </w:t>
      </w:r>
      <w:r w:rsidR="003A17BB" w:rsidRPr="003A18B4">
        <w:rPr>
          <w:b/>
        </w:rPr>
        <w:t>d</w:t>
      </w:r>
      <w:r w:rsidR="006E17F1">
        <w:rPr>
          <w:b/>
        </w:rPr>
        <w:t>é</w:t>
      </w:r>
      <w:r w:rsidR="003A17BB" w:rsidRPr="003A18B4">
        <w:rPr>
          <w:b/>
        </w:rPr>
        <w:t>l</w:t>
      </w:r>
      <w:r w:rsidR="006E17F1">
        <w:rPr>
          <w:b/>
        </w:rPr>
        <w:t>é</w:t>
      </w:r>
      <w:r w:rsidR="003A17BB" w:rsidRPr="003A18B4">
        <w:rPr>
          <w:b/>
        </w:rPr>
        <w:t>gation</w:t>
      </w:r>
      <w:r w:rsidR="006E17F1">
        <w:rPr>
          <w:b/>
        </w:rPr>
        <w:t xml:space="preserve"> de l’UE</w:t>
      </w:r>
      <w:r w:rsidR="003A17BB" w:rsidRPr="003A18B4">
        <w:rPr>
          <w:b/>
        </w:rPr>
        <w:t xml:space="preserve"> </w:t>
      </w:r>
      <w:r w:rsidR="003A17BB" w:rsidRPr="003A18B4">
        <w:t>(</w:t>
      </w:r>
      <w:r w:rsidR="003A17BB" w:rsidRPr="003A18B4">
        <w:rPr>
          <w:vertAlign w:val="superscript"/>
        </w:rPr>
        <w:t>3</w:t>
      </w:r>
      <w:r w:rsidR="003A17BB" w:rsidRPr="003A18B4">
        <w:t xml:space="preserve">). </w:t>
      </w:r>
      <w:r w:rsidR="006E17F1" w:rsidRPr="006E17F1">
        <w:t>Elle est</w:t>
      </w:r>
      <w:r w:rsidR="003A17BB" w:rsidRPr="006E17F1">
        <w:t xml:space="preserve"> bas</w:t>
      </w:r>
      <w:r w:rsidR="006E17F1" w:rsidRPr="006E17F1">
        <w:t>é</w:t>
      </w:r>
      <w:r w:rsidR="003A17BB" w:rsidRPr="006E17F1">
        <w:t>e</w:t>
      </w:r>
      <w:r w:rsidR="006E17F1" w:rsidRPr="006E17F1">
        <w:t xml:space="preserve"> sur une analyse des </w:t>
      </w:r>
      <w:r w:rsidR="00591EB8">
        <w:t>données</w:t>
      </w:r>
      <w:r w:rsidR="006E17F1" w:rsidRPr="006E17F1">
        <w:t xml:space="preserve"> recueillies par l’</w:t>
      </w:r>
      <w:r w:rsidR="003A17BB" w:rsidRPr="006E17F1">
        <w:rPr>
          <w:b/>
        </w:rPr>
        <w:t>EWS</w:t>
      </w:r>
      <w:r w:rsidR="003A17BB" w:rsidRPr="006E17F1">
        <w:t xml:space="preserve"> </w:t>
      </w:r>
      <w:r w:rsidR="006E17F1">
        <w:t>auprès des</w:t>
      </w:r>
      <w:r w:rsidR="003A17BB" w:rsidRPr="006E17F1">
        <w:t xml:space="preserve"> </w:t>
      </w:r>
      <w:r w:rsidR="003A17BB" w:rsidRPr="006E17F1">
        <w:rPr>
          <w:b/>
        </w:rPr>
        <w:t xml:space="preserve">28 </w:t>
      </w:r>
      <w:r w:rsidR="001F0EF1">
        <w:rPr>
          <w:b/>
        </w:rPr>
        <w:t>États membres de l’UE</w:t>
      </w:r>
      <w:r w:rsidR="003A17BB" w:rsidRPr="006E17F1">
        <w:rPr>
          <w:b/>
        </w:rPr>
        <w:t xml:space="preserve">, </w:t>
      </w:r>
      <w:r w:rsidR="001F0EF1" w:rsidRPr="001F0EF1">
        <w:t xml:space="preserve">ainsi qu’en </w:t>
      </w:r>
      <w:r w:rsidR="001F0EF1">
        <w:rPr>
          <w:b/>
        </w:rPr>
        <w:t>Turquie</w:t>
      </w:r>
      <w:r w:rsidR="003A17BB" w:rsidRPr="006E17F1">
        <w:rPr>
          <w:b/>
        </w:rPr>
        <w:t xml:space="preserve"> </w:t>
      </w:r>
      <w:r w:rsidR="001F0EF1" w:rsidRPr="001F0EF1">
        <w:t>et en</w:t>
      </w:r>
      <w:r w:rsidR="003A17BB" w:rsidRPr="006E17F1">
        <w:rPr>
          <w:b/>
        </w:rPr>
        <w:t xml:space="preserve"> Nor</w:t>
      </w:r>
      <w:r w:rsidR="001F0EF1">
        <w:rPr>
          <w:b/>
        </w:rPr>
        <w:t>vège</w:t>
      </w:r>
      <w:r w:rsidR="003A17BB" w:rsidRPr="006E17F1">
        <w:t xml:space="preserve">. </w:t>
      </w:r>
    </w:p>
    <w:p w:rsidR="003A17BB" w:rsidRPr="001F0EF1" w:rsidRDefault="001F0EF1" w:rsidP="004E513E">
      <w:pPr>
        <w:pStyle w:val="newsContent"/>
      </w:pPr>
      <w:r w:rsidRPr="001F0EF1">
        <w:t>E</w:t>
      </w:r>
      <w:r w:rsidR="003A17BB" w:rsidRPr="001F0EF1">
        <w:t xml:space="preserve">n 2014, </w:t>
      </w:r>
      <w:r w:rsidRPr="001F0EF1">
        <w:t>la</w:t>
      </w:r>
      <w:r w:rsidR="003A17BB" w:rsidRPr="001F0EF1">
        <w:t xml:space="preserve"> list</w:t>
      </w:r>
      <w:r w:rsidRPr="001F0EF1">
        <w:t>e</w:t>
      </w:r>
      <w:r w:rsidR="003A17BB" w:rsidRPr="001F0EF1">
        <w:t xml:space="preserve"> </w:t>
      </w:r>
      <w:r w:rsidRPr="001F0EF1">
        <w:t>des</w:t>
      </w:r>
      <w:r w:rsidR="003A17BB" w:rsidRPr="001F0EF1">
        <w:t xml:space="preserve"> substances </w:t>
      </w:r>
      <w:r w:rsidRPr="001F0EF1">
        <w:t>déclarées était</w:t>
      </w:r>
      <w:r w:rsidR="003862AD">
        <w:t xml:space="preserve"> une nouvelle fois</w:t>
      </w:r>
      <w:r w:rsidRPr="001F0EF1">
        <w:t xml:space="preserve"> </w:t>
      </w:r>
      <w:r w:rsidR="003A17BB" w:rsidRPr="001F0EF1">
        <w:t>domin</w:t>
      </w:r>
      <w:r>
        <w:t>é</w:t>
      </w:r>
      <w:r w:rsidR="003A17BB" w:rsidRPr="001F0EF1">
        <w:t>e</w:t>
      </w:r>
      <w:r>
        <w:t xml:space="preserve"> par deux </w:t>
      </w:r>
      <w:r w:rsidR="003A17BB" w:rsidRPr="001F0EF1">
        <w:t>group</w:t>
      </w:r>
      <w:r>
        <w:t>e</w:t>
      </w:r>
      <w:r w:rsidR="003A17BB" w:rsidRPr="001F0EF1">
        <w:t xml:space="preserve">s: </w:t>
      </w:r>
      <w:r>
        <w:t xml:space="preserve">les </w:t>
      </w:r>
      <w:r>
        <w:rPr>
          <w:b/>
        </w:rPr>
        <w:t>cathinones de synthèse</w:t>
      </w:r>
      <w:r w:rsidR="003A17BB" w:rsidRPr="001F0EF1">
        <w:t xml:space="preserve"> (31 substances) </w:t>
      </w:r>
      <w:r>
        <w:t>et les</w:t>
      </w:r>
      <w:r w:rsidR="003A17BB" w:rsidRPr="001F0EF1">
        <w:t xml:space="preserve"> </w:t>
      </w:r>
      <w:r>
        <w:rPr>
          <w:b/>
        </w:rPr>
        <w:t>cannabinoïdes de synthèse</w:t>
      </w:r>
      <w:r w:rsidR="003A17BB" w:rsidRPr="001F0EF1">
        <w:rPr>
          <w:b/>
        </w:rPr>
        <w:t xml:space="preserve"> </w:t>
      </w:r>
      <w:r w:rsidR="003A17BB" w:rsidRPr="001F0EF1">
        <w:t>(30 substances)</w:t>
      </w:r>
      <w:r>
        <w:t xml:space="preserve">, vendus en tant que substituts légaux des stimulants et du cannabis </w:t>
      </w:r>
      <w:r w:rsidR="003A17BB" w:rsidRPr="001F0EF1">
        <w:t>respective</w:t>
      </w:r>
      <w:r>
        <w:t>ment</w:t>
      </w:r>
      <w:r w:rsidR="003A17BB" w:rsidRPr="001F0EF1">
        <w:t xml:space="preserve">. </w:t>
      </w:r>
      <w:r w:rsidRPr="001F0EF1">
        <w:t xml:space="preserve">Ces substances </w:t>
      </w:r>
      <w:r w:rsidR="003862AD">
        <w:t>forment actuellement</w:t>
      </w:r>
      <w:r w:rsidRPr="001F0EF1">
        <w:t xml:space="preserve"> les deux plus </w:t>
      </w:r>
      <w:r w:rsidR="003862AD">
        <w:t>importants</w:t>
      </w:r>
      <w:r w:rsidRPr="001F0EF1">
        <w:t xml:space="preserve"> groupes </w:t>
      </w:r>
      <w:r w:rsidR="003862AD">
        <w:t xml:space="preserve">de drogues </w:t>
      </w:r>
      <w:r w:rsidRPr="001F0EF1">
        <w:t>surveillés par l’</w:t>
      </w:r>
      <w:r w:rsidR="003A17BB" w:rsidRPr="004F3333">
        <w:rPr>
          <w:b/>
        </w:rPr>
        <w:t>EWS</w:t>
      </w:r>
      <w:r w:rsidR="003A17BB" w:rsidRPr="001F0EF1">
        <w:t xml:space="preserve"> </w:t>
      </w:r>
      <w:r>
        <w:t xml:space="preserve">et </w:t>
      </w:r>
      <w:r w:rsidR="003862AD">
        <w:t>représentent</w:t>
      </w:r>
      <w:r>
        <w:t xml:space="preserve"> ensemble près de deux tiers des</w:t>
      </w:r>
      <w:r w:rsidR="003A17BB" w:rsidRPr="001F0EF1">
        <w:t xml:space="preserve"> nouvelles drogues </w:t>
      </w:r>
      <w:r w:rsidR="001814C3">
        <w:t xml:space="preserve">signalées </w:t>
      </w:r>
      <w:r>
        <w:t>e</w:t>
      </w:r>
      <w:r w:rsidR="003A17BB" w:rsidRPr="001F0EF1">
        <w:t>n 2014.</w:t>
      </w:r>
    </w:p>
    <w:p w:rsidR="003A17BB" w:rsidRPr="001F0EF1" w:rsidRDefault="001F0EF1" w:rsidP="004E513E">
      <w:pPr>
        <w:pStyle w:val="newsContent"/>
        <w:rPr>
          <w:lang w:val="fr-BE"/>
        </w:rPr>
      </w:pPr>
      <w:r>
        <w:t>Les dernières informations disponibles concernant les saisies</w:t>
      </w:r>
      <w:r w:rsidR="00440433">
        <w:t xml:space="preserve"> </w:t>
      </w:r>
      <w:r w:rsidR="00AE3C1A">
        <w:t>montrent une</w:t>
      </w:r>
      <w:r w:rsidR="003A17BB" w:rsidRPr="003A18B4">
        <w:t xml:space="preserve"> </w:t>
      </w:r>
      <w:r>
        <w:t>croissance</w:t>
      </w:r>
      <w:r w:rsidR="003A17BB" w:rsidRPr="003A18B4">
        <w:t xml:space="preserve"> </w:t>
      </w:r>
      <w:r>
        <w:t>du</w:t>
      </w:r>
      <w:r w:rsidR="003A17BB" w:rsidRPr="003A18B4">
        <w:t xml:space="preserve"> </w:t>
      </w:r>
      <w:r>
        <w:t>marché des NSP</w:t>
      </w:r>
      <w:r w:rsidR="003A17BB" w:rsidRPr="003A18B4">
        <w:t>.</w:t>
      </w:r>
      <w:r w:rsidR="003A17BB" w:rsidRPr="001F0EF1">
        <w:rPr>
          <w:lang w:val="fr-BE"/>
        </w:rPr>
        <w:t xml:space="preserve"> </w:t>
      </w:r>
      <w:r w:rsidRPr="001F0EF1">
        <w:rPr>
          <w:lang w:val="fr-BE"/>
        </w:rPr>
        <w:t>Entre</w:t>
      </w:r>
      <w:r w:rsidR="003A17BB" w:rsidRPr="001F0EF1">
        <w:rPr>
          <w:lang w:val="fr-BE"/>
        </w:rPr>
        <w:t xml:space="preserve"> 2008 </w:t>
      </w:r>
      <w:r w:rsidRPr="001F0EF1">
        <w:rPr>
          <w:lang w:val="fr-BE"/>
        </w:rPr>
        <w:t>et</w:t>
      </w:r>
      <w:r w:rsidR="003A17BB" w:rsidRPr="001F0EF1">
        <w:rPr>
          <w:lang w:val="fr-BE"/>
        </w:rPr>
        <w:t xml:space="preserve"> 2013, </w:t>
      </w:r>
      <w:r w:rsidRPr="001F0EF1">
        <w:rPr>
          <w:lang w:val="fr-BE"/>
        </w:rPr>
        <w:t xml:space="preserve">le nombre de saisies </w:t>
      </w:r>
      <w:r>
        <w:rPr>
          <w:lang w:val="fr-BE"/>
        </w:rPr>
        <w:t xml:space="preserve">de NSP </w:t>
      </w:r>
      <w:r w:rsidRPr="001F0EF1">
        <w:rPr>
          <w:lang w:val="fr-BE"/>
        </w:rPr>
        <w:t>opérées en Europe a été multiplié par sept</w:t>
      </w:r>
      <w:r w:rsidR="003A17BB" w:rsidRPr="001F0EF1">
        <w:rPr>
          <w:lang w:val="fr-BE"/>
        </w:rPr>
        <w:t xml:space="preserve">. </w:t>
      </w:r>
      <w:r w:rsidR="00AE3C1A">
        <w:rPr>
          <w:lang w:val="fr-BE"/>
        </w:rPr>
        <w:t xml:space="preserve">         </w:t>
      </w:r>
      <w:r w:rsidR="00440433">
        <w:rPr>
          <w:lang w:val="fr-BE"/>
        </w:rPr>
        <w:t>P</w:t>
      </w:r>
      <w:r>
        <w:rPr>
          <w:lang w:val="fr-BE"/>
        </w:rPr>
        <w:t>rès de</w:t>
      </w:r>
      <w:r w:rsidR="003A17BB" w:rsidRPr="001F0EF1">
        <w:rPr>
          <w:lang w:val="fr-BE"/>
        </w:rPr>
        <w:t xml:space="preserve"> 47</w:t>
      </w:r>
      <w:r>
        <w:rPr>
          <w:lang w:val="fr-BE"/>
        </w:rPr>
        <w:t> </w:t>
      </w:r>
      <w:r w:rsidR="003A17BB" w:rsidRPr="001F0EF1">
        <w:rPr>
          <w:lang w:val="fr-BE"/>
        </w:rPr>
        <w:t xml:space="preserve">000 </w:t>
      </w:r>
      <w:r w:rsidRPr="001F0EF1">
        <w:rPr>
          <w:lang w:val="fr-BE"/>
        </w:rPr>
        <w:t>saisies</w:t>
      </w:r>
      <w:r w:rsidR="003A17BB" w:rsidRPr="001F0EF1">
        <w:rPr>
          <w:lang w:val="fr-BE"/>
        </w:rPr>
        <w:t xml:space="preserve"> </w:t>
      </w:r>
      <w:r>
        <w:rPr>
          <w:lang w:val="fr-BE"/>
        </w:rPr>
        <w:t>de</w:t>
      </w:r>
      <w:r w:rsidR="003A17BB" w:rsidRPr="001F0EF1">
        <w:rPr>
          <w:lang w:val="fr-BE"/>
        </w:rPr>
        <w:t xml:space="preserve"> NSP, </w:t>
      </w:r>
      <w:r w:rsidR="003862AD">
        <w:rPr>
          <w:lang w:val="fr-BE"/>
        </w:rPr>
        <w:t>équivalant à</w:t>
      </w:r>
      <w:r>
        <w:rPr>
          <w:lang w:val="fr-BE"/>
        </w:rPr>
        <w:t xml:space="preserve"> plus de </w:t>
      </w:r>
      <w:r w:rsidR="003A17BB" w:rsidRPr="001F0EF1">
        <w:rPr>
          <w:lang w:val="fr-BE"/>
        </w:rPr>
        <w:t>3</w:t>
      </w:r>
      <w:r>
        <w:rPr>
          <w:lang w:val="fr-BE"/>
        </w:rPr>
        <w:t>,</w:t>
      </w:r>
      <w:r w:rsidR="003A17BB" w:rsidRPr="001F0EF1">
        <w:rPr>
          <w:lang w:val="fr-BE"/>
        </w:rPr>
        <w:t xml:space="preserve">1 tonnes, </w:t>
      </w:r>
      <w:r>
        <w:rPr>
          <w:lang w:val="fr-BE"/>
        </w:rPr>
        <w:t xml:space="preserve">ont été </w:t>
      </w:r>
      <w:r w:rsidR="003862AD">
        <w:rPr>
          <w:lang w:val="fr-BE"/>
        </w:rPr>
        <w:t>déclarées</w:t>
      </w:r>
      <w:r>
        <w:rPr>
          <w:lang w:val="fr-BE"/>
        </w:rPr>
        <w:t xml:space="preserve"> e</w:t>
      </w:r>
      <w:r w:rsidR="003A17BB" w:rsidRPr="001F0EF1">
        <w:rPr>
          <w:lang w:val="fr-BE"/>
        </w:rPr>
        <w:t xml:space="preserve">n Europe </w:t>
      </w:r>
      <w:r>
        <w:rPr>
          <w:lang w:val="fr-BE"/>
        </w:rPr>
        <w:t>e</w:t>
      </w:r>
      <w:r w:rsidR="003A17BB" w:rsidRPr="001F0EF1">
        <w:rPr>
          <w:lang w:val="fr-BE"/>
        </w:rPr>
        <w:t xml:space="preserve">n 2013. </w:t>
      </w:r>
      <w:r w:rsidR="00440433">
        <w:rPr>
          <w:lang w:val="fr-BE"/>
        </w:rPr>
        <w:t xml:space="preserve"> </w:t>
      </w:r>
      <w:r>
        <w:rPr>
          <w:lang w:val="fr-BE"/>
        </w:rPr>
        <w:t>Les c</w:t>
      </w:r>
      <w:r w:rsidRPr="001F0EF1">
        <w:rPr>
          <w:lang w:val="fr-BE"/>
        </w:rPr>
        <w:t>annabinoïdes de synthèse</w:t>
      </w:r>
      <w:r w:rsidR="003A17BB" w:rsidRPr="001F0EF1">
        <w:rPr>
          <w:lang w:val="fr-BE"/>
        </w:rPr>
        <w:t xml:space="preserve"> </w:t>
      </w:r>
      <w:r w:rsidRPr="001F0EF1">
        <w:rPr>
          <w:lang w:val="fr-BE"/>
        </w:rPr>
        <w:t xml:space="preserve">représentaient la </w:t>
      </w:r>
      <w:r w:rsidR="003862AD">
        <w:rPr>
          <w:lang w:val="fr-BE"/>
        </w:rPr>
        <w:t xml:space="preserve">plus grande partie </w:t>
      </w:r>
      <w:r>
        <w:rPr>
          <w:lang w:val="fr-BE"/>
        </w:rPr>
        <w:t>de</w:t>
      </w:r>
      <w:r w:rsidR="003A17BB" w:rsidRPr="001F0EF1">
        <w:rPr>
          <w:lang w:val="fr-BE"/>
        </w:rPr>
        <w:t xml:space="preserve"> </w:t>
      </w:r>
      <w:r>
        <w:rPr>
          <w:lang w:val="fr-BE"/>
        </w:rPr>
        <w:t>ces chiffres</w:t>
      </w:r>
      <w:r w:rsidR="003A17BB" w:rsidRPr="001F0EF1">
        <w:rPr>
          <w:lang w:val="fr-BE"/>
        </w:rPr>
        <w:t xml:space="preserve"> (21 000 </w:t>
      </w:r>
      <w:r w:rsidRPr="001F0EF1">
        <w:rPr>
          <w:lang w:val="fr-BE"/>
        </w:rPr>
        <w:t>saisies</w:t>
      </w:r>
      <w:r w:rsidR="003A17BB" w:rsidRPr="001F0EF1">
        <w:rPr>
          <w:lang w:val="fr-BE"/>
        </w:rPr>
        <w:t>; 1</w:t>
      </w:r>
      <w:r>
        <w:rPr>
          <w:lang w:val="fr-BE"/>
        </w:rPr>
        <w:t>,</w:t>
      </w:r>
      <w:r w:rsidR="003A17BB" w:rsidRPr="001F0EF1">
        <w:rPr>
          <w:lang w:val="fr-BE"/>
        </w:rPr>
        <w:t xml:space="preserve">6 tonne), </w:t>
      </w:r>
      <w:r>
        <w:rPr>
          <w:lang w:val="fr-BE"/>
        </w:rPr>
        <w:t>suivis par les</w:t>
      </w:r>
      <w:r w:rsidR="003A17BB" w:rsidRPr="001F0EF1">
        <w:rPr>
          <w:lang w:val="fr-BE"/>
        </w:rPr>
        <w:t xml:space="preserve"> </w:t>
      </w:r>
      <w:r w:rsidRPr="001F0EF1">
        <w:rPr>
          <w:lang w:val="fr-BE"/>
        </w:rPr>
        <w:t>cathinones de synthèse</w:t>
      </w:r>
      <w:r w:rsidR="003A17BB" w:rsidRPr="001F0EF1">
        <w:rPr>
          <w:lang w:val="fr-BE"/>
        </w:rPr>
        <w:t xml:space="preserve"> (11 000 </w:t>
      </w:r>
      <w:r w:rsidRPr="001F0EF1">
        <w:rPr>
          <w:lang w:val="fr-BE"/>
        </w:rPr>
        <w:t>saisies</w:t>
      </w:r>
      <w:r w:rsidR="003A17BB" w:rsidRPr="001F0EF1">
        <w:rPr>
          <w:lang w:val="fr-BE"/>
        </w:rPr>
        <w:t>; 1</w:t>
      </w:r>
      <w:r>
        <w:rPr>
          <w:lang w:val="fr-BE"/>
        </w:rPr>
        <w:t>,</w:t>
      </w:r>
      <w:r w:rsidR="003A17BB" w:rsidRPr="001F0EF1">
        <w:rPr>
          <w:lang w:val="fr-BE"/>
        </w:rPr>
        <w:t xml:space="preserve">1 tonne). </w:t>
      </w:r>
      <w:r w:rsidR="003862AD">
        <w:rPr>
          <w:lang w:val="fr-BE"/>
        </w:rPr>
        <w:t>Plusieurs</w:t>
      </w:r>
      <w:r w:rsidRPr="001F0EF1">
        <w:rPr>
          <w:lang w:val="fr-BE"/>
        </w:rPr>
        <w:t xml:space="preserve"> </w:t>
      </w:r>
      <w:r w:rsidR="003A17BB" w:rsidRPr="001F0EF1">
        <w:rPr>
          <w:lang w:val="fr-BE"/>
        </w:rPr>
        <w:t xml:space="preserve">NSP </w:t>
      </w:r>
      <w:r w:rsidRPr="001F0EF1">
        <w:rPr>
          <w:lang w:val="fr-BE"/>
        </w:rPr>
        <w:t>sont produit</w:t>
      </w:r>
      <w:r w:rsidR="00016432">
        <w:rPr>
          <w:lang w:val="fr-BE"/>
        </w:rPr>
        <w:t>e</w:t>
      </w:r>
      <w:r w:rsidRPr="001F0EF1">
        <w:rPr>
          <w:lang w:val="fr-BE"/>
        </w:rPr>
        <w:t xml:space="preserve">s en vrac par des entreprises chimiques établies en </w:t>
      </w:r>
      <w:r w:rsidR="00F64C56" w:rsidRPr="00DE46C1">
        <w:rPr>
          <w:lang w:val="fr-BE"/>
        </w:rPr>
        <w:t>dehors de l’Europe</w:t>
      </w:r>
      <w:r w:rsidR="003A17BB" w:rsidRPr="001F0EF1">
        <w:rPr>
          <w:lang w:val="fr-BE"/>
        </w:rPr>
        <w:t xml:space="preserve"> </w:t>
      </w:r>
      <w:r>
        <w:rPr>
          <w:lang w:val="fr-BE"/>
        </w:rPr>
        <w:t xml:space="preserve">et </w:t>
      </w:r>
      <w:r w:rsidR="003862AD">
        <w:rPr>
          <w:lang w:val="fr-BE"/>
        </w:rPr>
        <w:t xml:space="preserve">sont </w:t>
      </w:r>
      <w:r>
        <w:rPr>
          <w:lang w:val="fr-BE"/>
        </w:rPr>
        <w:t>acheminé</w:t>
      </w:r>
      <w:r w:rsidR="00016432">
        <w:rPr>
          <w:lang w:val="fr-BE"/>
        </w:rPr>
        <w:t>e</w:t>
      </w:r>
      <w:r>
        <w:rPr>
          <w:lang w:val="fr-BE"/>
        </w:rPr>
        <w:t>s</w:t>
      </w:r>
      <w:r w:rsidR="003A17BB" w:rsidRPr="001F0EF1">
        <w:rPr>
          <w:lang w:val="fr-BE"/>
        </w:rPr>
        <w:t xml:space="preserve"> </w:t>
      </w:r>
      <w:r>
        <w:rPr>
          <w:lang w:val="fr-BE"/>
        </w:rPr>
        <w:t xml:space="preserve">par </w:t>
      </w:r>
      <w:r w:rsidR="003862AD">
        <w:rPr>
          <w:lang w:val="fr-BE"/>
        </w:rPr>
        <w:t xml:space="preserve">avion en </w:t>
      </w:r>
      <w:r w:rsidR="003862AD" w:rsidRPr="001F0EF1">
        <w:rPr>
          <w:lang w:val="fr-BE"/>
        </w:rPr>
        <w:t>Europe</w:t>
      </w:r>
      <w:r w:rsidR="00016432">
        <w:rPr>
          <w:lang w:val="fr-BE"/>
        </w:rPr>
        <w:t xml:space="preserve"> où e</w:t>
      </w:r>
      <w:r>
        <w:rPr>
          <w:lang w:val="fr-BE"/>
        </w:rPr>
        <w:t>l</w:t>
      </w:r>
      <w:r w:rsidR="00016432">
        <w:rPr>
          <w:lang w:val="fr-BE"/>
        </w:rPr>
        <w:t>le</w:t>
      </w:r>
      <w:r>
        <w:rPr>
          <w:lang w:val="fr-BE"/>
        </w:rPr>
        <w:t>s sont transformé</w:t>
      </w:r>
      <w:r w:rsidR="00016432">
        <w:rPr>
          <w:lang w:val="fr-BE"/>
        </w:rPr>
        <w:t>e</w:t>
      </w:r>
      <w:r>
        <w:rPr>
          <w:lang w:val="fr-BE"/>
        </w:rPr>
        <w:t>s, emballé</w:t>
      </w:r>
      <w:r w:rsidR="00016432">
        <w:rPr>
          <w:lang w:val="fr-BE"/>
        </w:rPr>
        <w:t>e</w:t>
      </w:r>
      <w:r>
        <w:rPr>
          <w:lang w:val="fr-BE"/>
        </w:rPr>
        <w:t>s et vendu</w:t>
      </w:r>
      <w:r w:rsidR="00016432">
        <w:rPr>
          <w:lang w:val="fr-BE"/>
        </w:rPr>
        <w:t>e</w:t>
      </w:r>
      <w:r>
        <w:rPr>
          <w:lang w:val="fr-BE"/>
        </w:rPr>
        <w:t>s aux</w:t>
      </w:r>
      <w:r w:rsidR="003A17BB" w:rsidRPr="001F0EF1">
        <w:rPr>
          <w:lang w:val="fr-BE"/>
        </w:rPr>
        <w:t xml:space="preserve"> </w:t>
      </w:r>
      <w:r>
        <w:rPr>
          <w:lang w:val="fr-BE"/>
        </w:rPr>
        <w:t>consommateurs</w:t>
      </w:r>
      <w:r w:rsidR="003A17BB" w:rsidRPr="001F0EF1">
        <w:rPr>
          <w:lang w:val="fr-BE"/>
        </w:rPr>
        <w:t>.</w:t>
      </w:r>
      <w:bookmarkStart w:id="0" w:name="_GoBack"/>
      <w:bookmarkEnd w:id="0"/>
    </w:p>
    <w:p w:rsidR="003A17BB" w:rsidRPr="005D7CAA" w:rsidRDefault="001F0EF1" w:rsidP="004E513E">
      <w:pPr>
        <w:pStyle w:val="newsContent"/>
        <w:rPr>
          <w:lang w:val="fr-BE"/>
        </w:rPr>
      </w:pPr>
      <w:r w:rsidRPr="001F0EF1">
        <w:rPr>
          <w:lang w:val="fr-BE"/>
        </w:rPr>
        <w:t>E</w:t>
      </w:r>
      <w:r w:rsidR="003A17BB" w:rsidRPr="001F0EF1">
        <w:rPr>
          <w:lang w:val="fr-BE"/>
        </w:rPr>
        <w:t xml:space="preserve">n </w:t>
      </w:r>
      <w:r w:rsidRPr="001F0EF1">
        <w:rPr>
          <w:lang w:val="fr-BE"/>
        </w:rPr>
        <w:t xml:space="preserve">plus de surveiller les </w:t>
      </w:r>
      <w:r w:rsidR="003A17BB" w:rsidRPr="001F0EF1">
        <w:rPr>
          <w:lang w:val="fr-BE"/>
        </w:rPr>
        <w:t>nouvelles drogues entr</w:t>
      </w:r>
      <w:r w:rsidRPr="001F0EF1">
        <w:rPr>
          <w:lang w:val="fr-BE"/>
        </w:rPr>
        <w:t>a</w:t>
      </w:r>
      <w:r w:rsidR="003A17BB" w:rsidRPr="001F0EF1">
        <w:rPr>
          <w:lang w:val="fr-BE"/>
        </w:rPr>
        <w:t>n</w:t>
      </w:r>
      <w:r w:rsidRPr="001F0EF1">
        <w:rPr>
          <w:lang w:val="fr-BE"/>
        </w:rPr>
        <w:t>t sur le</w:t>
      </w:r>
      <w:r w:rsidR="003A17BB" w:rsidRPr="001F0EF1">
        <w:rPr>
          <w:lang w:val="fr-BE"/>
        </w:rPr>
        <w:t xml:space="preserve"> </w:t>
      </w:r>
      <w:r>
        <w:rPr>
          <w:lang w:val="fr-BE"/>
        </w:rPr>
        <w:t>marché</w:t>
      </w:r>
      <w:r w:rsidR="003A17BB" w:rsidRPr="001F0EF1">
        <w:rPr>
          <w:lang w:val="fr-BE"/>
        </w:rPr>
        <w:t xml:space="preserve">, </w:t>
      </w:r>
      <w:r>
        <w:rPr>
          <w:lang w:val="fr-BE"/>
        </w:rPr>
        <w:t>l’</w:t>
      </w:r>
      <w:r w:rsidR="003A17BB" w:rsidRPr="001F0EF1">
        <w:rPr>
          <w:b/>
          <w:lang w:val="fr-BE"/>
        </w:rPr>
        <w:t>EWS</w:t>
      </w:r>
      <w:r w:rsidR="003A17BB" w:rsidRPr="001F0EF1">
        <w:rPr>
          <w:lang w:val="fr-BE"/>
        </w:rPr>
        <w:t xml:space="preserve"> </w:t>
      </w:r>
      <w:r>
        <w:rPr>
          <w:lang w:val="fr-BE"/>
        </w:rPr>
        <w:t xml:space="preserve">détecte également les </w:t>
      </w:r>
      <w:r w:rsidR="003A17BB" w:rsidRPr="001F0EF1">
        <w:rPr>
          <w:lang w:val="fr-BE"/>
        </w:rPr>
        <w:t>signa</w:t>
      </w:r>
      <w:r>
        <w:rPr>
          <w:lang w:val="fr-BE"/>
        </w:rPr>
        <w:t>ux</w:t>
      </w:r>
      <w:r w:rsidR="003A17BB" w:rsidRPr="001F0EF1">
        <w:rPr>
          <w:lang w:val="fr-BE"/>
        </w:rPr>
        <w:t xml:space="preserve"> </w:t>
      </w:r>
      <w:r>
        <w:rPr>
          <w:lang w:val="fr-BE"/>
        </w:rPr>
        <w:t>de</w:t>
      </w:r>
      <w:r w:rsidR="003A17BB" w:rsidRPr="001F0EF1">
        <w:rPr>
          <w:lang w:val="fr-BE"/>
        </w:rPr>
        <w:t xml:space="preserve"> </w:t>
      </w:r>
      <w:r w:rsidR="005D7CAA">
        <w:rPr>
          <w:lang w:val="fr-BE"/>
        </w:rPr>
        <w:t>menaces sévères</w:t>
      </w:r>
      <w:r w:rsidR="003A17BB" w:rsidRPr="001F0EF1">
        <w:rPr>
          <w:lang w:val="fr-BE"/>
        </w:rPr>
        <w:t xml:space="preserve"> </w:t>
      </w:r>
      <w:r w:rsidR="005D7CAA">
        <w:rPr>
          <w:lang w:val="fr-BE"/>
        </w:rPr>
        <w:t>et</w:t>
      </w:r>
      <w:r w:rsidR="003A17BB" w:rsidRPr="001F0EF1">
        <w:rPr>
          <w:lang w:val="fr-BE"/>
        </w:rPr>
        <w:t xml:space="preserve"> </w:t>
      </w:r>
      <w:r w:rsidR="005D7CAA">
        <w:rPr>
          <w:lang w:val="fr-BE"/>
        </w:rPr>
        <w:t xml:space="preserve">y </w:t>
      </w:r>
      <w:r w:rsidR="003A17BB" w:rsidRPr="001F0EF1">
        <w:rPr>
          <w:lang w:val="fr-BE"/>
        </w:rPr>
        <w:t>r</w:t>
      </w:r>
      <w:r w:rsidR="005D7CAA">
        <w:rPr>
          <w:lang w:val="fr-BE"/>
        </w:rPr>
        <w:t>éagit au besoin</w:t>
      </w:r>
      <w:r w:rsidR="003A17BB" w:rsidRPr="001F0EF1">
        <w:rPr>
          <w:lang w:val="fr-BE"/>
        </w:rPr>
        <w:t xml:space="preserve">. </w:t>
      </w:r>
      <w:r w:rsidR="005D7CAA" w:rsidRPr="005D7CAA">
        <w:rPr>
          <w:lang w:val="fr-BE"/>
        </w:rPr>
        <w:t>E</w:t>
      </w:r>
      <w:r w:rsidR="003A17BB" w:rsidRPr="005D7CAA">
        <w:rPr>
          <w:lang w:val="fr-BE"/>
        </w:rPr>
        <w:t xml:space="preserve">n 2014, </w:t>
      </w:r>
      <w:r w:rsidR="005D7CAA" w:rsidRPr="005D7CAA">
        <w:rPr>
          <w:lang w:val="fr-BE"/>
        </w:rPr>
        <w:t xml:space="preserve">des menaces sévères </w:t>
      </w:r>
      <w:r w:rsidR="003862AD">
        <w:rPr>
          <w:lang w:val="fr-BE"/>
        </w:rPr>
        <w:t>nécessitant</w:t>
      </w:r>
      <w:r w:rsidR="005D7CAA" w:rsidRPr="005D7CAA">
        <w:rPr>
          <w:lang w:val="fr-BE"/>
        </w:rPr>
        <w:t xml:space="preserve"> une attention </w:t>
      </w:r>
      <w:r w:rsidR="003A17BB" w:rsidRPr="005D7CAA">
        <w:rPr>
          <w:lang w:val="fr-BE"/>
        </w:rPr>
        <w:t>urgent</w:t>
      </w:r>
      <w:r w:rsidR="003862AD">
        <w:rPr>
          <w:lang w:val="fr-BE"/>
        </w:rPr>
        <w:t>e</w:t>
      </w:r>
      <w:r w:rsidR="003A17BB" w:rsidRPr="005D7CAA">
        <w:rPr>
          <w:lang w:val="fr-BE"/>
        </w:rPr>
        <w:t xml:space="preserve"> </w:t>
      </w:r>
      <w:r w:rsidR="005D7CAA" w:rsidRPr="005D7CAA">
        <w:rPr>
          <w:lang w:val="fr-BE"/>
        </w:rPr>
        <w:t xml:space="preserve">ont débouché sur </w:t>
      </w:r>
      <w:r w:rsidR="003A17BB" w:rsidRPr="005D7CAA">
        <w:rPr>
          <w:lang w:val="fr-BE"/>
        </w:rPr>
        <w:t xml:space="preserve">16 </w:t>
      </w:r>
      <w:r w:rsidR="005D7CAA" w:rsidRPr="005D7CAA">
        <w:rPr>
          <w:lang w:val="fr-BE"/>
        </w:rPr>
        <w:t>alertes de santé publique</w:t>
      </w:r>
      <w:r w:rsidR="003A17BB" w:rsidRPr="005D7CAA">
        <w:rPr>
          <w:lang w:val="fr-BE"/>
        </w:rPr>
        <w:t xml:space="preserve">, </w:t>
      </w:r>
      <w:r w:rsidR="005D7CAA">
        <w:rPr>
          <w:lang w:val="fr-BE"/>
        </w:rPr>
        <w:t xml:space="preserve">tandis que </w:t>
      </w:r>
      <w:r w:rsidR="003A17BB" w:rsidRPr="005D7CAA">
        <w:rPr>
          <w:lang w:val="fr-BE"/>
        </w:rPr>
        <w:t xml:space="preserve">six </w:t>
      </w:r>
      <w:r w:rsidR="005D7CAA">
        <w:rPr>
          <w:lang w:val="fr-BE"/>
        </w:rPr>
        <w:t xml:space="preserve">évaluations des risques ont été </w:t>
      </w:r>
      <w:r w:rsidR="004E2FE7">
        <w:rPr>
          <w:lang w:val="fr-BE"/>
        </w:rPr>
        <w:t xml:space="preserve">réalisées </w:t>
      </w:r>
      <w:r w:rsidR="005D7CAA">
        <w:rPr>
          <w:lang w:val="fr-BE"/>
        </w:rPr>
        <w:t>par le</w:t>
      </w:r>
      <w:r w:rsidR="003A17BB" w:rsidRPr="005D7CAA">
        <w:rPr>
          <w:lang w:val="fr-BE"/>
        </w:rPr>
        <w:t xml:space="preserve"> </w:t>
      </w:r>
      <w:r w:rsidR="005D7CAA">
        <w:rPr>
          <w:b/>
          <w:lang w:val="fr-BE"/>
        </w:rPr>
        <w:t>comité s</w:t>
      </w:r>
      <w:r w:rsidR="003A17BB" w:rsidRPr="005D7CAA">
        <w:rPr>
          <w:b/>
          <w:lang w:val="fr-BE"/>
        </w:rPr>
        <w:t>cientifi</w:t>
      </w:r>
      <w:r w:rsidR="005D7CAA">
        <w:rPr>
          <w:b/>
          <w:lang w:val="fr-BE"/>
        </w:rPr>
        <w:t>que</w:t>
      </w:r>
      <w:r w:rsidR="003A17BB" w:rsidRPr="005D7CAA">
        <w:rPr>
          <w:lang w:val="fr-BE"/>
        </w:rPr>
        <w:t xml:space="preserve"> </w:t>
      </w:r>
      <w:r w:rsidR="005D7CAA" w:rsidRPr="005D7CAA">
        <w:rPr>
          <w:lang w:val="fr-BE"/>
        </w:rPr>
        <w:t xml:space="preserve">élargi de </w:t>
      </w:r>
      <w:r w:rsidR="005D7CAA">
        <w:rPr>
          <w:lang w:val="fr-BE"/>
        </w:rPr>
        <w:t>l’</w:t>
      </w:r>
      <w:r w:rsidR="005D7CAA" w:rsidRPr="005D7CAA">
        <w:rPr>
          <w:lang w:val="fr-BE"/>
        </w:rPr>
        <w:t>agenc</w:t>
      </w:r>
      <w:r w:rsidR="005D7CAA">
        <w:rPr>
          <w:lang w:val="fr-BE"/>
        </w:rPr>
        <w:t>e</w:t>
      </w:r>
      <w:r w:rsidR="005D7CAA" w:rsidRPr="005D7CAA">
        <w:rPr>
          <w:lang w:val="fr-BE"/>
        </w:rPr>
        <w:t xml:space="preserve"> </w:t>
      </w:r>
      <w:r w:rsidR="003A17BB" w:rsidRPr="005D7CAA">
        <w:rPr>
          <w:lang w:val="fr-BE"/>
        </w:rPr>
        <w:t>(</w:t>
      </w:r>
      <w:r w:rsidR="003A17BB" w:rsidRPr="005D7CAA">
        <w:rPr>
          <w:vertAlign w:val="superscript"/>
          <w:lang w:val="fr-BE"/>
        </w:rPr>
        <w:t>4</w:t>
      </w:r>
      <w:r w:rsidR="003A17BB" w:rsidRPr="005D7CAA">
        <w:rPr>
          <w:lang w:val="fr-BE"/>
        </w:rPr>
        <w:t>).</w:t>
      </w:r>
    </w:p>
    <w:p w:rsidR="003A17BB" w:rsidRPr="0031471E" w:rsidRDefault="001814C3" w:rsidP="004E513E">
      <w:pPr>
        <w:pStyle w:val="newsContent"/>
        <w:rPr>
          <w:lang w:val="fr-BE"/>
        </w:rPr>
      </w:pPr>
      <w:r>
        <w:rPr>
          <w:lang w:val="fr-BE"/>
        </w:rPr>
        <w:t xml:space="preserve">Parmi les </w:t>
      </w:r>
      <w:r w:rsidR="003862AD">
        <w:rPr>
          <w:lang w:val="fr-BE"/>
        </w:rPr>
        <w:t>autres</w:t>
      </w:r>
      <w:r w:rsidR="005D7CAA" w:rsidRPr="005D7CAA">
        <w:rPr>
          <w:lang w:val="fr-BE"/>
        </w:rPr>
        <w:t xml:space="preserve"> </w:t>
      </w:r>
      <w:r w:rsidR="004E2FE7">
        <w:rPr>
          <w:lang w:val="fr-BE"/>
        </w:rPr>
        <w:t xml:space="preserve">sources de </w:t>
      </w:r>
      <w:r w:rsidR="005D7CAA" w:rsidRPr="005D7CAA">
        <w:rPr>
          <w:lang w:val="fr-BE"/>
        </w:rPr>
        <w:t>préoccupations de santé publique mises en lumière dans le rapport</w:t>
      </w:r>
      <w:r>
        <w:rPr>
          <w:lang w:val="fr-BE"/>
        </w:rPr>
        <w:t>,</w:t>
      </w:r>
      <w:r w:rsidR="005D7CAA" w:rsidRPr="005D7CAA">
        <w:rPr>
          <w:lang w:val="fr-BE"/>
        </w:rPr>
        <w:t xml:space="preserve"> </w:t>
      </w:r>
      <w:r w:rsidR="003862AD">
        <w:rPr>
          <w:lang w:val="fr-BE"/>
        </w:rPr>
        <w:t>on</w:t>
      </w:r>
      <w:r>
        <w:rPr>
          <w:lang w:val="fr-BE"/>
        </w:rPr>
        <w:t xml:space="preserve"> </w:t>
      </w:r>
      <w:r w:rsidR="003862AD">
        <w:rPr>
          <w:lang w:val="fr-BE"/>
        </w:rPr>
        <w:t>t</w:t>
      </w:r>
      <w:r>
        <w:rPr>
          <w:lang w:val="fr-BE"/>
        </w:rPr>
        <w:t>rouve</w:t>
      </w:r>
      <w:r w:rsidR="003862AD">
        <w:rPr>
          <w:lang w:val="fr-BE"/>
        </w:rPr>
        <w:t xml:space="preserve"> </w:t>
      </w:r>
      <w:r w:rsidR="005D7CAA" w:rsidRPr="005D7CAA">
        <w:rPr>
          <w:lang w:val="fr-BE"/>
        </w:rPr>
        <w:t xml:space="preserve">les </w:t>
      </w:r>
      <w:r w:rsidR="005D7CAA">
        <w:rPr>
          <w:lang w:val="fr-BE"/>
        </w:rPr>
        <w:t xml:space="preserve">nouveaux opioïdes de </w:t>
      </w:r>
      <w:r w:rsidR="003A17BB" w:rsidRPr="005D7CAA">
        <w:rPr>
          <w:lang w:val="fr-BE"/>
        </w:rPr>
        <w:t>synth</w:t>
      </w:r>
      <w:r w:rsidR="005D7CAA">
        <w:rPr>
          <w:lang w:val="fr-BE"/>
        </w:rPr>
        <w:t>èse, souvent très puissants</w:t>
      </w:r>
      <w:r w:rsidR="003862AD">
        <w:rPr>
          <w:lang w:val="fr-BE"/>
        </w:rPr>
        <w:t>, qui sont</w:t>
      </w:r>
      <w:r w:rsidR="005D7CAA">
        <w:rPr>
          <w:lang w:val="fr-BE"/>
        </w:rPr>
        <w:t xml:space="preserve"> vendus </w:t>
      </w:r>
      <w:r w:rsidR="003862AD">
        <w:rPr>
          <w:lang w:val="fr-BE"/>
        </w:rPr>
        <w:t xml:space="preserve">comme </w:t>
      </w:r>
      <w:r w:rsidR="003A17BB" w:rsidRPr="005D7CAA">
        <w:rPr>
          <w:lang w:val="fr-BE"/>
        </w:rPr>
        <w:t>h</w:t>
      </w:r>
      <w:r w:rsidR="005D7CAA">
        <w:rPr>
          <w:lang w:val="fr-BE"/>
        </w:rPr>
        <w:t>é</w:t>
      </w:r>
      <w:r w:rsidR="003A17BB" w:rsidRPr="005D7CAA">
        <w:rPr>
          <w:lang w:val="fr-BE"/>
        </w:rPr>
        <w:t>ro</w:t>
      </w:r>
      <w:r w:rsidR="005D7CAA">
        <w:rPr>
          <w:lang w:val="fr-BE"/>
        </w:rPr>
        <w:t>ïne aux utilisateurs</w:t>
      </w:r>
      <w:r w:rsidR="003A17BB" w:rsidRPr="005D7CAA">
        <w:rPr>
          <w:lang w:val="fr-BE"/>
        </w:rPr>
        <w:t xml:space="preserve"> </w:t>
      </w:r>
      <w:r w:rsidR="009A2EE0">
        <w:rPr>
          <w:lang w:val="fr-BE"/>
        </w:rPr>
        <w:t>non avertis</w:t>
      </w:r>
      <w:r w:rsidR="005D7CAA">
        <w:rPr>
          <w:lang w:val="fr-BE"/>
        </w:rPr>
        <w:t xml:space="preserve">, ce qui </w:t>
      </w:r>
      <w:r>
        <w:rPr>
          <w:lang w:val="fr-BE"/>
        </w:rPr>
        <w:t xml:space="preserve">engendre </w:t>
      </w:r>
      <w:r w:rsidR="005D7CAA">
        <w:rPr>
          <w:lang w:val="fr-BE"/>
        </w:rPr>
        <w:t>un risque élevé d</w:t>
      </w:r>
      <w:r>
        <w:rPr>
          <w:lang w:val="fr-BE"/>
        </w:rPr>
        <w:t>e sur</w:t>
      </w:r>
      <w:r w:rsidR="003A17BB" w:rsidRPr="005D7CAA">
        <w:rPr>
          <w:lang w:val="fr-BE"/>
        </w:rPr>
        <w:t xml:space="preserve">dose. </w:t>
      </w:r>
      <w:r w:rsidR="003A17BB" w:rsidRPr="0031471E">
        <w:rPr>
          <w:lang w:val="fr-BE"/>
        </w:rPr>
        <w:t>T</w:t>
      </w:r>
      <w:r w:rsidR="005D7CAA" w:rsidRPr="0031471E">
        <w:rPr>
          <w:lang w:val="fr-BE"/>
        </w:rPr>
        <w:t>rois des cinq</w:t>
      </w:r>
      <w:r w:rsidR="003A17BB" w:rsidRPr="0031471E">
        <w:rPr>
          <w:lang w:val="fr-BE"/>
        </w:rPr>
        <w:t xml:space="preserve"> opio</w:t>
      </w:r>
      <w:r w:rsidR="005D7CAA" w:rsidRPr="0031471E">
        <w:rPr>
          <w:lang w:val="fr-BE"/>
        </w:rPr>
        <w:t>ï</w:t>
      </w:r>
      <w:r w:rsidR="003A17BB" w:rsidRPr="0031471E">
        <w:rPr>
          <w:lang w:val="fr-BE"/>
        </w:rPr>
        <w:t>d</w:t>
      </w:r>
      <w:r w:rsidR="009A2EE0">
        <w:rPr>
          <w:lang w:val="fr-BE"/>
        </w:rPr>
        <w:t>e</w:t>
      </w:r>
      <w:r w:rsidR="003A17BB" w:rsidRPr="0031471E">
        <w:rPr>
          <w:lang w:val="fr-BE"/>
        </w:rPr>
        <w:t xml:space="preserve">s </w:t>
      </w:r>
      <w:r w:rsidR="005D7CAA" w:rsidRPr="0031471E">
        <w:rPr>
          <w:lang w:val="fr-BE"/>
        </w:rPr>
        <w:t>déclarés</w:t>
      </w:r>
      <w:r w:rsidR="003A17BB" w:rsidRPr="0031471E">
        <w:rPr>
          <w:lang w:val="fr-BE"/>
        </w:rPr>
        <w:t xml:space="preserve"> </w:t>
      </w:r>
      <w:r w:rsidR="005D7CAA" w:rsidRPr="0031471E">
        <w:rPr>
          <w:lang w:val="fr-BE"/>
        </w:rPr>
        <w:t>e</w:t>
      </w:r>
      <w:r w:rsidR="003A17BB" w:rsidRPr="0031471E">
        <w:rPr>
          <w:lang w:val="fr-BE"/>
        </w:rPr>
        <w:t xml:space="preserve">n 2014 </w:t>
      </w:r>
      <w:r w:rsidR="005D7CAA" w:rsidRPr="0031471E">
        <w:rPr>
          <w:lang w:val="fr-BE"/>
        </w:rPr>
        <w:t>étaient des</w:t>
      </w:r>
      <w:r w:rsidR="003A17BB" w:rsidRPr="0031471E">
        <w:rPr>
          <w:lang w:val="fr-BE"/>
        </w:rPr>
        <w:t xml:space="preserve"> fentanyls, </w:t>
      </w:r>
      <w:r w:rsidR="005D7CAA" w:rsidRPr="0031471E">
        <w:rPr>
          <w:lang w:val="fr-BE"/>
        </w:rPr>
        <w:t>une</w:t>
      </w:r>
      <w:r w:rsidR="003A17BB" w:rsidRPr="0031471E">
        <w:rPr>
          <w:lang w:val="fr-BE"/>
        </w:rPr>
        <w:t xml:space="preserve"> famil</w:t>
      </w:r>
      <w:r w:rsidR="0031471E" w:rsidRPr="0031471E">
        <w:rPr>
          <w:lang w:val="fr-BE"/>
        </w:rPr>
        <w:t xml:space="preserve">le de </w:t>
      </w:r>
      <w:r w:rsidR="003A17BB" w:rsidRPr="0031471E">
        <w:rPr>
          <w:lang w:val="fr-BE"/>
        </w:rPr>
        <w:t>dr</w:t>
      </w:r>
      <w:r w:rsidR="0031471E">
        <w:rPr>
          <w:lang w:val="fr-BE"/>
        </w:rPr>
        <w:t>ogues à l’origine de centaines de décès e</w:t>
      </w:r>
      <w:r w:rsidR="003A17BB" w:rsidRPr="0031471E">
        <w:rPr>
          <w:lang w:val="fr-BE"/>
        </w:rPr>
        <w:t xml:space="preserve">n </w:t>
      </w:r>
      <w:r w:rsidR="003A17BB" w:rsidRPr="0031471E">
        <w:rPr>
          <w:b/>
          <w:lang w:val="fr-BE"/>
        </w:rPr>
        <w:t>Europe</w:t>
      </w:r>
      <w:r w:rsidR="003A17BB" w:rsidRPr="0031471E">
        <w:rPr>
          <w:lang w:val="fr-BE"/>
        </w:rPr>
        <w:t xml:space="preserve"> </w:t>
      </w:r>
      <w:r w:rsidR="0031471E">
        <w:rPr>
          <w:lang w:val="fr-BE"/>
        </w:rPr>
        <w:t xml:space="preserve">et aux </w:t>
      </w:r>
      <w:r w:rsidR="0031471E" w:rsidRPr="0031471E">
        <w:rPr>
          <w:b/>
          <w:lang w:val="fr-BE"/>
        </w:rPr>
        <w:t>États-Unis</w:t>
      </w:r>
      <w:r w:rsidR="003A17BB" w:rsidRPr="0031471E">
        <w:rPr>
          <w:lang w:val="fr-BE"/>
        </w:rPr>
        <w:t>.</w:t>
      </w:r>
    </w:p>
    <w:p w:rsidR="00BF67CB" w:rsidRPr="0031471E" w:rsidRDefault="0031471E" w:rsidP="004E513E">
      <w:pPr>
        <w:pStyle w:val="newsContent"/>
      </w:pPr>
      <w:r w:rsidRPr="0031471E">
        <w:rPr>
          <w:b/>
        </w:rPr>
        <w:lastRenderedPageBreak/>
        <w:t>M.</w:t>
      </w:r>
      <w:r w:rsidR="009A2EE0">
        <w:rPr>
          <w:b/>
        </w:rPr>
        <w:t> </w:t>
      </w:r>
      <w:r w:rsidRPr="0031471E">
        <w:rPr>
          <w:b/>
        </w:rPr>
        <w:t xml:space="preserve">Wolfgang Götz, </w:t>
      </w:r>
      <w:r w:rsidR="009A2EE0">
        <w:rPr>
          <w:b/>
        </w:rPr>
        <w:t xml:space="preserve">le </w:t>
      </w:r>
      <w:r w:rsidR="00440433">
        <w:rPr>
          <w:b/>
        </w:rPr>
        <w:t>directeur de l’EMCDDA</w:t>
      </w:r>
      <w:r w:rsidRPr="0031471E">
        <w:t xml:space="preserve">, </w:t>
      </w:r>
      <w:r w:rsidR="004E2FE7">
        <w:t>a dressé le tableau suivant de la situation actuelle</w:t>
      </w:r>
      <w:r w:rsidRPr="0031471E">
        <w:t>:</w:t>
      </w:r>
      <w:r w:rsidR="003A17BB" w:rsidRPr="003A18B4">
        <w:t xml:space="preserve"> </w:t>
      </w:r>
      <w:r w:rsidR="00AE3C1A">
        <w:t xml:space="preserve">            </w:t>
      </w:r>
      <w:r>
        <w:t>«Les no</w:t>
      </w:r>
      <w:r w:rsidR="003A18B4" w:rsidRPr="003A18B4">
        <w:t>uvelles substances</w:t>
      </w:r>
      <w:r w:rsidR="003A17BB" w:rsidRPr="003A18B4">
        <w:t xml:space="preserve"> psychoactives </w:t>
      </w:r>
      <w:r>
        <w:t>peuvent passer rapidement de l’</w:t>
      </w:r>
      <w:r w:rsidR="003A17BB" w:rsidRPr="003A18B4">
        <w:t>obscurit</w:t>
      </w:r>
      <w:r>
        <w:t>é</w:t>
      </w:r>
      <w:r w:rsidR="003A17BB" w:rsidRPr="003A18B4">
        <w:t xml:space="preserve"> </w:t>
      </w:r>
      <w:r>
        <w:t xml:space="preserve">à </w:t>
      </w:r>
      <w:r w:rsidR="00781C3A">
        <w:t>une redoutable</w:t>
      </w:r>
      <w:r w:rsidR="008E270F">
        <w:t xml:space="preserve"> </w:t>
      </w:r>
      <w:r w:rsidR="00781C3A">
        <w:t xml:space="preserve">et dramatique </w:t>
      </w:r>
      <w:r w:rsidR="008E270F">
        <w:t>notoriété</w:t>
      </w:r>
      <w:r w:rsidR="003A17BB" w:rsidRPr="003A18B4">
        <w:t xml:space="preserve"> </w:t>
      </w:r>
      <w:r>
        <w:t>et</w:t>
      </w:r>
      <w:r w:rsidR="003A17BB" w:rsidRPr="003A18B4">
        <w:t xml:space="preserve"> </w:t>
      </w:r>
      <w:r w:rsidR="000D2B73">
        <w:t>provoquer de sérieux dommages</w:t>
      </w:r>
      <w:r w:rsidR="003A17BB" w:rsidRPr="003A18B4">
        <w:t xml:space="preserve">. </w:t>
      </w:r>
      <w:r w:rsidRPr="0031471E">
        <w:t>Les données</w:t>
      </w:r>
      <w:r w:rsidR="003A17BB" w:rsidRPr="0031471E">
        <w:t xml:space="preserve"> pr</w:t>
      </w:r>
      <w:r w:rsidRPr="0031471E">
        <w:t>é</w:t>
      </w:r>
      <w:r w:rsidR="003A17BB" w:rsidRPr="0031471E">
        <w:t>sent</w:t>
      </w:r>
      <w:r w:rsidRPr="0031471E">
        <w:t>é</w:t>
      </w:r>
      <w:r w:rsidR="003A17BB" w:rsidRPr="0031471E">
        <w:t>e</w:t>
      </w:r>
      <w:r w:rsidRPr="0031471E">
        <w:t xml:space="preserve">s </w:t>
      </w:r>
      <w:r w:rsidR="008E270F">
        <w:t>ce jour</w:t>
      </w:r>
      <w:r w:rsidRPr="0031471E">
        <w:t xml:space="preserve"> montrent </w:t>
      </w:r>
      <w:r w:rsidR="008E270F">
        <w:t>dans quelle mesure</w:t>
      </w:r>
      <w:r w:rsidR="003862AD">
        <w:t xml:space="preserve"> </w:t>
      </w:r>
      <w:r w:rsidRPr="0031471E">
        <w:t xml:space="preserve">la </w:t>
      </w:r>
      <w:r w:rsidR="001F0EF1" w:rsidRPr="0031471E">
        <w:t>croissance</w:t>
      </w:r>
      <w:r w:rsidR="003A17BB" w:rsidRPr="0031471E">
        <w:t xml:space="preserve"> </w:t>
      </w:r>
      <w:r w:rsidRPr="0031471E">
        <w:t xml:space="preserve">sur le </w:t>
      </w:r>
      <w:r w:rsidR="001F0EF1" w:rsidRPr="0031471E">
        <w:t>marché</w:t>
      </w:r>
      <w:r w:rsidR="003A17BB" w:rsidRPr="0031471E">
        <w:t xml:space="preserve"> </w:t>
      </w:r>
      <w:r>
        <w:t>de</w:t>
      </w:r>
      <w:r w:rsidR="003A17BB" w:rsidRPr="0031471E">
        <w:t xml:space="preserve"> </w:t>
      </w:r>
      <w:r>
        <w:t>ces</w:t>
      </w:r>
      <w:r w:rsidR="003A17BB" w:rsidRPr="0031471E">
        <w:t xml:space="preserve"> substances continue</w:t>
      </w:r>
      <w:r>
        <w:t xml:space="preserve">ra </w:t>
      </w:r>
      <w:r w:rsidR="003862AD">
        <w:t>de</w:t>
      </w:r>
      <w:r>
        <w:t xml:space="preserve"> </w:t>
      </w:r>
      <w:r w:rsidR="004E2FE7">
        <w:t xml:space="preserve">soulever </w:t>
      </w:r>
      <w:r>
        <w:t>des défis pour la santé publique et la politique en matière de drogues au cours des années à venir</w:t>
      </w:r>
      <w:r w:rsidR="003A17BB" w:rsidRPr="0031471E">
        <w:t xml:space="preserve">. </w:t>
      </w:r>
      <w:r w:rsidRPr="0031471E">
        <w:t xml:space="preserve">Ces défis </w:t>
      </w:r>
      <w:r w:rsidR="009A2EE0">
        <w:t>sont liés</w:t>
      </w:r>
      <w:r w:rsidRPr="0031471E">
        <w:t xml:space="preserve"> à la </w:t>
      </w:r>
      <w:r w:rsidR="001814C3">
        <w:t xml:space="preserve">cadence </w:t>
      </w:r>
      <w:r w:rsidR="009A2EE0">
        <w:t>d’apparition d</w:t>
      </w:r>
      <w:r w:rsidRPr="0031471E">
        <w:t>e</w:t>
      </w:r>
      <w:r w:rsidR="008E270F">
        <w:t>sdites</w:t>
      </w:r>
      <w:r w:rsidRPr="0031471E">
        <w:t xml:space="preserve"> </w:t>
      </w:r>
      <w:r w:rsidR="003A17BB" w:rsidRPr="0031471E">
        <w:t xml:space="preserve">substances, </w:t>
      </w:r>
      <w:r>
        <w:t xml:space="preserve">à leur vente </w:t>
      </w:r>
      <w:r w:rsidR="008E270F" w:rsidRPr="000D2B73">
        <w:t>en toute liberté</w:t>
      </w:r>
      <w:r w:rsidRPr="000D2B73">
        <w:t xml:space="preserve"> et</w:t>
      </w:r>
      <w:r>
        <w:t xml:space="preserve"> au manque d’</w:t>
      </w:r>
      <w:r w:rsidR="003A17BB" w:rsidRPr="0031471E">
        <w:t>information</w:t>
      </w:r>
      <w:r w:rsidR="009A2EE0">
        <w:t>s</w:t>
      </w:r>
      <w:r w:rsidR="003A17BB" w:rsidRPr="0031471E">
        <w:t xml:space="preserve"> </w:t>
      </w:r>
      <w:r>
        <w:t>sur le</w:t>
      </w:r>
      <w:r w:rsidR="008E270F">
        <w:t>ur</w:t>
      </w:r>
      <w:r>
        <w:t>s effets et les domma</w:t>
      </w:r>
      <w:r w:rsidR="009A2EE0">
        <w:t>g</w:t>
      </w:r>
      <w:r>
        <w:t>es qu’elles provoquent</w:t>
      </w:r>
      <w:r w:rsidR="003A17BB" w:rsidRPr="0031471E">
        <w:t xml:space="preserve">. </w:t>
      </w:r>
      <w:r w:rsidRPr="0031471E">
        <w:t xml:space="preserve">Des systèmes </w:t>
      </w:r>
      <w:r w:rsidRPr="000D2B73">
        <w:t>d’</w:t>
      </w:r>
      <w:r w:rsidR="000D2B73" w:rsidRPr="000D2B73">
        <w:t xml:space="preserve">alerte rapide </w:t>
      </w:r>
      <w:r w:rsidRPr="0031471E">
        <w:t xml:space="preserve">solidement encadrés au niveau national et </w:t>
      </w:r>
      <w:r w:rsidRPr="000D2B73">
        <w:t>régional</w:t>
      </w:r>
      <w:r w:rsidR="003A17BB" w:rsidRPr="000D2B73">
        <w:t xml:space="preserve"> </w:t>
      </w:r>
      <w:r w:rsidR="00241567" w:rsidRPr="000D2B73">
        <w:t xml:space="preserve">auront </w:t>
      </w:r>
      <w:r w:rsidRPr="000D2B73">
        <w:t>un</w:t>
      </w:r>
      <w:r>
        <w:t xml:space="preserve"> rôle central à jouer dans la </w:t>
      </w:r>
      <w:r w:rsidR="003A17BB" w:rsidRPr="000D2B73">
        <w:t>d</w:t>
      </w:r>
      <w:r w:rsidRPr="000D2B73">
        <w:t>é</w:t>
      </w:r>
      <w:r w:rsidR="003A17BB" w:rsidRPr="000D2B73">
        <w:t xml:space="preserve">tection </w:t>
      </w:r>
      <w:r w:rsidRPr="000D2B73">
        <w:t>précoce des</w:t>
      </w:r>
      <w:r>
        <w:t xml:space="preserve"> menaces</w:t>
      </w:r>
      <w:r w:rsidR="003A17BB" w:rsidRPr="0031471E">
        <w:t xml:space="preserve"> </w:t>
      </w:r>
      <w:r>
        <w:t>et aideront à réagir en temps opportun par des actions de santé publique»</w:t>
      </w:r>
      <w:r w:rsidR="003A17BB" w:rsidRPr="0031471E">
        <w:t>.</w:t>
      </w:r>
    </w:p>
    <w:p w:rsidR="00CB49DA" w:rsidRDefault="00241567" w:rsidP="004E513E">
      <w:pPr>
        <w:pStyle w:val="newsNotes"/>
        <w:rPr>
          <w:b/>
          <w:sz w:val="16"/>
          <w:szCs w:val="16"/>
        </w:rPr>
      </w:pPr>
      <w:r>
        <w:rPr>
          <w:b/>
          <w:sz w:val="16"/>
          <w:szCs w:val="16"/>
        </w:rPr>
        <w:t>Notes</w:t>
      </w:r>
    </w:p>
    <w:p w:rsidR="001D085E" w:rsidRPr="004E513E" w:rsidRDefault="001D085E" w:rsidP="004E513E">
      <w:pPr>
        <w:pStyle w:val="newsNotes"/>
        <w:rPr>
          <w:b/>
          <w:sz w:val="16"/>
          <w:szCs w:val="16"/>
        </w:rPr>
      </w:pPr>
    </w:p>
    <w:p w:rsidR="001D085E" w:rsidRPr="001D085E" w:rsidRDefault="004E513E" w:rsidP="004E513E">
      <w:pPr>
        <w:pStyle w:val="newsNotes"/>
        <w:rPr>
          <w:sz w:val="18"/>
          <w:szCs w:val="18"/>
        </w:rPr>
      </w:pPr>
      <w:r w:rsidRPr="001D085E">
        <w:rPr>
          <w:sz w:val="18"/>
          <w:szCs w:val="18"/>
        </w:rPr>
        <w:t>(</w:t>
      </w:r>
      <w:r w:rsidRPr="001D085E">
        <w:rPr>
          <w:sz w:val="18"/>
          <w:szCs w:val="18"/>
          <w:vertAlign w:val="superscript"/>
        </w:rPr>
        <w:t>1</w:t>
      </w:r>
      <w:r w:rsidRPr="001D085E">
        <w:rPr>
          <w:sz w:val="18"/>
          <w:szCs w:val="18"/>
        </w:rPr>
        <w:t>)</w:t>
      </w:r>
      <w:r w:rsidRPr="001D085E">
        <w:rPr>
          <w:i/>
          <w:sz w:val="18"/>
          <w:szCs w:val="18"/>
        </w:rPr>
        <w:t xml:space="preserve"> </w:t>
      </w:r>
      <w:r w:rsidR="00241567">
        <w:rPr>
          <w:i/>
          <w:sz w:val="18"/>
          <w:szCs w:val="18"/>
        </w:rPr>
        <w:t>An u</w:t>
      </w:r>
      <w:r w:rsidR="0031471E" w:rsidRPr="001D085E">
        <w:rPr>
          <w:i/>
          <w:sz w:val="18"/>
          <w:szCs w:val="18"/>
        </w:rPr>
        <w:t xml:space="preserve">pdate from the EU Early Warning System </w:t>
      </w:r>
      <w:r w:rsidR="0031471E" w:rsidRPr="001D085E">
        <w:rPr>
          <w:sz w:val="18"/>
          <w:szCs w:val="18"/>
        </w:rPr>
        <w:t>(</w:t>
      </w:r>
      <w:r w:rsidR="001814C3" w:rsidRPr="001D085E">
        <w:rPr>
          <w:sz w:val="18"/>
          <w:szCs w:val="18"/>
        </w:rPr>
        <w:t xml:space="preserve">Données mises à jour </w:t>
      </w:r>
      <w:r w:rsidR="0031471E" w:rsidRPr="001D085E">
        <w:rPr>
          <w:sz w:val="18"/>
          <w:szCs w:val="18"/>
        </w:rPr>
        <w:t xml:space="preserve">du </w:t>
      </w:r>
      <w:r w:rsidR="00591EB8" w:rsidRPr="001D085E">
        <w:rPr>
          <w:sz w:val="18"/>
          <w:szCs w:val="18"/>
        </w:rPr>
        <w:t>système d’alerte rapide</w:t>
      </w:r>
      <w:r w:rsidR="0031471E" w:rsidRPr="001D085E">
        <w:rPr>
          <w:sz w:val="18"/>
          <w:szCs w:val="18"/>
        </w:rPr>
        <w:t xml:space="preserve"> de l’UE) est disponible à l’adresse</w:t>
      </w:r>
      <w:r w:rsidR="009A2EE0" w:rsidRPr="001D085E">
        <w:rPr>
          <w:sz w:val="18"/>
          <w:szCs w:val="18"/>
        </w:rPr>
        <w:t>:</w:t>
      </w:r>
      <w:r w:rsidR="0031471E" w:rsidRPr="001D085E">
        <w:rPr>
          <w:sz w:val="18"/>
          <w:szCs w:val="18"/>
        </w:rPr>
        <w:t xml:space="preserve"> </w:t>
      </w:r>
      <w:hyperlink r:id="rId11" w:history="1">
        <w:r w:rsidR="00241567" w:rsidRPr="00E30E72">
          <w:rPr>
            <w:rStyle w:val="Hyperlink"/>
            <w:sz w:val="18"/>
            <w:szCs w:val="18"/>
          </w:rPr>
          <w:t>www.emcdda.europa.eu/publications/2015/new-psychoactive-substances</w:t>
        </w:r>
      </w:hyperlink>
      <w:r w:rsidR="0031471E" w:rsidRPr="001D085E">
        <w:rPr>
          <w:sz w:val="18"/>
          <w:szCs w:val="18"/>
        </w:rPr>
        <w:t xml:space="preserve"> </w:t>
      </w:r>
      <w:r w:rsidR="00813CEC" w:rsidRPr="001D085E">
        <w:rPr>
          <w:sz w:val="18"/>
          <w:szCs w:val="18"/>
        </w:rPr>
        <w:t xml:space="preserve"> </w:t>
      </w:r>
    </w:p>
    <w:p w:rsidR="001D085E" w:rsidRPr="001D085E" w:rsidRDefault="00591EB8" w:rsidP="004E513E">
      <w:pPr>
        <w:pStyle w:val="newsNotes"/>
        <w:rPr>
          <w:sz w:val="18"/>
          <w:szCs w:val="18"/>
          <w:lang w:val="fr-LU"/>
        </w:rPr>
      </w:pPr>
      <w:r w:rsidRPr="001D085E">
        <w:rPr>
          <w:sz w:val="18"/>
          <w:szCs w:val="18"/>
          <w:lang w:val="fr-LU"/>
        </w:rPr>
        <w:t>(</w:t>
      </w:r>
      <w:r w:rsidRPr="001D085E">
        <w:rPr>
          <w:sz w:val="18"/>
          <w:szCs w:val="18"/>
          <w:vertAlign w:val="superscript"/>
          <w:lang w:val="fr-LU"/>
        </w:rPr>
        <w:t>2</w:t>
      </w:r>
      <w:r w:rsidRPr="001D085E">
        <w:rPr>
          <w:sz w:val="18"/>
          <w:szCs w:val="18"/>
          <w:lang w:val="fr-LU"/>
        </w:rPr>
        <w:t xml:space="preserve">) 74 en 2012; 49 en 2011; 41 en 2010. </w:t>
      </w:r>
      <w:r w:rsidR="00813CEC" w:rsidRPr="001D085E">
        <w:rPr>
          <w:sz w:val="18"/>
          <w:szCs w:val="18"/>
          <w:lang w:val="fr-LU"/>
        </w:rPr>
        <w:t xml:space="preserve"> </w:t>
      </w:r>
    </w:p>
    <w:p w:rsidR="001D085E" w:rsidRPr="001D085E" w:rsidRDefault="00591EB8" w:rsidP="004E513E">
      <w:pPr>
        <w:pStyle w:val="newsNotes"/>
        <w:rPr>
          <w:sz w:val="18"/>
          <w:szCs w:val="18"/>
          <w:lang w:val="fr-BE"/>
        </w:rPr>
      </w:pPr>
      <w:r w:rsidRPr="001D085E">
        <w:rPr>
          <w:sz w:val="18"/>
          <w:szCs w:val="18"/>
          <w:lang w:val="fr-BE"/>
        </w:rPr>
        <w:t>(</w:t>
      </w:r>
      <w:r w:rsidRPr="001D085E">
        <w:rPr>
          <w:sz w:val="18"/>
          <w:szCs w:val="18"/>
          <w:vertAlign w:val="superscript"/>
          <w:lang w:val="fr-BE"/>
        </w:rPr>
        <w:t>3</w:t>
      </w:r>
      <w:r w:rsidRPr="001D085E">
        <w:rPr>
          <w:sz w:val="18"/>
          <w:szCs w:val="18"/>
          <w:lang w:val="fr-BE"/>
        </w:rPr>
        <w:t xml:space="preserve">) </w:t>
      </w:r>
      <w:hyperlink r:id="rId12" w:history="1">
        <w:r w:rsidR="00241567" w:rsidRPr="00E30E72">
          <w:rPr>
            <w:rStyle w:val="Hyperlink"/>
            <w:sz w:val="18"/>
            <w:szCs w:val="18"/>
            <w:lang w:val="fr-BE"/>
          </w:rPr>
          <w:t>www.unodc.org/unodc/en/commissions/CND/session/58_Session_2015/CND-58-Session_Index.html</w:t>
        </w:r>
      </w:hyperlink>
      <w:r w:rsidRPr="001D085E">
        <w:rPr>
          <w:sz w:val="18"/>
          <w:szCs w:val="18"/>
          <w:lang w:val="fr-BE"/>
        </w:rPr>
        <w:t xml:space="preserve"> </w:t>
      </w:r>
      <w:r w:rsidR="00813CEC" w:rsidRPr="001D085E">
        <w:rPr>
          <w:sz w:val="18"/>
          <w:szCs w:val="18"/>
          <w:lang w:val="fr-BE"/>
        </w:rPr>
        <w:t xml:space="preserve"> </w:t>
      </w:r>
    </w:p>
    <w:p w:rsidR="00781C3A" w:rsidRPr="001D085E" w:rsidRDefault="00591EB8" w:rsidP="004E513E">
      <w:pPr>
        <w:pStyle w:val="newsNotes"/>
        <w:rPr>
          <w:sz w:val="18"/>
          <w:szCs w:val="18"/>
          <w:lang w:val="fr-BE"/>
        </w:rPr>
      </w:pPr>
      <w:r w:rsidRPr="001D085E">
        <w:rPr>
          <w:sz w:val="18"/>
          <w:szCs w:val="18"/>
          <w:lang w:val="fr-BE"/>
        </w:rPr>
        <w:t>(</w:t>
      </w:r>
      <w:r w:rsidRPr="001D085E">
        <w:rPr>
          <w:sz w:val="18"/>
          <w:szCs w:val="18"/>
          <w:vertAlign w:val="superscript"/>
          <w:lang w:val="fr-BE"/>
        </w:rPr>
        <w:t>4</w:t>
      </w:r>
      <w:r w:rsidRPr="001D085E">
        <w:rPr>
          <w:sz w:val="18"/>
          <w:szCs w:val="18"/>
          <w:lang w:val="fr-BE"/>
        </w:rPr>
        <w:t xml:space="preserve">) Composé d’experts supplémentaires </w:t>
      </w:r>
      <w:r w:rsidR="009A2EE0" w:rsidRPr="001D085E">
        <w:rPr>
          <w:sz w:val="18"/>
          <w:szCs w:val="18"/>
          <w:lang w:val="fr-BE"/>
        </w:rPr>
        <w:t>en provenance des</w:t>
      </w:r>
      <w:r w:rsidRPr="001D085E">
        <w:rPr>
          <w:sz w:val="18"/>
          <w:szCs w:val="18"/>
          <w:lang w:val="fr-BE"/>
        </w:rPr>
        <w:t xml:space="preserve"> États membres de l’UE, de la Commission européenne, d’Europol et de l’Age</w:t>
      </w:r>
      <w:r w:rsidR="005249CB">
        <w:rPr>
          <w:sz w:val="18"/>
          <w:szCs w:val="18"/>
          <w:lang w:val="fr-BE"/>
        </w:rPr>
        <w:t xml:space="preserve">nce européenne des médicaments. </w:t>
      </w:r>
      <w:r w:rsidRPr="001D085E">
        <w:rPr>
          <w:sz w:val="18"/>
          <w:szCs w:val="18"/>
          <w:lang w:val="fr-BE"/>
        </w:rPr>
        <w:t xml:space="preserve">Des publications concernant l’évaluation du risque sont disponibles à l’adresse: </w:t>
      </w:r>
      <w:hyperlink r:id="rId13" w:history="1">
        <w:r w:rsidRPr="001D085E">
          <w:rPr>
            <w:rStyle w:val="Hyperlink"/>
            <w:sz w:val="18"/>
            <w:szCs w:val="18"/>
            <w:lang w:val="fr-BE"/>
          </w:rPr>
          <w:t>www.emcdda.europa.eu/publications/risk-assessments</w:t>
        </w:r>
      </w:hyperlink>
    </w:p>
    <w:sectPr w:rsidR="00781C3A" w:rsidRPr="001D085E" w:rsidSect="00241567">
      <w:headerReference w:type="default" r:id="rId14"/>
      <w:footerReference w:type="default" r:id="rId15"/>
      <w:footerReference w:type="first" r:id="rId16"/>
      <w:type w:val="continuous"/>
      <w:pgSz w:w="11906" w:h="16838" w:code="9"/>
      <w:pgMar w:top="1532" w:right="1276" w:bottom="1304" w:left="1276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BB3" w:rsidRDefault="009E3BB3" w:rsidP="009A28FB">
      <w:pPr>
        <w:spacing w:after="0" w:line="240" w:lineRule="auto"/>
      </w:pPr>
      <w:r>
        <w:separator/>
      </w:r>
    </w:p>
  </w:endnote>
  <w:endnote w:type="continuationSeparator" w:id="0">
    <w:p w:rsidR="009E3BB3" w:rsidRDefault="009E3BB3" w:rsidP="009A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97"/>
      <w:gridCol w:w="7293"/>
    </w:tblGrid>
    <w:tr w:rsidR="00BF1E3B" w:rsidTr="009E4BBF">
      <w:tc>
        <w:tcPr>
          <w:tcW w:w="1444" w:type="dxa"/>
        </w:tcPr>
        <w:p w:rsidR="00BF1E3B" w:rsidRDefault="00BF1E3B" w:rsidP="00D37865">
          <w:pPr>
            <w:pStyle w:val="newsCoordinates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3360" behindDoc="1" locked="0" layoutInCell="1" allowOverlap="1" wp14:anchorId="6D44085B" wp14:editId="66018112">
                    <wp:simplePos x="0" y="0"/>
                    <wp:positionH relativeFrom="page">
                      <wp:posOffset>35560</wp:posOffset>
                    </wp:positionH>
                    <wp:positionV relativeFrom="page">
                      <wp:posOffset>15240</wp:posOffset>
                    </wp:positionV>
                    <wp:extent cx="1" cy="108000"/>
                    <wp:effectExtent l="0" t="0" r="19050" b="25400"/>
                    <wp:wrapNone/>
                    <wp:docPr id="14" name="Straight Connector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1" cy="1080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14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2.8pt,1.2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1D085E">
            <w:rPr>
              <w:noProof/>
              <w:lang w:eastAsia="en-GB"/>
            </w:rPr>
            <w:t>emcdda</w:t>
          </w:r>
          <w:r w:rsidRPr="00D37865">
            <w:rPr>
              <w:noProof/>
              <w:lang w:eastAsia="en-GB"/>
            </w:rPr>
            <w:t>.europa.eu</w:t>
          </w:r>
        </w:p>
      </w:tc>
      <w:tc>
        <w:tcPr>
          <w:tcW w:w="3294" w:type="dxa"/>
          <w:vAlign w:val="bottom"/>
        </w:tcPr>
        <w:p w:rsidR="00BF1E3B" w:rsidRDefault="009E4BBF" w:rsidP="00BF1E3B">
          <w:pPr>
            <w:pStyle w:val="newsReferenc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E46C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BF1E3B" w:rsidRDefault="00BF1E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196"/>
      <w:gridCol w:w="3294"/>
    </w:tblGrid>
    <w:tr w:rsidR="0063677C" w:rsidTr="003B00EE">
      <w:tc>
        <w:tcPr>
          <w:tcW w:w="7196" w:type="dxa"/>
        </w:tcPr>
        <w:p w:rsidR="0063677C" w:rsidRDefault="0081623D" w:rsidP="003B00EE">
          <w:pPr>
            <w:pStyle w:val="newsCoordinates"/>
          </w:pPr>
          <w:r w:rsidRPr="0081623D">
            <w:t>Contact: Kathy Robertson, Relations avec les médias</w:t>
          </w:r>
          <w:r w:rsidR="0063677C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5408" behindDoc="1" locked="0" layoutInCell="1" allowOverlap="1" wp14:anchorId="62C16CAC" wp14:editId="3172FA39">
                    <wp:simplePos x="0" y="0"/>
                    <wp:positionH relativeFrom="page">
                      <wp:posOffset>32385</wp:posOffset>
                    </wp:positionH>
                    <wp:positionV relativeFrom="page">
                      <wp:posOffset>-14605</wp:posOffset>
                    </wp:positionV>
                    <wp:extent cx="0" cy="431800"/>
                    <wp:effectExtent l="0" t="0" r="19050" b="25400"/>
                    <wp:wrapNone/>
                    <wp:docPr id="4" name="Straight Connector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3180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0000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Straight Connector 4" o:spid="_x0000_s1026" style="position:absolute;z-index:-25165107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55pt,-1.15pt" to="2.55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" strokecolor="#009" strokeweight="1.5pt">
                    <w10:wrap anchorx="page" anchory="page"/>
                  </v:line>
                </w:pict>
              </mc:Fallback>
            </mc:AlternateContent>
          </w:r>
          <w:r w:rsidR="0063677C">
            <w:t xml:space="preserve"> </w:t>
          </w:r>
          <w:r w:rsidR="0063677C" w:rsidRPr="00FC0187">
            <w:rPr>
              <w:sz w:val="18"/>
            </w:rPr>
            <w:t>I</w:t>
          </w:r>
          <w:r w:rsidR="0063677C">
            <w:t xml:space="preserve"> Kathryn.Robertson@</w:t>
          </w:r>
          <w:r w:rsidR="00440433">
            <w:t>emcdda</w:t>
          </w:r>
          <w:r w:rsidR="0063677C">
            <w:t xml:space="preserve">.europa.eu </w:t>
          </w:r>
        </w:p>
        <w:p w:rsidR="0063677C" w:rsidRPr="006860EB" w:rsidRDefault="0081623D" w:rsidP="003B00EE">
          <w:pPr>
            <w:pStyle w:val="newsCoordinates"/>
            <w:rPr>
              <w:lang w:val="pt-PT"/>
            </w:rPr>
          </w:pPr>
          <w:r w:rsidRPr="006860EB">
            <w:rPr>
              <w:lang w:val="pt-PT"/>
            </w:rPr>
            <w:t>Praça Europa 1, Cais do Sodré, 1249-289 Lisbonne, Portugal</w:t>
          </w:r>
        </w:p>
        <w:p w:rsidR="0063677C" w:rsidRPr="00440433" w:rsidRDefault="0081623D" w:rsidP="00440433">
          <w:pPr>
            <w:pStyle w:val="newsCoordinates"/>
            <w:rPr>
              <w:lang w:val="pt-PT"/>
            </w:rPr>
          </w:pPr>
          <w:proofErr w:type="spellStart"/>
          <w:r w:rsidRPr="00440433">
            <w:rPr>
              <w:lang w:val="pt-PT"/>
            </w:rPr>
            <w:t>Tél</w:t>
          </w:r>
          <w:proofErr w:type="spellEnd"/>
          <w:r w:rsidRPr="00440433">
            <w:rPr>
              <w:lang w:val="pt-PT"/>
            </w:rPr>
            <w:t>. (351) 211 21 02</w:t>
          </w:r>
          <w:r w:rsidR="00944227" w:rsidRPr="00440433">
            <w:rPr>
              <w:lang w:val="pt-PT"/>
            </w:rPr>
            <w:t xml:space="preserve"> 00</w:t>
          </w:r>
          <w:r w:rsidR="0063677C" w:rsidRPr="00440433">
            <w:rPr>
              <w:lang w:val="pt-PT"/>
            </w:rPr>
            <w:t xml:space="preserve"> </w:t>
          </w:r>
          <w:r w:rsidR="0063677C" w:rsidRPr="00440433">
            <w:rPr>
              <w:sz w:val="18"/>
              <w:lang w:val="pt-PT"/>
            </w:rPr>
            <w:t xml:space="preserve">I </w:t>
          </w:r>
          <w:r w:rsidR="0063677C" w:rsidRPr="00440433">
            <w:rPr>
              <w:lang w:val="pt-PT"/>
            </w:rPr>
            <w:t>press@</w:t>
          </w:r>
          <w:r w:rsidR="00440433" w:rsidRPr="00440433">
            <w:rPr>
              <w:lang w:val="pt-PT"/>
            </w:rPr>
            <w:t>emcdda</w:t>
          </w:r>
          <w:r w:rsidR="0063677C" w:rsidRPr="00440433">
            <w:rPr>
              <w:lang w:val="pt-PT"/>
            </w:rPr>
            <w:t xml:space="preserve">.europa.eu </w:t>
          </w:r>
          <w:r w:rsidR="0063677C" w:rsidRPr="00440433">
            <w:rPr>
              <w:sz w:val="18"/>
              <w:lang w:val="pt-PT"/>
            </w:rPr>
            <w:t>I</w:t>
          </w:r>
          <w:r w:rsidR="0063677C" w:rsidRPr="00440433">
            <w:rPr>
              <w:lang w:val="pt-PT"/>
            </w:rPr>
            <w:t xml:space="preserve"> </w:t>
          </w:r>
          <w:r w:rsidR="00440433" w:rsidRPr="00440433">
            <w:rPr>
              <w:lang w:val="pt-PT"/>
            </w:rPr>
            <w:t>emcdda</w:t>
          </w:r>
          <w:r w:rsidR="0063677C" w:rsidRPr="00440433">
            <w:rPr>
              <w:lang w:val="pt-PT"/>
            </w:rPr>
            <w:t>.europa.eu</w:t>
          </w:r>
        </w:p>
      </w:tc>
      <w:tc>
        <w:tcPr>
          <w:tcW w:w="3294" w:type="dxa"/>
          <w:vAlign w:val="bottom"/>
        </w:tcPr>
        <w:p w:rsidR="0063677C" w:rsidRDefault="0081623D" w:rsidP="0031471E">
          <w:pPr>
            <w:pStyle w:val="newsReference"/>
            <w:jc w:val="right"/>
          </w:pPr>
          <w:r w:rsidRPr="0081623D">
            <w:t xml:space="preserve">FR — N° </w:t>
          </w:r>
          <w:r w:rsidR="0031471E">
            <w:t>1</w:t>
          </w:r>
          <w:r w:rsidRPr="0081623D">
            <w:t>/</w:t>
          </w:r>
          <w:r w:rsidR="0031471E">
            <w:t>2015</w:t>
          </w:r>
        </w:p>
      </w:tc>
    </w:tr>
  </w:tbl>
  <w:p w:rsidR="0063677C" w:rsidRDefault="00636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BB3" w:rsidRDefault="009E3BB3" w:rsidP="009A28FB">
      <w:pPr>
        <w:spacing w:after="0" w:line="240" w:lineRule="auto"/>
      </w:pPr>
      <w:r>
        <w:separator/>
      </w:r>
    </w:p>
  </w:footnote>
  <w:footnote w:type="continuationSeparator" w:id="0">
    <w:p w:rsidR="009E3BB3" w:rsidRDefault="009E3BB3" w:rsidP="009A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490" w:type="dxa"/>
      <w:tblInd w:w="-5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604"/>
      <w:gridCol w:w="120"/>
    </w:tblGrid>
    <w:tr w:rsidR="00BF1E3B" w:rsidTr="00BF1E3B">
      <w:tc>
        <w:tcPr>
          <w:tcW w:w="7196" w:type="dxa"/>
        </w:tcPr>
        <w:tbl>
          <w:tblPr>
            <w:tblStyle w:val="TableGrid"/>
            <w:tblW w:w="1049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196"/>
            <w:gridCol w:w="3294"/>
          </w:tblGrid>
          <w:tr w:rsidR="00813CEC" w:rsidTr="0094264B">
            <w:tc>
              <w:tcPr>
                <w:tcW w:w="7196" w:type="dxa"/>
              </w:tcPr>
              <w:p w:rsidR="00813CEC" w:rsidRPr="00813CEC" w:rsidRDefault="00813CEC" w:rsidP="00AE3C1A">
                <w:pPr>
                  <w:pStyle w:val="newsEmbargo"/>
                  <w:rPr>
                    <w:lang w:val="fr-LU"/>
                  </w:rPr>
                </w:pPr>
                <w:r>
                  <w:rPr>
                    <w:noProof/>
                    <w:lang w:val="en-GB" w:eastAsia="en-GB"/>
                  </w:rPr>
                  <mc:AlternateContent>
                    <mc:Choice Requires="wps">
                      <w:drawing>
                        <wp:anchor distT="0" distB="0" distL="114300" distR="114300" simplePos="0" relativeHeight="251667456" behindDoc="1" locked="0" layoutInCell="1" allowOverlap="1" wp14:anchorId="7F1F9FEB" wp14:editId="7B46FC25">
                          <wp:simplePos x="0" y="0"/>
                          <wp:positionH relativeFrom="page">
                            <wp:posOffset>35560</wp:posOffset>
                          </wp:positionH>
                          <wp:positionV relativeFrom="page">
                            <wp:posOffset>-1270</wp:posOffset>
                          </wp:positionV>
                          <wp:extent cx="0" cy="124460"/>
                          <wp:effectExtent l="0" t="0" r="19050" b="27940"/>
                          <wp:wrapNone/>
                          <wp:docPr id="11" name="Straight Connector 1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0" cy="12446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rgbClr val="000099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id="Straight Connector 11" o:spid="_x0000_s1026" style="position:absolute;z-index:-2516490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.8pt,-.1pt" to="2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" strokecolor="#009" strokeweight="1.5pt">
                          <w10:wrap anchorx="page" anchory="page"/>
                        </v:line>
                      </w:pict>
                    </mc:Fallback>
                  </mc:AlternateContent>
                </w:r>
                <w:r w:rsidRPr="00813CEC">
                  <w:rPr>
                    <w:noProof/>
                    <w:lang w:val="fr-LU" w:eastAsia="en-GB"/>
                  </w:rPr>
                  <w:t>D</w:t>
                </w:r>
                <w:r w:rsidR="00440433">
                  <w:rPr>
                    <w:noProof/>
                    <w:lang w:val="fr-LU" w:eastAsia="en-GB"/>
                  </w:rPr>
                  <w:t>ernières d</w:t>
                </w:r>
                <w:r w:rsidRPr="00813CEC">
                  <w:rPr>
                    <w:noProof/>
                    <w:lang w:val="fr-LU" w:eastAsia="en-GB"/>
                  </w:rPr>
                  <w:t>onnées du système d’alerte rapide de l’UE</w:t>
                </w:r>
              </w:p>
            </w:tc>
            <w:tc>
              <w:tcPr>
                <w:tcW w:w="3294" w:type="dxa"/>
                <w:vAlign w:val="bottom"/>
              </w:tcPr>
              <w:p w:rsidR="00813CEC" w:rsidRDefault="00813CEC" w:rsidP="0094264B">
                <w:pPr>
                  <w:pStyle w:val="newsReference"/>
                  <w:jc w:val="right"/>
                </w:pPr>
                <w:r>
                  <w:t>9.3</w:t>
                </w:r>
                <w:r w:rsidRPr="00CC4FDA">
                  <w:t>.201</w:t>
                </w:r>
                <w:r>
                  <w:t>5</w:t>
                </w:r>
              </w:p>
            </w:tc>
          </w:tr>
        </w:tbl>
        <w:p w:rsidR="00BF1E3B" w:rsidRPr="003A17BB" w:rsidRDefault="00BF1E3B" w:rsidP="00CC4FDA">
          <w:pPr>
            <w:pStyle w:val="newsEmbargo"/>
            <w:rPr>
              <w:lang w:val="es-ES"/>
            </w:rPr>
          </w:pPr>
        </w:p>
      </w:tc>
      <w:tc>
        <w:tcPr>
          <w:tcW w:w="3294" w:type="dxa"/>
          <w:vAlign w:val="bottom"/>
        </w:tcPr>
        <w:p w:rsidR="00BF1E3B" w:rsidRDefault="00BF1E3B" w:rsidP="00BF1E3B">
          <w:pPr>
            <w:pStyle w:val="newsReference"/>
            <w:jc w:val="right"/>
          </w:pPr>
        </w:p>
      </w:tc>
    </w:tr>
  </w:tbl>
  <w:p w:rsidR="00BF1E3B" w:rsidRDefault="00BF1E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619F"/>
    <w:multiLevelType w:val="hybridMultilevel"/>
    <w:tmpl w:val="AAF2738C"/>
    <w:lvl w:ilvl="0" w:tplc="ABCE700A">
      <w:start w:val="1"/>
      <w:numFmt w:val="decimal"/>
      <w:lvlText w:val="(%1)"/>
      <w:lvlJc w:val="left"/>
      <w:pPr>
        <w:ind w:left="928" w:hanging="360"/>
      </w:pPr>
      <w:rPr>
        <w:rFonts w:hint="default"/>
        <w:color w:val="000000" w:themeColor="text1"/>
      </w:rPr>
    </w:lvl>
    <w:lvl w:ilvl="1" w:tplc="140C0019" w:tentative="1">
      <w:start w:val="1"/>
      <w:numFmt w:val="lowerLetter"/>
      <w:lvlText w:val="%2."/>
      <w:lvlJc w:val="left"/>
      <w:pPr>
        <w:ind w:left="1648" w:hanging="360"/>
      </w:pPr>
    </w:lvl>
    <w:lvl w:ilvl="2" w:tplc="140C001B" w:tentative="1">
      <w:start w:val="1"/>
      <w:numFmt w:val="lowerRoman"/>
      <w:lvlText w:val="%3."/>
      <w:lvlJc w:val="right"/>
      <w:pPr>
        <w:ind w:left="2368" w:hanging="180"/>
      </w:pPr>
    </w:lvl>
    <w:lvl w:ilvl="3" w:tplc="140C000F" w:tentative="1">
      <w:start w:val="1"/>
      <w:numFmt w:val="decimal"/>
      <w:lvlText w:val="%4."/>
      <w:lvlJc w:val="left"/>
      <w:pPr>
        <w:ind w:left="3088" w:hanging="360"/>
      </w:pPr>
    </w:lvl>
    <w:lvl w:ilvl="4" w:tplc="140C0019" w:tentative="1">
      <w:start w:val="1"/>
      <w:numFmt w:val="lowerLetter"/>
      <w:lvlText w:val="%5."/>
      <w:lvlJc w:val="left"/>
      <w:pPr>
        <w:ind w:left="3808" w:hanging="360"/>
      </w:pPr>
    </w:lvl>
    <w:lvl w:ilvl="5" w:tplc="140C001B" w:tentative="1">
      <w:start w:val="1"/>
      <w:numFmt w:val="lowerRoman"/>
      <w:lvlText w:val="%6."/>
      <w:lvlJc w:val="right"/>
      <w:pPr>
        <w:ind w:left="4528" w:hanging="180"/>
      </w:pPr>
    </w:lvl>
    <w:lvl w:ilvl="6" w:tplc="140C000F" w:tentative="1">
      <w:start w:val="1"/>
      <w:numFmt w:val="decimal"/>
      <w:lvlText w:val="%7."/>
      <w:lvlJc w:val="left"/>
      <w:pPr>
        <w:ind w:left="5248" w:hanging="360"/>
      </w:pPr>
    </w:lvl>
    <w:lvl w:ilvl="7" w:tplc="140C0019" w:tentative="1">
      <w:start w:val="1"/>
      <w:numFmt w:val="lowerLetter"/>
      <w:lvlText w:val="%8."/>
      <w:lvlJc w:val="left"/>
      <w:pPr>
        <w:ind w:left="5968" w:hanging="360"/>
      </w:pPr>
    </w:lvl>
    <w:lvl w:ilvl="8" w:tplc="140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BF"/>
    <w:rsid w:val="00014E8E"/>
    <w:rsid w:val="00016432"/>
    <w:rsid w:val="00036DAA"/>
    <w:rsid w:val="000535B7"/>
    <w:rsid w:val="00067DD3"/>
    <w:rsid w:val="00075735"/>
    <w:rsid w:val="000C6200"/>
    <w:rsid w:val="000D25B6"/>
    <w:rsid w:val="000D2B73"/>
    <w:rsid w:val="00105BFC"/>
    <w:rsid w:val="00107C96"/>
    <w:rsid w:val="0017713E"/>
    <w:rsid w:val="001800D0"/>
    <w:rsid w:val="001814C3"/>
    <w:rsid w:val="001A10FB"/>
    <w:rsid w:val="001A3338"/>
    <w:rsid w:val="001B0230"/>
    <w:rsid w:val="001C795A"/>
    <w:rsid w:val="001D085E"/>
    <w:rsid w:val="001D5C26"/>
    <w:rsid w:val="001E39A7"/>
    <w:rsid w:val="001F0EF1"/>
    <w:rsid w:val="001F70B4"/>
    <w:rsid w:val="00223753"/>
    <w:rsid w:val="00241567"/>
    <w:rsid w:val="002557B0"/>
    <w:rsid w:val="002646E4"/>
    <w:rsid w:val="00271E7C"/>
    <w:rsid w:val="0027252D"/>
    <w:rsid w:val="0028141E"/>
    <w:rsid w:val="002948E2"/>
    <w:rsid w:val="002A61F7"/>
    <w:rsid w:val="002B05CE"/>
    <w:rsid w:val="002B45AC"/>
    <w:rsid w:val="0030486D"/>
    <w:rsid w:val="0031471E"/>
    <w:rsid w:val="00317B5A"/>
    <w:rsid w:val="0033158E"/>
    <w:rsid w:val="0036121D"/>
    <w:rsid w:val="003862AD"/>
    <w:rsid w:val="00387D02"/>
    <w:rsid w:val="003A17BB"/>
    <w:rsid w:val="003A18B4"/>
    <w:rsid w:val="003B41B1"/>
    <w:rsid w:val="003C0395"/>
    <w:rsid w:val="004137B0"/>
    <w:rsid w:val="004221D3"/>
    <w:rsid w:val="00440433"/>
    <w:rsid w:val="0044111C"/>
    <w:rsid w:val="00445080"/>
    <w:rsid w:val="0045468D"/>
    <w:rsid w:val="00474AC8"/>
    <w:rsid w:val="004847FB"/>
    <w:rsid w:val="004C3028"/>
    <w:rsid w:val="004D6E0C"/>
    <w:rsid w:val="004E2FE7"/>
    <w:rsid w:val="004E513E"/>
    <w:rsid w:val="004F3333"/>
    <w:rsid w:val="00520EF1"/>
    <w:rsid w:val="005249CB"/>
    <w:rsid w:val="0054049B"/>
    <w:rsid w:val="00542CEE"/>
    <w:rsid w:val="00591EB8"/>
    <w:rsid w:val="005A0DC8"/>
    <w:rsid w:val="005B05A0"/>
    <w:rsid w:val="005B0882"/>
    <w:rsid w:val="005B1B63"/>
    <w:rsid w:val="005C4033"/>
    <w:rsid w:val="005D7CAA"/>
    <w:rsid w:val="005E734D"/>
    <w:rsid w:val="006116D9"/>
    <w:rsid w:val="00623A55"/>
    <w:rsid w:val="0063544C"/>
    <w:rsid w:val="0063677C"/>
    <w:rsid w:val="00666A63"/>
    <w:rsid w:val="006860EB"/>
    <w:rsid w:val="0069096E"/>
    <w:rsid w:val="006C09CF"/>
    <w:rsid w:val="006E17F1"/>
    <w:rsid w:val="007003A8"/>
    <w:rsid w:val="00730132"/>
    <w:rsid w:val="00773814"/>
    <w:rsid w:val="00781C3A"/>
    <w:rsid w:val="00791F09"/>
    <w:rsid w:val="007920E3"/>
    <w:rsid w:val="007927D2"/>
    <w:rsid w:val="007B0E03"/>
    <w:rsid w:val="007B1CCD"/>
    <w:rsid w:val="00813CEC"/>
    <w:rsid w:val="00813FB5"/>
    <w:rsid w:val="0081623D"/>
    <w:rsid w:val="00837F8F"/>
    <w:rsid w:val="00841E86"/>
    <w:rsid w:val="00860C28"/>
    <w:rsid w:val="00881730"/>
    <w:rsid w:val="008C1172"/>
    <w:rsid w:val="008D54B3"/>
    <w:rsid w:val="008E270F"/>
    <w:rsid w:val="008F177B"/>
    <w:rsid w:val="008F1C7E"/>
    <w:rsid w:val="008F399E"/>
    <w:rsid w:val="008F7CBA"/>
    <w:rsid w:val="00902300"/>
    <w:rsid w:val="00910AD0"/>
    <w:rsid w:val="00944227"/>
    <w:rsid w:val="00955F0C"/>
    <w:rsid w:val="00974A27"/>
    <w:rsid w:val="0099070B"/>
    <w:rsid w:val="009A28FB"/>
    <w:rsid w:val="009A2EE0"/>
    <w:rsid w:val="009D135E"/>
    <w:rsid w:val="009D6255"/>
    <w:rsid w:val="009E3BB3"/>
    <w:rsid w:val="009E4BBF"/>
    <w:rsid w:val="00A0788A"/>
    <w:rsid w:val="00A311EF"/>
    <w:rsid w:val="00A3254D"/>
    <w:rsid w:val="00A661E2"/>
    <w:rsid w:val="00A843D2"/>
    <w:rsid w:val="00A856B7"/>
    <w:rsid w:val="00AD7BFC"/>
    <w:rsid w:val="00AE093C"/>
    <w:rsid w:val="00AE1738"/>
    <w:rsid w:val="00AE3C1A"/>
    <w:rsid w:val="00AF13B3"/>
    <w:rsid w:val="00AF259D"/>
    <w:rsid w:val="00B11B73"/>
    <w:rsid w:val="00B272F1"/>
    <w:rsid w:val="00B51E08"/>
    <w:rsid w:val="00B57464"/>
    <w:rsid w:val="00B61036"/>
    <w:rsid w:val="00B72DD3"/>
    <w:rsid w:val="00B7335C"/>
    <w:rsid w:val="00B97BC5"/>
    <w:rsid w:val="00BB60CF"/>
    <w:rsid w:val="00BE7B89"/>
    <w:rsid w:val="00BF1E3B"/>
    <w:rsid w:val="00BF67CB"/>
    <w:rsid w:val="00C36BC1"/>
    <w:rsid w:val="00C426F8"/>
    <w:rsid w:val="00C628C4"/>
    <w:rsid w:val="00C63254"/>
    <w:rsid w:val="00C874C0"/>
    <w:rsid w:val="00CA2FF5"/>
    <w:rsid w:val="00CB49DA"/>
    <w:rsid w:val="00CC4FDA"/>
    <w:rsid w:val="00CC6A8B"/>
    <w:rsid w:val="00D01335"/>
    <w:rsid w:val="00D03EC6"/>
    <w:rsid w:val="00D3312B"/>
    <w:rsid w:val="00D37865"/>
    <w:rsid w:val="00D57367"/>
    <w:rsid w:val="00D84AE3"/>
    <w:rsid w:val="00D91FFD"/>
    <w:rsid w:val="00D92A34"/>
    <w:rsid w:val="00DC21FE"/>
    <w:rsid w:val="00DC485E"/>
    <w:rsid w:val="00DE46C1"/>
    <w:rsid w:val="00E233F5"/>
    <w:rsid w:val="00E57C9D"/>
    <w:rsid w:val="00E66CCD"/>
    <w:rsid w:val="00E76AD8"/>
    <w:rsid w:val="00E81F3D"/>
    <w:rsid w:val="00E83FC3"/>
    <w:rsid w:val="00E84EB5"/>
    <w:rsid w:val="00EE23CC"/>
    <w:rsid w:val="00F06CDE"/>
    <w:rsid w:val="00F21CA9"/>
    <w:rsid w:val="00F24096"/>
    <w:rsid w:val="00F249CD"/>
    <w:rsid w:val="00F414EF"/>
    <w:rsid w:val="00F47542"/>
    <w:rsid w:val="00F64C56"/>
    <w:rsid w:val="00FB351B"/>
    <w:rsid w:val="00FC0187"/>
    <w:rsid w:val="00FC5814"/>
    <w:rsid w:val="00FE3721"/>
    <w:rsid w:val="00FE4789"/>
    <w:rsid w:val="00FF06F9"/>
    <w:rsid w:val="00F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63544C"/>
    <w:pPr>
      <w:tabs>
        <w:tab w:val="left" w:pos="5205"/>
      </w:tabs>
      <w:spacing w:before="220" w:after="112" w:line="300" w:lineRule="exact"/>
    </w:pPr>
    <w:rPr>
      <w:rFonts w:ascii="Arial" w:hAnsi="Arial"/>
      <w:caps/>
      <w:sz w:val="16"/>
      <w:szCs w:val="16"/>
      <w:lang w:val="fr-LU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6860EB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4E513E"/>
    <w:pPr>
      <w:spacing w:after="260" w:line="260" w:lineRule="exact"/>
      <w:ind w:right="-144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81623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81623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81623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591EB8"/>
    <w:pPr>
      <w:spacing w:after="0" w:line="240" w:lineRule="auto"/>
    </w:pPr>
    <w:rPr>
      <w:color w:val="auto"/>
      <w:sz w:val="12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E513E"/>
    <w:rPr>
      <w:rFonts w:ascii="Arial" w:hAnsi="Arial"/>
      <w:color w:val="000000" w:themeColor="text1"/>
      <w:sz w:val="20"/>
      <w:lang w:val="fr-FR"/>
    </w:rPr>
  </w:style>
  <w:style w:type="character" w:customStyle="1" w:styleId="newsNotesChar">
    <w:name w:val="newsNotes Char"/>
    <w:basedOn w:val="newsContentChar"/>
    <w:link w:val="newsNotes"/>
    <w:rsid w:val="00591EB8"/>
    <w:rPr>
      <w:rFonts w:ascii="Arial" w:hAnsi="Arial"/>
      <w:color w:val="000000" w:themeColor="text1"/>
      <w:sz w:val="12"/>
      <w:lang w:val="fr-FR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8FB"/>
    <w:rPr>
      <w:rFonts w:ascii="Tahoma" w:hAnsi="Tahoma" w:cs="Tahoma"/>
      <w:sz w:val="16"/>
      <w:szCs w:val="16"/>
    </w:rPr>
  </w:style>
  <w:style w:type="paragraph" w:customStyle="1" w:styleId="newsTitle">
    <w:name w:val="newsTitle"/>
    <w:basedOn w:val="Normal"/>
    <w:autoRedefine/>
    <w:qFormat/>
    <w:rsid w:val="0063544C"/>
    <w:pPr>
      <w:tabs>
        <w:tab w:val="left" w:pos="5205"/>
      </w:tabs>
      <w:spacing w:before="220" w:after="112" w:line="300" w:lineRule="exact"/>
    </w:pPr>
    <w:rPr>
      <w:rFonts w:ascii="Arial" w:hAnsi="Arial"/>
      <w:caps/>
      <w:sz w:val="16"/>
      <w:szCs w:val="16"/>
      <w:lang w:val="fr-LU"/>
    </w:rPr>
  </w:style>
  <w:style w:type="paragraph" w:styleId="Header">
    <w:name w:val="header"/>
    <w:basedOn w:val="Normal"/>
    <w:link w:val="HeaderChar"/>
    <w:uiPriority w:val="99"/>
    <w:unhideWhenUsed/>
    <w:rsid w:val="00FE3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721"/>
  </w:style>
  <w:style w:type="paragraph" w:styleId="Footer">
    <w:name w:val="footer"/>
    <w:basedOn w:val="Normal"/>
    <w:link w:val="FooterChar"/>
    <w:uiPriority w:val="99"/>
    <w:unhideWhenUsed/>
    <w:rsid w:val="009A2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8FB"/>
  </w:style>
  <w:style w:type="character" w:styleId="Hyperlink">
    <w:name w:val="Hyperlink"/>
    <w:basedOn w:val="DefaultParagraphFont"/>
    <w:uiPriority w:val="99"/>
    <w:unhideWhenUsed/>
    <w:qFormat/>
    <w:rsid w:val="00A661E2"/>
    <w:rPr>
      <w:rFonts w:ascii="Arial" w:hAnsi="Arial"/>
      <w:b w:val="0"/>
      <w:i w:val="0"/>
      <w:color w:val="003399"/>
      <w:sz w:val="17"/>
      <w:u w:val="none"/>
    </w:rPr>
  </w:style>
  <w:style w:type="paragraph" w:customStyle="1" w:styleId="newsSubTitle">
    <w:name w:val="newsSubTitle"/>
    <w:basedOn w:val="Normal"/>
    <w:autoRedefine/>
    <w:qFormat/>
    <w:rsid w:val="006860EB"/>
    <w:pPr>
      <w:spacing w:after="300" w:line="300" w:lineRule="exact"/>
    </w:pPr>
    <w:rPr>
      <w:rFonts w:ascii="Arial" w:hAnsi="Arial"/>
      <w:b/>
    </w:rPr>
  </w:style>
  <w:style w:type="paragraph" w:customStyle="1" w:styleId="newsContent">
    <w:name w:val="newsContent"/>
    <w:basedOn w:val="Normal"/>
    <w:link w:val="newsContentChar"/>
    <w:autoRedefine/>
    <w:qFormat/>
    <w:rsid w:val="004E513E"/>
    <w:pPr>
      <w:spacing w:after="260" w:line="260" w:lineRule="exact"/>
      <w:ind w:right="-144"/>
    </w:pPr>
    <w:rPr>
      <w:rFonts w:ascii="Arial" w:hAnsi="Arial"/>
      <w:color w:val="000000" w:themeColor="text1"/>
      <w:sz w:val="20"/>
    </w:rPr>
  </w:style>
  <w:style w:type="paragraph" w:customStyle="1" w:styleId="newsAddress">
    <w:name w:val="newsAddress"/>
    <w:basedOn w:val="Footer"/>
    <w:autoRedefine/>
    <w:qFormat/>
    <w:rsid w:val="00FE3721"/>
    <w:pPr>
      <w:framePr w:wrap="around" w:vAnchor="text" w:hAnchor="page" w:x="852" w:y="1"/>
      <w:tabs>
        <w:tab w:val="clear" w:pos="9072"/>
        <w:tab w:val="right" w:pos="7371"/>
      </w:tabs>
      <w:spacing w:line="200" w:lineRule="exact"/>
    </w:pPr>
    <w:rPr>
      <w:rFonts w:ascii="Arial" w:hAnsi="Arial"/>
      <w:sz w:val="14"/>
    </w:rPr>
  </w:style>
  <w:style w:type="paragraph" w:customStyle="1" w:styleId="newsReference">
    <w:name w:val="newsReference"/>
    <w:basedOn w:val="Normal"/>
    <w:autoRedefine/>
    <w:qFormat/>
    <w:rsid w:val="0081623D"/>
    <w:pPr>
      <w:spacing w:after="0" w:line="200" w:lineRule="exact"/>
    </w:pPr>
    <w:rPr>
      <w:rFonts w:ascii="Arial" w:hAnsi="Arial"/>
      <w:sz w:val="14"/>
    </w:rPr>
  </w:style>
  <w:style w:type="paragraph" w:customStyle="1" w:styleId="newsRef">
    <w:name w:val="newsRef"/>
    <w:basedOn w:val="newsAddress"/>
    <w:autoRedefine/>
    <w:qFormat/>
    <w:rsid w:val="00B97BC5"/>
    <w:pPr>
      <w:framePr w:wrap="around"/>
      <w:tabs>
        <w:tab w:val="clear" w:pos="4536"/>
        <w:tab w:val="right" w:pos="6946"/>
        <w:tab w:val="left" w:pos="8505"/>
      </w:tabs>
      <w:ind w:right="-569"/>
    </w:pPr>
  </w:style>
  <w:style w:type="character" w:styleId="PlaceholderText">
    <w:name w:val="Placeholder Text"/>
    <w:basedOn w:val="DefaultParagraphFont"/>
    <w:uiPriority w:val="99"/>
    <w:semiHidden/>
    <w:rsid w:val="00730132"/>
    <w:rPr>
      <w:color w:val="808080"/>
    </w:rPr>
  </w:style>
  <w:style w:type="paragraph" w:customStyle="1" w:styleId="newsCoordinates">
    <w:name w:val="newsCoordinates"/>
    <w:basedOn w:val="Footer"/>
    <w:autoRedefine/>
    <w:qFormat/>
    <w:rsid w:val="0081623D"/>
    <w:pPr>
      <w:tabs>
        <w:tab w:val="clear" w:pos="9072"/>
        <w:tab w:val="right" w:pos="8222"/>
      </w:tabs>
      <w:spacing w:line="200" w:lineRule="exact"/>
      <w:ind w:left="84"/>
    </w:pPr>
    <w:rPr>
      <w:rFonts w:ascii="Arial" w:hAnsi="Arial"/>
      <w:sz w:val="14"/>
    </w:rPr>
  </w:style>
  <w:style w:type="paragraph" w:customStyle="1" w:styleId="newsEmbargo">
    <w:name w:val="newsEmbargo"/>
    <w:basedOn w:val="newsCoordinates"/>
    <w:autoRedefine/>
    <w:qFormat/>
    <w:rsid w:val="0081623D"/>
    <w:rPr>
      <w:color w:val="000000" w:themeColor="text1"/>
      <w:sz w:val="15"/>
    </w:rPr>
  </w:style>
  <w:style w:type="paragraph" w:customStyle="1" w:styleId="newsDate">
    <w:name w:val="newsDate"/>
    <w:basedOn w:val="newsEmbargo"/>
    <w:autoRedefine/>
    <w:qFormat/>
    <w:rsid w:val="00B97BC5"/>
    <w:pPr>
      <w:jc w:val="center"/>
    </w:pPr>
  </w:style>
  <w:style w:type="paragraph" w:customStyle="1" w:styleId="newsNotes">
    <w:name w:val="newsNotes"/>
    <w:basedOn w:val="newsContent"/>
    <w:link w:val="newsNotesChar"/>
    <w:autoRedefine/>
    <w:qFormat/>
    <w:rsid w:val="00591EB8"/>
    <w:pPr>
      <w:spacing w:after="0" w:line="240" w:lineRule="auto"/>
    </w:pPr>
    <w:rPr>
      <w:color w:val="auto"/>
      <w:sz w:val="12"/>
    </w:rPr>
  </w:style>
  <w:style w:type="table" w:styleId="TableGrid">
    <w:name w:val="Table Grid"/>
    <w:basedOn w:val="TableNormal"/>
    <w:uiPriority w:val="59"/>
    <w:rsid w:val="00FE4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x">
    <w:name w:val="Textbox"/>
    <w:rsid w:val="00D84AE3"/>
    <w:pPr>
      <w:spacing w:after="0" w:line="240" w:lineRule="auto"/>
    </w:pPr>
    <w:rPr>
      <w:rFonts w:ascii="Comic Sans MS" w:eastAsia="Times New Roman" w:hAnsi="Comic Sans MS" w:cs="Times New Roman"/>
      <w:color w:val="0000FF"/>
      <w:sz w:val="24"/>
      <w:szCs w:val="20"/>
      <w:lang w:val="en-US"/>
    </w:rPr>
  </w:style>
  <w:style w:type="paragraph" w:customStyle="1" w:styleId="newsNotesNumber">
    <w:name w:val="newsNotesNumber"/>
    <w:basedOn w:val="newsNotes"/>
    <w:next w:val="Normal"/>
    <w:link w:val="newsNotesNumberChar"/>
    <w:autoRedefine/>
    <w:qFormat/>
    <w:rsid w:val="00CB49DA"/>
    <w:rPr>
      <w:vertAlign w:val="superscript"/>
    </w:rPr>
  </w:style>
  <w:style w:type="character" w:customStyle="1" w:styleId="newsContentChar">
    <w:name w:val="newsContent Char"/>
    <w:basedOn w:val="DefaultParagraphFont"/>
    <w:link w:val="newsContent"/>
    <w:rsid w:val="004E513E"/>
    <w:rPr>
      <w:rFonts w:ascii="Arial" w:hAnsi="Arial"/>
      <w:color w:val="000000" w:themeColor="text1"/>
      <w:sz w:val="20"/>
      <w:lang w:val="fr-FR"/>
    </w:rPr>
  </w:style>
  <w:style w:type="character" w:customStyle="1" w:styleId="newsNotesChar">
    <w:name w:val="newsNotes Char"/>
    <w:basedOn w:val="newsContentChar"/>
    <w:link w:val="newsNotes"/>
    <w:rsid w:val="00591EB8"/>
    <w:rPr>
      <w:rFonts w:ascii="Arial" w:hAnsi="Arial"/>
      <w:color w:val="000000" w:themeColor="text1"/>
      <w:sz w:val="12"/>
      <w:lang w:val="fr-FR"/>
    </w:rPr>
  </w:style>
  <w:style w:type="character" w:customStyle="1" w:styleId="newsNotesNumberChar">
    <w:name w:val="newsNotesNumber Char"/>
    <w:basedOn w:val="newsNotesChar"/>
    <w:link w:val="newsNotesNumber"/>
    <w:rsid w:val="00CB49DA"/>
    <w:rPr>
      <w:rFonts w:ascii="Arial" w:hAnsi="Arial"/>
      <w:color w:val="000000" w:themeColor="text1"/>
      <w:sz w:val="17"/>
      <w:vertAlign w:val="superscript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mcdda.europa.eu/publications/risk-assessment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nodc.org/unodc/en/commissions/CND/session/58_Session_2015/CND-58-Session_Index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mcdda.europa.eu/publications/2015/new-psychoactive-substanc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5B8D-9772-4D7E-9425-C7E71598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News release FR</vt:lpstr>
      <vt:lpstr>News release FR</vt:lpstr>
    </vt:vector>
  </TitlesOfParts>
  <Manager>EMCDDA</Manager>
  <Company>Translation Centre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 FR</dc:title>
  <dc:subject>News release FR</dc:subject>
  <dc:creator>Translation Centre</dc:creator>
  <cp:lastModifiedBy>Kathryn Robertson</cp:lastModifiedBy>
  <cp:revision>3</cp:revision>
  <cp:lastPrinted>2015-03-06T10:02:00Z</cp:lastPrinted>
  <dcterms:created xsi:type="dcterms:W3CDTF">2015-03-06T14:28:00Z</dcterms:created>
  <dcterms:modified xsi:type="dcterms:W3CDTF">2015-03-06T14:52:00Z</dcterms:modified>
  <cp:category>News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>EMCDDA</vt:lpwstr>
  </property>
  <property fmtid="{D5CDD505-2E9C-101B-9397-08002B2CF9AE}" pid="3" name="Editor">
    <vt:lpwstr>EMCDDA</vt:lpwstr>
  </property>
  <property fmtid="{D5CDD505-2E9C-101B-9397-08002B2CF9AE}" pid="4" name="Language">
    <vt:lpwstr>FR</vt:lpwstr>
  </property>
</Properties>
</file>