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5047"/>
        <w:gridCol w:w="5778"/>
      </w:tblGrid>
      <w:tr w:rsidR="00EE23CC" w:rsidTr="001F70B4">
        <w:trPr>
          <w:trHeight w:val="1695"/>
        </w:trPr>
        <w:tc>
          <w:tcPr>
            <w:tcW w:w="2331" w:type="pct"/>
          </w:tcPr>
          <w:p w:rsidR="00EE23CC" w:rsidRDefault="00EE23CC" w:rsidP="00EE23CC">
            <w:r>
              <w:rPr>
                <w:noProof/>
                <w:lang w:eastAsia="en-GB"/>
              </w:rPr>
              <w:drawing>
                <wp:inline distT="0" distB="0" distL="0" distR="0" wp14:anchorId="7A53FDF3" wp14:editId="034246F8">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3B2239F8" wp14:editId="2B16B470">
                  <wp:extent cx="7562842" cy="92095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42" cy="920959"/>
                          </a:xfrm>
                          <a:prstGeom prst="rect">
                            <a:avLst/>
                          </a:prstGeom>
                        </pic:spPr>
                      </pic:pic>
                    </a:graphicData>
                  </a:graphic>
                </wp:inline>
              </w:drawing>
            </w:r>
          </w:p>
        </w:tc>
      </w:tr>
    </w:tbl>
    <w:p w:rsidR="0023454B" w:rsidRPr="0023454B" w:rsidRDefault="0023454B" w:rsidP="0023454B">
      <w:pPr>
        <w:pStyle w:val="newsTitle"/>
        <w:rPr>
          <w:b/>
        </w:rPr>
      </w:pPr>
      <w:r w:rsidRPr="0023454B">
        <w:t>drug use and its consequence</w:t>
      </w:r>
      <w:r w:rsidR="00A215C1">
        <w:t>s in the western balkans 2006</w:t>
      </w:r>
      <w:r w:rsidR="0081295F">
        <w:t>–</w:t>
      </w:r>
      <w:r w:rsidRPr="0023454B">
        <w:t>14</w:t>
      </w:r>
    </w:p>
    <w:p w:rsidR="0023454B" w:rsidRPr="0023454B" w:rsidRDefault="0023454B" w:rsidP="0023454B">
      <w:pPr>
        <w:pStyle w:val="newsSubTitle"/>
      </w:pPr>
      <w:r w:rsidRPr="0023454B">
        <w:t xml:space="preserve">EMCDDA publishes first overview of the drug situation in the Western Balkans  </w:t>
      </w:r>
    </w:p>
    <w:p w:rsidR="0023454B" w:rsidRPr="00EC5604" w:rsidRDefault="0081295F" w:rsidP="00EC5604">
      <w:pPr>
        <w:pStyle w:val="newsContent"/>
        <w:spacing w:after="260" w:line="260" w:lineRule="exact"/>
        <w:rPr>
          <w:rFonts w:cs="Arial"/>
          <w:b w:val="0"/>
        </w:rPr>
      </w:pPr>
      <w:r w:rsidRPr="00252570">
        <w:rPr>
          <w:b w:val="0"/>
        </w:rPr>
        <w:t>(23</w:t>
      </w:r>
      <w:r w:rsidR="0023454B" w:rsidRPr="00252570">
        <w:rPr>
          <w:b w:val="0"/>
        </w:rPr>
        <w:t>.3</w:t>
      </w:r>
      <w:r w:rsidR="00B051D0">
        <w:rPr>
          <w:b w:val="0"/>
        </w:rPr>
        <w:t>.2015,</w:t>
      </w:r>
      <w:r w:rsidR="0023454B" w:rsidRPr="00EC5604">
        <w:rPr>
          <w:b w:val="0"/>
        </w:rPr>
        <w:t xml:space="preserve"> </w:t>
      </w:r>
      <w:r w:rsidR="0023454B" w:rsidRPr="00EC5604">
        <w:rPr>
          <w:b w:val="0"/>
          <w:caps/>
        </w:rPr>
        <w:t xml:space="preserve">lisbon) </w:t>
      </w:r>
      <w:r w:rsidR="0023454B" w:rsidRPr="00EC5604">
        <w:rPr>
          <w:rFonts w:cs="Arial"/>
          <w:b w:val="0"/>
        </w:rPr>
        <w:t xml:space="preserve">The </w:t>
      </w:r>
      <w:r w:rsidR="0023454B" w:rsidRPr="00EC5604">
        <w:rPr>
          <w:rFonts w:cs="Arial"/>
        </w:rPr>
        <w:t xml:space="preserve">EU drugs agency (EMCDDA) </w:t>
      </w:r>
      <w:r w:rsidR="0023454B" w:rsidRPr="00EC5604">
        <w:rPr>
          <w:rFonts w:cs="Arial"/>
          <w:b w:val="0"/>
        </w:rPr>
        <w:t xml:space="preserve">publishes today its first overview of the drug situation in the </w:t>
      </w:r>
      <w:r w:rsidR="0023454B" w:rsidRPr="00EC5604">
        <w:rPr>
          <w:rFonts w:cs="Arial"/>
        </w:rPr>
        <w:t>Western Balkans</w:t>
      </w:r>
      <w:r w:rsidR="0023454B" w:rsidRPr="00EC5604">
        <w:rPr>
          <w:rFonts w:cs="Arial"/>
          <w:b w:val="0"/>
        </w:rPr>
        <w:t xml:space="preserve"> (</w:t>
      </w:r>
      <w:r w:rsidR="0023454B" w:rsidRPr="00EC5604">
        <w:rPr>
          <w:rFonts w:cs="Arial"/>
          <w:b w:val="0"/>
          <w:vertAlign w:val="superscript"/>
        </w:rPr>
        <w:t>1</w:t>
      </w:r>
      <w:r w:rsidR="0023454B" w:rsidRPr="00EC5604">
        <w:rPr>
          <w:rFonts w:cs="Arial"/>
          <w:b w:val="0"/>
        </w:rPr>
        <w:t xml:space="preserve">). </w:t>
      </w:r>
      <w:r w:rsidR="0023454B" w:rsidRPr="00EC5604">
        <w:rPr>
          <w:b w:val="0"/>
        </w:rPr>
        <w:t xml:space="preserve">Focusing on </w:t>
      </w:r>
      <w:r w:rsidR="0023454B" w:rsidRPr="00EC5604">
        <w:t>Albania, Bosnia and Herzegovina, the former Yugoslav Republic of Macedonia, Kosovo</w:t>
      </w:r>
      <w:r w:rsidR="0057029B">
        <w:t>*</w:t>
      </w:r>
      <w:r w:rsidR="0023454B" w:rsidRPr="00EC5604">
        <w:rPr>
          <w:b w:val="0"/>
        </w:rPr>
        <w:t xml:space="preserve">, </w:t>
      </w:r>
      <w:r w:rsidR="0023454B" w:rsidRPr="00EC5604">
        <w:t>Montenegro</w:t>
      </w:r>
      <w:r w:rsidR="0023454B" w:rsidRPr="00EC5604">
        <w:rPr>
          <w:b w:val="0"/>
        </w:rPr>
        <w:t xml:space="preserve"> and </w:t>
      </w:r>
      <w:r w:rsidR="0023454B" w:rsidRPr="00EC5604">
        <w:t>Serbia</w:t>
      </w:r>
      <w:r w:rsidR="0023454B" w:rsidRPr="00EC5604">
        <w:rPr>
          <w:b w:val="0"/>
        </w:rPr>
        <w:t xml:space="preserve"> — all </w:t>
      </w:r>
      <w:r w:rsidR="00387C0C" w:rsidRPr="00EC5604">
        <w:rPr>
          <w:b w:val="0"/>
        </w:rPr>
        <w:t>c</w:t>
      </w:r>
      <w:r w:rsidR="0023454B" w:rsidRPr="00EC5604">
        <w:rPr>
          <w:b w:val="0"/>
        </w:rPr>
        <w:t xml:space="preserve">andidate and potential candidate countries to the European Union — </w:t>
      </w:r>
      <w:r w:rsidR="0023454B" w:rsidRPr="00EC5604">
        <w:rPr>
          <w:rFonts w:cs="Arial"/>
          <w:b w:val="0"/>
        </w:rPr>
        <w:t>the report describes a region facing a complex array of drug use problems and associated health and social consequences.</w:t>
      </w:r>
      <w:r w:rsidR="0023454B" w:rsidRPr="00EC5604">
        <w:rPr>
          <w:rFonts w:cs="Arial"/>
          <w:b w:val="0"/>
          <w:i/>
        </w:rPr>
        <w:t xml:space="preserve"> </w:t>
      </w:r>
      <w:r w:rsidRPr="00EC5604">
        <w:rPr>
          <w:rFonts w:cs="Arial"/>
          <w:b w:val="0"/>
        </w:rPr>
        <w:t xml:space="preserve">It focuses </w:t>
      </w:r>
      <w:r w:rsidR="0013392A" w:rsidRPr="00EC5604">
        <w:rPr>
          <w:rFonts w:cs="Arial"/>
          <w:b w:val="0"/>
        </w:rPr>
        <w:t>specifically</w:t>
      </w:r>
      <w:r w:rsidRPr="00EC5604">
        <w:rPr>
          <w:rFonts w:cs="Arial"/>
          <w:b w:val="0"/>
        </w:rPr>
        <w:t xml:space="preserve"> on problem drug use, drug-related deaths,</w:t>
      </w:r>
      <w:r w:rsidR="00387C0C" w:rsidRPr="00EC5604">
        <w:rPr>
          <w:rFonts w:cs="Arial"/>
          <w:b w:val="0"/>
        </w:rPr>
        <w:t xml:space="preserve"> the</w:t>
      </w:r>
      <w:r w:rsidRPr="00EC5604">
        <w:rPr>
          <w:rFonts w:cs="Arial"/>
          <w:b w:val="0"/>
        </w:rPr>
        <w:t xml:space="preserve"> hea</w:t>
      </w:r>
      <w:bookmarkStart w:id="0" w:name="_GoBack"/>
      <w:bookmarkEnd w:id="0"/>
      <w:r w:rsidRPr="00EC5604">
        <w:rPr>
          <w:rFonts w:cs="Arial"/>
          <w:b w:val="0"/>
        </w:rPr>
        <w:t xml:space="preserve">lth </w:t>
      </w:r>
      <w:r w:rsidR="00387C0C" w:rsidRPr="00EC5604">
        <w:rPr>
          <w:rFonts w:cs="Arial"/>
          <w:b w:val="0"/>
        </w:rPr>
        <w:t>effects</w:t>
      </w:r>
      <w:r w:rsidRPr="00EC5604">
        <w:rPr>
          <w:rFonts w:cs="Arial"/>
          <w:b w:val="0"/>
        </w:rPr>
        <w:t xml:space="preserve"> of injecting and treatment and harm reduction</w:t>
      </w:r>
      <w:r w:rsidR="00EF0615" w:rsidRPr="00EC5604">
        <w:rPr>
          <w:rFonts w:cs="Arial"/>
          <w:b w:val="0"/>
        </w:rPr>
        <w:t xml:space="preserve"> </w:t>
      </w:r>
      <w:r w:rsidR="00E71906" w:rsidRPr="00EC5604">
        <w:rPr>
          <w:rFonts w:cs="Arial"/>
          <w:b w:val="0"/>
        </w:rPr>
        <w:t>responses</w:t>
      </w:r>
      <w:r w:rsidRPr="00EC5604">
        <w:rPr>
          <w:rFonts w:cs="Arial"/>
          <w:b w:val="0"/>
        </w:rPr>
        <w:t>.</w:t>
      </w:r>
    </w:p>
    <w:p w:rsidR="0023454B" w:rsidRPr="00EC5604" w:rsidRDefault="0023454B" w:rsidP="00EC5604">
      <w:pPr>
        <w:pStyle w:val="newsContent"/>
        <w:spacing w:after="260" w:line="260" w:lineRule="exact"/>
        <w:rPr>
          <w:rFonts w:cs="Trivia Sans Book"/>
          <w:b w:val="0"/>
        </w:rPr>
      </w:pPr>
      <w:r w:rsidRPr="00EC5604">
        <w:rPr>
          <w:b w:val="0"/>
        </w:rPr>
        <w:t>‘This region is still all too oft</w:t>
      </w:r>
      <w:r w:rsidR="0081295F" w:rsidRPr="00EC5604">
        <w:rPr>
          <w:b w:val="0"/>
        </w:rPr>
        <w:t>en associated with the “Balkan r</w:t>
      </w:r>
      <w:r w:rsidRPr="00EC5604">
        <w:rPr>
          <w:b w:val="0"/>
        </w:rPr>
        <w:t xml:space="preserve">oute”, used by organised crime groups to smuggle illicit drugs, mainly heroin, from Central Asia to the European Union’, says </w:t>
      </w:r>
      <w:r w:rsidRPr="00EC5604">
        <w:t>EMCDDA Director Wolfgang Götz</w:t>
      </w:r>
      <w:r w:rsidR="0081295F" w:rsidRPr="00EC5604">
        <w:t>.</w:t>
      </w:r>
      <w:r w:rsidR="0081295F" w:rsidRPr="00EC5604">
        <w:rPr>
          <w:b w:val="0"/>
        </w:rPr>
        <w:t xml:space="preserve"> ‘But this</w:t>
      </w:r>
      <w:r w:rsidRPr="00EC5604">
        <w:rPr>
          <w:b w:val="0"/>
        </w:rPr>
        <w:t xml:space="preserve"> restrictive view does not do justice to the progress made </w:t>
      </w:r>
      <w:r w:rsidR="0081295F" w:rsidRPr="00EC5604">
        <w:rPr>
          <w:b w:val="0"/>
        </w:rPr>
        <w:t xml:space="preserve">in </w:t>
      </w:r>
      <w:r w:rsidRPr="00EC5604">
        <w:rPr>
          <w:b w:val="0"/>
        </w:rPr>
        <w:t xml:space="preserve">addressing the local, and highly complex, drug situation’. </w:t>
      </w:r>
    </w:p>
    <w:p w:rsidR="0023454B" w:rsidRPr="00EC5604" w:rsidRDefault="0023454B" w:rsidP="00EC5604">
      <w:pPr>
        <w:pStyle w:val="newsContent"/>
        <w:spacing w:after="260" w:line="260" w:lineRule="exact"/>
        <w:rPr>
          <w:b w:val="0"/>
        </w:rPr>
      </w:pPr>
      <w:r w:rsidRPr="00EC5604">
        <w:rPr>
          <w:b w:val="0"/>
        </w:rPr>
        <w:t xml:space="preserve">Over the last 10–15 years, cooperation between the </w:t>
      </w:r>
      <w:r w:rsidRPr="00EC5604">
        <w:t>EMCDDA</w:t>
      </w:r>
      <w:r w:rsidRPr="00EC5604">
        <w:rPr>
          <w:b w:val="0"/>
        </w:rPr>
        <w:t xml:space="preserve"> and the </w:t>
      </w:r>
      <w:r w:rsidRPr="00EC5604">
        <w:t>Western Balkans</w:t>
      </w:r>
      <w:r w:rsidRPr="00EC5604">
        <w:rPr>
          <w:b w:val="0"/>
        </w:rPr>
        <w:t xml:space="preserve"> has developed, with </w:t>
      </w:r>
      <w:r w:rsidR="00EC5604">
        <w:rPr>
          <w:b w:val="0"/>
        </w:rPr>
        <w:t xml:space="preserve">support from specific </w:t>
      </w:r>
      <w:r w:rsidRPr="00EC5604">
        <w:rPr>
          <w:b w:val="0"/>
        </w:rPr>
        <w:t>EU programmes (</w:t>
      </w:r>
      <w:r w:rsidR="0057029B">
        <w:rPr>
          <w:b w:val="0"/>
          <w:vertAlign w:val="superscript"/>
        </w:rPr>
        <w:t>2</w:t>
      </w:r>
      <w:r w:rsidRPr="00EC5604">
        <w:rPr>
          <w:b w:val="0"/>
        </w:rPr>
        <w:t>). Substantial progress has been made in this time in defining national drug strategies and setting up national drug coordination mechanisms, drug information systems and focal points in the reg</w:t>
      </w:r>
      <w:r w:rsidR="00A3230B" w:rsidRPr="00EC5604">
        <w:rPr>
          <w:b w:val="0"/>
        </w:rPr>
        <w:t>ion. Today’s review draws on the</w:t>
      </w:r>
      <w:r w:rsidRPr="00EC5604">
        <w:rPr>
          <w:b w:val="0"/>
        </w:rPr>
        <w:t xml:space="preserve">se achievements, particularly on data gathered and analysed in national reports submitted by </w:t>
      </w:r>
      <w:r w:rsidRPr="003503C2">
        <w:t>Western Balkan</w:t>
      </w:r>
      <w:r w:rsidRPr="00EC5604">
        <w:rPr>
          <w:b w:val="0"/>
        </w:rPr>
        <w:t xml:space="preserve"> countries to the </w:t>
      </w:r>
      <w:r w:rsidRPr="00EC5604">
        <w:t>EMCDDA</w:t>
      </w:r>
      <w:r w:rsidRPr="00EC5604">
        <w:rPr>
          <w:b w:val="0"/>
        </w:rPr>
        <w:t xml:space="preserve">.  </w:t>
      </w:r>
    </w:p>
    <w:p w:rsidR="0023454B" w:rsidRPr="00EC5604" w:rsidRDefault="0023454B" w:rsidP="00EC5604">
      <w:pPr>
        <w:pStyle w:val="newsContent"/>
        <w:rPr>
          <w:sz w:val="16"/>
          <w:szCs w:val="16"/>
        </w:rPr>
      </w:pPr>
      <w:r w:rsidRPr="00EC5604">
        <w:t>Key findings</w:t>
      </w:r>
    </w:p>
    <w:p w:rsidR="00EC5604" w:rsidRPr="00EC5604" w:rsidRDefault="007F5F9C" w:rsidP="00EC5604">
      <w:pPr>
        <w:pStyle w:val="ListParagraph"/>
        <w:numPr>
          <w:ilvl w:val="0"/>
          <w:numId w:val="1"/>
        </w:numPr>
        <w:autoSpaceDE w:val="0"/>
        <w:autoSpaceDN w:val="0"/>
        <w:adjustRightInd w:val="0"/>
        <w:spacing w:before="240" w:after="240" w:line="250" w:lineRule="exact"/>
        <w:ind w:left="284" w:right="-284" w:hanging="284"/>
        <w:rPr>
          <w:rFonts w:ascii="Arial" w:hAnsi="Arial" w:cs="Arial"/>
          <w:color w:val="000000" w:themeColor="text1"/>
          <w:sz w:val="20"/>
          <w:szCs w:val="20"/>
        </w:rPr>
      </w:pPr>
      <w:r>
        <w:rPr>
          <w:rFonts w:ascii="Arial" w:hAnsi="Arial" w:cs="Arial"/>
          <w:color w:val="000000"/>
          <w:sz w:val="20"/>
          <w:szCs w:val="20"/>
        </w:rPr>
        <w:t>Lifetime p</w:t>
      </w:r>
      <w:r w:rsidR="0023454B" w:rsidRPr="00EC5604">
        <w:rPr>
          <w:rFonts w:ascii="Arial" w:hAnsi="Arial" w:cs="Arial"/>
          <w:color w:val="000000"/>
          <w:sz w:val="20"/>
          <w:szCs w:val="20"/>
        </w:rPr>
        <w:t xml:space="preserve">revalence of drug use in the general population </w:t>
      </w:r>
      <w:r>
        <w:rPr>
          <w:rFonts w:ascii="Arial" w:hAnsi="Arial" w:cs="Arial"/>
          <w:color w:val="000000"/>
          <w:sz w:val="20"/>
          <w:szCs w:val="20"/>
        </w:rPr>
        <w:t xml:space="preserve">(15–64 years) appears to be lower than the European average. </w:t>
      </w:r>
      <w:r w:rsidR="00EC5604">
        <w:rPr>
          <w:rFonts w:ascii="Arial" w:hAnsi="Arial" w:cs="Arial"/>
          <w:color w:val="000000"/>
          <w:sz w:val="20"/>
          <w:szCs w:val="20"/>
        </w:rPr>
        <w:t>Am</w:t>
      </w:r>
      <w:r w:rsidR="00EC5604" w:rsidRPr="00EC5604">
        <w:rPr>
          <w:rFonts w:ascii="Arial" w:hAnsi="Arial" w:cs="Arial"/>
          <w:sz w:val="20"/>
          <w:szCs w:val="20"/>
        </w:rPr>
        <w:t xml:space="preserve">ong school students </w:t>
      </w:r>
      <w:r w:rsidR="00EC5604">
        <w:rPr>
          <w:rFonts w:ascii="Arial" w:hAnsi="Arial" w:cs="Arial"/>
          <w:sz w:val="20"/>
          <w:szCs w:val="20"/>
        </w:rPr>
        <w:t>(15–</w:t>
      </w:r>
      <w:r w:rsidR="00EC5604" w:rsidRPr="00EC5604">
        <w:rPr>
          <w:rFonts w:ascii="Arial" w:hAnsi="Arial" w:cs="Arial"/>
          <w:sz w:val="20"/>
          <w:szCs w:val="20"/>
        </w:rPr>
        <w:t xml:space="preserve">16 years), estimates of lifetime illicit drug use fall between 4 % and 8 %; </w:t>
      </w:r>
      <w:r w:rsidR="00EC5604">
        <w:rPr>
          <w:rFonts w:ascii="Arial" w:hAnsi="Arial" w:cs="Arial"/>
          <w:sz w:val="20"/>
          <w:szCs w:val="20"/>
        </w:rPr>
        <w:t>2.5</w:t>
      </w:r>
      <w:r w:rsidR="00EC5604" w:rsidRPr="00EC5604">
        <w:rPr>
          <w:rFonts w:ascii="Arial" w:hAnsi="Arial" w:cs="Arial"/>
          <w:sz w:val="20"/>
          <w:szCs w:val="20"/>
        </w:rPr>
        <w:t xml:space="preserve"> times lower than the European average.</w:t>
      </w:r>
    </w:p>
    <w:p w:rsidR="00400D9D" w:rsidRPr="00EC5604" w:rsidRDefault="00400D9D" w:rsidP="00EC5604">
      <w:pPr>
        <w:pStyle w:val="ListParagraph"/>
        <w:autoSpaceDE w:val="0"/>
        <w:autoSpaceDN w:val="0"/>
        <w:adjustRightInd w:val="0"/>
        <w:spacing w:before="240" w:after="240" w:line="250" w:lineRule="exact"/>
        <w:ind w:left="284" w:right="-284"/>
        <w:rPr>
          <w:rFonts w:ascii="Arial" w:hAnsi="Arial" w:cs="Arial"/>
          <w:color w:val="000000"/>
          <w:sz w:val="12"/>
          <w:szCs w:val="12"/>
        </w:rPr>
      </w:pPr>
    </w:p>
    <w:p w:rsidR="0023454B" w:rsidRDefault="0023454B" w:rsidP="00DB5F6D">
      <w:pPr>
        <w:pStyle w:val="ListParagraph"/>
        <w:numPr>
          <w:ilvl w:val="0"/>
          <w:numId w:val="1"/>
        </w:numPr>
        <w:autoSpaceDE w:val="0"/>
        <w:autoSpaceDN w:val="0"/>
        <w:adjustRightInd w:val="0"/>
        <w:spacing w:before="240" w:after="240" w:line="250" w:lineRule="exact"/>
        <w:ind w:left="284" w:hanging="284"/>
        <w:rPr>
          <w:rFonts w:ascii="Arial" w:hAnsi="Arial" w:cs="Arial"/>
          <w:color w:val="000000"/>
          <w:sz w:val="20"/>
          <w:szCs w:val="20"/>
        </w:rPr>
      </w:pPr>
      <w:r>
        <w:rPr>
          <w:rFonts w:ascii="Arial" w:hAnsi="Arial" w:cs="Arial"/>
          <w:color w:val="000000"/>
          <w:sz w:val="20"/>
          <w:szCs w:val="20"/>
        </w:rPr>
        <w:t xml:space="preserve">Estimated population sizes of people who inject drugs </w:t>
      </w:r>
      <w:r w:rsidR="00400D9D">
        <w:rPr>
          <w:rFonts w:ascii="Arial" w:hAnsi="Arial" w:cs="Arial"/>
          <w:color w:val="000000"/>
          <w:sz w:val="20"/>
          <w:szCs w:val="20"/>
        </w:rPr>
        <w:t xml:space="preserve">(PWID) </w:t>
      </w:r>
      <w:r>
        <w:rPr>
          <w:rFonts w:ascii="Arial" w:hAnsi="Arial" w:cs="Arial"/>
          <w:color w:val="000000"/>
          <w:sz w:val="20"/>
          <w:szCs w:val="20"/>
        </w:rPr>
        <w:t xml:space="preserve">vary </w:t>
      </w:r>
      <w:r w:rsidR="00400D9D">
        <w:rPr>
          <w:rFonts w:ascii="Arial" w:hAnsi="Arial" w:cs="Arial"/>
          <w:color w:val="000000"/>
          <w:sz w:val="20"/>
          <w:szCs w:val="20"/>
        </w:rPr>
        <w:t>between the countries</w:t>
      </w:r>
      <w:r w:rsidR="00EC5604">
        <w:rPr>
          <w:rFonts w:ascii="Arial" w:hAnsi="Arial" w:cs="Arial"/>
          <w:color w:val="000000"/>
          <w:sz w:val="20"/>
          <w:szCs w:val="20"/>
        </w:rPr>
        <w:t>,</w:t>
      </w:r>
      <w:r>
        <w:rPr>
          <w:rFonts w:ascii="Arial" w:hAnsi="Arial" w:cs="Arial"/>
          <w:color w:val="000000"/>
          <w:sz w:val="20"/>
          <w:szCs w:val="20"/>
        </w:rPr>
        <w:t xml:space="preserve"> but are significant</w:t>
      </w:r>
      <w:r w:rsidR="00EB1444">
        <w:rPr>
          <w:rFonts w:ascii="Arial" w:hAnsi="Arial" w:cs="Arial"/>
          <w:color w:val="000000"/>
          <w:sz w:val="20"/>
          <w:szCs w:val="20"/>
        </w:rPr>
        <w:t xml:space="preserve">. This is </w:t>
      </w:r>
      <w:r>
        <w:rPr>
          <w:rFonts w:ascii="Arial" w:hAnsi="Arial" w:cs="Arial"/>
          <w:color w:val="000000"/>
          <w:sz w:val="20"/>
          <w:szCs w:val="20"/>
        </w:rPr>
        <w:t xml:space="preserve">reflected in </w:t>
      </w:r>
      <w:r w:rsidR="00400D9D">
        <w:rPr>
          <w:rFonts w:ascii="Arial" w:hAnsi="Arial" w:cs="Arial"/>
          <w:color w:val="000000"/>
          <w:sz w:val="20"/>
          <w:szCs w:val="20"/>
        </w:rPr>
        <w:t xml:space="preserve">significant epidemics of hepatitis C among </w:t>
      </w:r>
      <w:r w:rsidR="00171A48">
        <w:rPr>
          <w:rFonts w:ascii="Arial" w:hAnsi="Arial" w:cs="Arial"/>
          <w:color w:val="000000"/>
          <w:sz w:val="20"/>
          <w:szCs w:val="20"/>
        </w:rPr>
        <w:t>this group</w:t>
      </w:r>
      <w:r w:rsidR="00400D9D">
        <w:rPr>
          <w:rFonts w:ascii="Arial" w:hAnsi="Arial" w:cs="Arial"/>
          <w:color w:val="000000"/>
          <w:sz w:val="20"/>
          <w:szCs w:val="20"/>
        </w:rPr>
        <w:t xml:space="preserve"> in the region</w:t>
      </w:r>
      <w:r>
        <w:rPr>
          <w:rFonts w:ascii="Arial" w:hAnsi="Arial" w:cs="Arial"/>
          <w:color w:val="000000"/>
          <w:sz w:val="20"/>
          <w:szCs w:val="20"/>
        </w:rPr>
        <w:t xml:space="preserve">. </w:t>
      </w:r>
    </w:p>
    <w:p w:rsidR="0023454B" w:rsidRDefault="0023454B" w:rsidP="00DB5F6D">
      <w:pPr>
        <w:pStyle w:val="ListParagraph"/>
        <w:spacing w:after="240" w:line="250" w:lineRule="exact"/>
        <w:rPr>
          <w:rFonts w:ascii="Arial" w:hAnsi="Arial" w:cs="Arial"/>
          <w:color w:val="000000"/>
          <w:sz w:val="20"/>
          <w:szCs w:val="20"/>
        </w:rPr>
      </w:pPr>
    </w:p>
    <w:p w:rsidR="00400D9D" w:rsidRPr="00DB5F6D" w:rsidRDefault="0023454B" w:rsidP="00DB5F6D">
      <w:pPr>
        <w:pStyle w:val="ListParagraph"/>
        <w:numPr>
          <w:ilvl w:val="0"/>
          <w:numId w:val="1"/>
        </w:numPr>
        <w:autoSpaceDE w:val="0"/>
        <w:autoSpaceDN w:val="0"/>
        <w:adjustRightInd w:val="0"/>
        <w:spacing w:before="240" w:after="240" w:line="250" w:lineRule="exact"/>
        <w:ind w:left="284" w:hanging="284"/>
        <w:rPr>
          <w:rFonts w:ascii="Arial" w:hAnsi="Arial" w:cs="Arial"/>
          <w:color w:val="000000"/>
          <w:sz w:val="20"/>
          <w:szCs w:val="20"/>
        </w:rPr>
      </w:pPr>
      <w:r w:rsidRPr="00DB5F6D">
        <w:rPr>
          <w:rFonts w:ascii="Arial" w:hAnsi="Arial" w:cs="Arial"/>
          <w:color w:val="000000"/>
          <w:sz w:val="20"/>
          <w:szCs w:val="20"/>
        </w:rPr>
        <w:t xml:space="preserve">There has been a substantial effort to develop treatment options and needle and syringe exchange progammes in the region, but the coverage of these programmes remains generally too low to guarantee a significant and sustainable impact. </w:t>
      </w:r>
      <w:r w:rsidR="00400D9D" w:rsidRPr="00DB5F6D">
        <w:rPr>
          <w:rFonts w:ascii="Arial" w:hAnsi="Arial" w:cs="Arial"/>
          <w:color w:val="000000"/>
          <w:sz w:val="20"/>
          <w:szCs w:val="20"/>
        </w:rPr>
        <w:t>Long-term financing of such programmes by state</w:t>
      </w:r>
      <w:r w:rsidR="00171A48">
        <w:rPr>
          <w:rFonts w:ascii="Arial" w:hAnsi="Arial" w:cs="Arial"/>
          <w:color w:val="000000"/>
          <w:sz w:val="20"/>
          <w:szCs w:val="20"/>
        </w:rPr>
        <w:t>s</w:t>
      </w:r>
      <w:r w:rsidR="00400D9D" w:rsidRPr="00DB5F6D">
        <w:rPr>
          <w:rFonts w:ascii="Arial" w:hAnsi="Arial" w:cs="Arial"/>
          <w:color w:val="000000"/>
          <w:sz w:val="20"/>
          <w:szCs w:val="20"/>
        </w:rPr>
        <w:t xml:space="preserve"> remains a challenge and should be prioritised.</w:t>
      </w:r>
    </w:p>
    <w:p w:rsidR="0023454B" w:rsidRDefault="0023454B" w:rsidP="00DB5F6D">
      <w:pPr>
        <w:pStyle w:val="ListParagraph"/>
        <w:spacing w:after="240" w:line="250" w:lineRule="exact"/>
        <w:rPr>
          <w:rFonts w:ascii="Arial" w:hAnsi="Arial" w:cs="Arial"/>
          <w:color w:val="000000"/>
          <w:sz w:val="20"/>
          <w:szCs w:val="20"/>
        </w:rPr>
      </w:pPr>
    </w:p>
    <w:p w:rsidR="0023454B" w:rsidRDefault="0023454B" w:rsidP="00DB5F6D">
      <w:pPr>
        <w:pStyle w:val="ListParagraph"/>
        <w:numPr>
          <w:ilvl w:val="0"/>
          <w:numId w:val="1"/>
        </w:numPr>
        <w:autoSpaceDE w:val="0"/>
        <w:autoSpaceDN w:val="0"/>
        <w:adjustRightInd w:val="0"/>
        <w:spacing w:before="240" w:after="240" w:line="250" w:lineRule="exact"/>
        <w:ind w:left="284" w:hanging="284"/>
        <w:rPr>
          <w:rFonts w:ascii="Arial" w:hAnsi="Arial" w:cs="Arial"/>
          <w:sz w:val="20"/>
          <w:szCs w:val="20"/>
        </w:rPr>
      </w:pPr>
      <w:r>
        <w:rPr>
          <w:rFonts w:ascii="Arial" w:hAnsi="Arial" w:cs="Arial"/>
          <w:color w:val="000000"/>
          <w:sz w:val="20"/>
          <w:szCs w:val="20"/>
        </w:rPr>
        <w:t xml:space="preserve">Investment in monitoring the drug situation and </w:t>
      </w:r>
      <w:r w:rsidR="00EB1444">
        <w:rPr>
          <w:rFonts w:ascii="Arial" w:hAnsi="Arial" w:cs="Arial"/>
          <w:color w:val="000000"/>
          <w:sz w:val="20"/>
          <w:szCs w:val="20"/>
        </w:rPr>
        <w:t xml:space="preserve">responding </w:t>
      </w:r>
      <w:r>
        <w:rPr>
          <w:rFonts w:ascii="Arial" w:hAnsi="Arial" w:cs="Arial"/>
          <w:color w:val="000000"/>
          <w:sz w:val="20"/>
          <w:szCs w:val="20"/>
        </w:rPr>
        <w:t>to it is still at a preliminary stage and needs to b</w:t>
      </w:r>
      <w:r w:rsidR="00EC5604">
        <w:rPr>
          <w:rFonts w:ascii="Arial" w:hAnsi="Arial" w:cs="Arial"/>
          <w:color w:val="000000"/>
          <w:sz w:val="20"/>
          <w:szCs w:val="20"/>
        </w:rPr>
        <w:t xml:space="preserve">e consolidated. This would </w:t>
      </w:r>
      <w:r>
        <w:rPr>
          <w:rFonts w:ascii="Arial" w:hAnsi="Arial" w:cs="Arial"/>
          <w:color w:val="000000"/>
          <w:sz w:val="20"/>
          <w:szCs w:val="20"/>
        </w:rPr>
        <w:t xml:space="preserve">provide decision-makers with the evidence required to identify needs and priorities for interventions and </w:t>
      </w:r>
      <w:r w:rsidR="00062A03">
        <w:rPr>
          <w:rFonts w:ascii="Arial" w:hAnsi="Arial" w:cs="Arial"/>
          <w:color w:val="000000"/>
          <w:sz w:val="20"/>
          <w:szCs w:val="20"/>
        </w:rPr>
        <w:t xml:space="preserve">to </w:t>
      </w:r>
      <w:r>
        <w:rPr>
          <w:rFonts w:ascii="Arial" w:hAnsi="Arial" w:cs="Arial"/>
          <w:color w:val="000000"/>
          <w:sz w:val="20"/>
          <w:szCs w:val="20"/>
        </w:rPr>
        <w:t>adapt</w:t>
      </w:r>
      <w:r w:rsidR="00062A03">
        <w:rPr>
          <w:rFonts w:ascii="Arial" w:hAnsi="Arial" w:cs="Arial"/>
          <w:color w:val="000000"/>
          <w:sz w:val="20"/>
          <w:szCs w:val="20"/>
        </w:rPr>
        <w:t xml:space="preserve"> </w:t>
      </w:r>
      <w:r>
        <w:rPr>
          <w:rFonts w:ascii="Arial" w:hAnsi="Arial" w:cs="Arial"/>
          <w:color w:val="000000"/>
          <w:sz w:val="20"/>
          <w:szCs w:val="20"/>
        </w:rPr>
        <w:t xml:space="preserve">them to the local context. </w:t>
      </w:r>
    </w:p>
    <w:p w:rsidR="0023454B" w:rsidRDefault="0023454B" w:rsidP="00DB5F6D">
      <w:pPr>
        <w:pStyle w:val="ListParagraph"/>
        <w:spacing w:after="240" w:line="250" w:lineRule="exact"/>
        <w:rPr>
          <w:rFonts w:ascii="Arial" w:hAnsi="Arial" w:cs="Arial"/>
          <w:sz w:val="20"/>
          <w:szCs w:val="20"/>
        </w:rPr>
      </w:pPr>
    </w:p>
    <w:p w:rsidR="00A86BC4" w:rsidRPr="00A86BC4" w:rsidRDefault="0023454B" w:rsidP="00A86BC4">
      <w:pPr>
        <w:pStyle w:val="ListParagraph"/>
        <w:numPr>
          <w:ilvl w:val="0"/>
          <w:numId w:val="1"/>
        </w:numPr>
        <w:autoSpaceDE w:val="0"/>
        <w:autoSpaceDN w:val="0"/>
        <w:adjustRightInd w:val="0"/>
        <w:spacing w:before="240" w:after="240" w:line="250" w:lineRule="exact"/>
        <w:ind w:left="284" w:hanging="284"/>
      </w:pPr>
      <w:r>
        <w:rPr>
          <w:rFonts w:ascii="Arial" w:hAnsi="Arial" w:cs="Arial"/>
          <w:sz w:val="20"/>
          <w:szCs w:val="20"/>
        </w:rPr>
        <w:t>The emergence of national drug strategies</w:t>
      </w:r>
      <w:r w:rsidR="00062A03">
        <w:rPr>
          <w:rFonts w:ascii="Arial" w:hAnsi="Arial" w:cs="Arial"/>
          <w:sz w:val="20"/>
          <w:szCs w:val="20"/>
        </w:rPr>
        <w:t>,</w:t>
      </w:r>
      <w:r>
        <w:rPr>
          <w:rFonts w:ascii="Arial" w:hAnsi="Arial" w:cs="Arial"/>
          <w:sz w:val="20"/>
          <w:szCs w:val="20"/>
        </w:rPr>
        <w:t xml:space="preserve"> in line with the EU Drug Strategy and Action Plans, as part of the region’s approximation to the EU, represent</w:t>
      </w:r>
      <w:r w:rsidR="00062A03">
        <w:rPr>
          <w:rFonts w:ascii="Arial" w:hAnsi="Arial" w:cs="Arial"/>
          <w:sz w:val="20"/>
          <w:szCs w:val="20"/>
        </w:rPr>
        <w:t>s</w:t>
      </w:r>
      <w:r>
        <w:rPr>
          <w:rFonts w:ascii="Arial" w:hAnsi="Arial" w:cs="Arial"/>
          <w:sz w:val="20"/>
          <w:szCs w:val="20"/>
        </w:rPr>
        <w:t xml:space="preserve"> significant progress</w:t>
      </w:r>
      <w:r w:rsidR="00062A03">
        <w:rPr>
          <w:rFonts w:ascii="Arial" w:hAnsi="Arial" w:cs="Arial"/>
          <w:sz w:val="20"/>
          <w:szCs w:val="20"/>
        </w:rPr>
        <w:t>.</w:t>
      </w:r>
      <w:r w:rsidR="00A86BC4">
        <w:rPr>
          <w:rFonts w:ascii="Arial" w:hAnsi="Arial" w:cs="Arial"/>
          <w:sz w:val="20"/>
          <w:szCs w:val="20"/>
        </w:rPr>
        <w:t xml:space="preserve">                    </w:t>
      </w:r>
    </w:p>
    <w:p w:rsidR="0033158A" w:rsidRDefault="0023454B" w:rsidP="00A86BC4">
      <w:pPr>
        <w:autoSpaceDE w:val="0"/>
        <w:autoSpaceDN w:val="0"/>
        <w:adjustRightInd w:val="0"/>
        <w:spacing w:before="240" w:after="240" w:line="240" w:lineRule="auto"/>
      </w:pPr>
      <w:r w:rsidRPr="00A86BC4">
        <w:rPr>
          <w:rFonts w:ascii="Arial" w:hAnsi="Arial" w:cs="Arial"/>
          <w:sz w:val="14"/>
          <w:szCs w:val="14"/>
        </w:rPr>
        <w:t>(</w:t>
      </w:r>
      <w:r w:rsidRPr="00A86BC4">
        <w:rPr>
          <w:rFonts w:ascii="Arial" w:hAnsi="Arial" w:cs="Arial"/>
          <w:sz w:val="14"/>
          <w:szCs w:val="14"/>
          <w:vertAlign w:val="superscript"/>
        </w:rPr>
        <w:t>1</w:t>
      </w:r>
      <w:r w:rsidRPr="00A86BC4">
        <w:rPr>
          <w:rFonts w:ascii="Arial" w:hAnsi="Arial" w:cs="Arial"/>
          <w:sz w:val="14"/>
          <w:szCs w:val="14"/>
        </w:rPr>
        <w:t>)</w:t>
      </w:r>
      <w:r w:rsidRPr="00A86BC4">
        <w:rPr>
          <w:rFonts w:ascii="Arial" w:hAnsi="Arial" w:cs="Arial"/>
          <w:b/>
          <w:i/>
          <w:sz w:val="14"/>
          <w:szCs w:val="14"/>
        </w:rPr>
        <w:t xml:space="preserve"> </w:t>
      </w:r>
      <w:r w:rsidRPr="00A86BC4">
        <w:rPr>
          <w:rFonts w:ascii="Arial" w:hAnsi="Arial" w:cs="Arial"/>
          <w:i/>
          <w:sz w:val="14"/>
          <w:szCs w:val="14"/>
        </w:rPr>
        <w:t>Drug use and its consequences in the Western Balkans 2006–14</w:t>
      </w:r>
      <w:r w:rsidRPr="00A86BC4">
        <w:rPr>
          <w:rFonts w:ascii="Arial" w:hAnsi="Arial" w:cs="Arial"/>
          <w:sz w:val="14"/>
          <w:szCs w:val="14"/>
        </w:rPr>
        <w:t xml:space="preserve"> </w:t>
      </w:r>
      <w:r w:rsidR="00BA1847">
        <w:rPr>
          <w:rFonts w:ascii="Arial" w:hAnsi="Arial" w:cs="Arial"/>
          <w:sz w:val="14"/>
          <w:szCs w:val="14"/>
        </w:rPr>
        <w:t xml:space="preserve">— </w:t>
      </w:r>
      <w:r w:rsidR="004674F1" w:rsidRPr="00A86BC4">
        <w:rPr>
          <w:rFonts w:ascii="Arial" w:hAnsi="Arial" w:cs="Arial"/>
          <w:sz w:val="14"/>
          <w:szCs w:val="14"/>
        </w:rPr>
        <w:t>www.emcdda.europa.eu/publications</w:t>
      </w:r>
      <w:r w:rsidR="00A86BC4" w:rsidRPr="00A86BC4">
        <w:rPr>
          <w:rFonts w:ascii="Arial" w:hAnsi="Arial" w:cs="Arial"/>
          <w:sz w:val="14"/>
          <w:szCs w:val="14"/>
        </w:rPr>
        <w:t>/2015/western-balkans-report</w:t>
      </w:r>
      <w:r w:rsidR="00EC5604" w:rsidRPr="00A86BC4">
        <w:rPr>
          <w:rFonts w:ascii="Arial" w:hAnsi="Arial" w:cs="Arial"/>
          <w:sz w:val="14"/>
          <w:szCs w:val="14"/>
        </w:rPr>
        <w:t xml:space="preserve">                                                                                                       </w:t>
      </w:r>
      <w:r w:rsidR="0057029B" w:rsidRPr="00A86BC4">
        <w:rPr>
          <w:rFonts w:ascii="Arial" w:hAnsi="Arial" w:cs="Arial"/>
          <w:sz w:val="14"/>
          <w:szCs w:val="14"/>
        </w:rPr>
        <w:t xml:space="preserve">* </w:t>
      </w:r>
      <w:r w:rsidRPr="00A86BC4">
        <w:rPr>
          <w:rFonts w:ascii="Arial" w:hAnsi="Arial" w:cs="Arial"/>
          <w:sz w:val="14"/>
          <w:szCs w:val="14"/>
        </w:rPr>
        <w:t xml:space="preserve"> </w:t>
      </w:r>
      <w:r w:rsidR="00352AAD" w:rsidRPr="00A86BC4">
        <w:rPr>
          <w:rFonts w:ascii="Arial" w:hAnsi="Arial" w:cs="Arial"/>
          <w:color w:val="000000"/>
          <w:sz w:val="14"/>
          <w:szCs w:val="14"/>
        </w:rPr>
        <w:t xml:space="preserve">All references to Kosovo in this report should be understood to be without prejudice to positions on status, and in line with UNSCR 1244 and the International Court of Justice Opinion on the Kosovo declaration of independence. </w:t>
      </w:r>
      <w:r w:rsidR="00B92C8E" w:rsidRPr="00A86BC4">
        <w:rPr>
          <w:rFonts w:ascii="Arial" w:hAnsi="Arial" w:cs="Arial"/>
          <w:sz w:val="14"/>
          <w:szCs w:val="14"/>
        </w:rPr>
        <w:t>(</w:t>
      </w:r>
      <w:r w:rsidR="0057029B" w:rsidRPr="00A86BC4">
        <w:rPr>
          <w:rFonts w:ascii="Arial" w:hAnsi="Arial" w:cs="Arial"/>
          <w:sz w:val="14"/>
          <w:szCs w:val="14"/>
          <w:vertAlign w:val="superscript"/>
        </w:rPr>
        <w:t>2</w:t>
      </w:r>
      <w:r w:rsidR="00B92C8E" w:rsidRPr="00A86BC4">
        <w:rPr>
          <w:rFonts w:ascii="Arial" w:hAnsi="Arial" w:cs="Arial"/>
          <w:sz w:val="14"/>
          <w:szCs w:val="14"/>
        </w:rPr>
        <w:t xml:space="preserve">) </w:t>
      </w:r>
      <w:r w:rsidR="0033158A" w:rsidRPr="00A86BC4">
        <w:rPr>
          <w:rFonts w:ascii="Arial" w:hAnsi="Arial" w:cs="Arial"/>
          <w:color w:val="000000"/>
          <w:sz w:val="14"/>
          <w:szCs w:val="14"/>
        </w:rPr>
        <w:t>Phare Programme; Community Assistance for Reconstruction, Development and Stabilisation (CARDS); and I</w:t>
      </w:r>
      <w:r w:rsidR="0033158A" w:rsidRPr="00A86BC4">
        <w:rPr>
          <w:rFonts w:ascii="Arial" w:hAnsi="Arial" w:cs="Arial"/>
          <w:sz w:val="14"/>
          <w:szCs w:val="14"/>
        </w:rPr>
        <w:t xml:space="preserve">nstrument for Pre-Accession Assistance (IPA). </w:t>
      </w:r>
    </w:p>
    <w:sectPr w:rsidR="0033158A" w:rsidSect="00EC5604">
      <w:headerReference w:type="default" r:id="rId11"/>
      <w:footerReference w:type="default" r:id="rId12"/>
      <w:footerReference w:type="first" r:id="rId13"/>
      <w:type w:val="continuous"/>
      <w:pgSz w:w="11906" w:h="16838" w:code="9"/>
      <w:pgMar w:top="1644" w:right="1133" w:bottom="1135"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4B" w:rsidRDefault="0023454B" w:rsidP="009A28FB">
      <w:pPr>
        <w:spacing w:after="0" w:line="240" w:lineRule="auto"/>
      </w:pPr>
      <w:r>
        <w:separator/>
      </w:r>
    </w:p>
  </w:endnote>
  <w:endnote w:type="continuationSeparator" w:id="0">
    <w:p w:rsidR="0023454B" w:rsidRDefault="0023454B"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EE105F">
      <w:tc>
        <w:tcPr>
          <w:tcW w:w="1444" w:type="dxa"/>
        </w:tcPr>
        <w:p w:rsidR="00BF1E3B" w:rsidRDefault="00BF1E3B"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44185745" wp14:editId="74D8CAEE">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Pr="00D37865">
            <w:rPr>
              <w:noProof/>
              <w:lang w:eastAsia="en-GB"/>
            </w:rPr>
            <w:t>emcdda.europa.eu</w:t>
          </w:r>
        </w:p>
      </w:tc>
      <w:tc>
        <w:tcPr>
          <w:tcW w:w="3294" w:type="dxa"/>
          <w:vAlign w:val="bottom"/>
        </w:tcPr>
        <w:p w:rsidR="00BF1E3B" w:rsidRDefault="007E0B3C" w:rsidP="00BF1E3B">
          <w:pPr>
            <w:pStyle w:val="newsReference"/>
            <w:jc w:val="right"/>
          </w:pPr>
          <w:r>
            <w:fldChar w:fldCharType="begin"/>
          </w:r>
          <w:r>
            <w:instrText xml:space="preserve"> PAGE   \* MERGEFORMAT </w:instrText>
          </w:r>
          <w:r>
            <w:fldChar w:fldCharType="separate"/>
          </w:r>
          <w:r w:rsidR="00A86BC4">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63677C" w:rsidP="003B00EE">
          <w:pPr>
            <w:pStyle w:val="newsCoordinates"/>
          </w:pPr>
          <w:r>
            <w:rPr>
              <w:noProof/>
              <w:lang w:eastAsia="en-GB"/>
            </w:rPr>
            <mc:AlternateContent>
              <mc:Choice Requires="wps">
                <w:drawing>
                  <wp:anchor distT="0" distB="0" distL="114300" distR="114300" simplePos="0" relativeHeight="251665408" behindDoc="1" locked="0" layoutInCell="1" allowOverlap="1" wp14:anchorId="3BEDF6A3" wp14:editId="331B8D87">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Contact: Kathy Robertson, Media relations </w:t>
          </w:r>
          <w:r w:rsidRPr="00FC0187">
            <w:rPr>
              <w:sz w:val="18"/>
            </w:rPr>
            <w:t>I</w:t>
          </w:r>
          <w:r>
            <w:t xml:space="preserve"> Kathryn.Robertson@emcdda.europa.eu </w:t>
          </w:r>
        </w:p>
        <w:p w:rsidR="0063677C" w:rsidRPr="0023454B" w:rsidRDefault="0063677C" w:rsidP="003B00EE">
          <w:pPr>
            <w:pStyle w:val="newsCoordinates"/>
            <w:rPr>
              <w:lang w:val="pt-PT"/>
            </w:rPr>
          </w:pPr>
          <w:r w:rsidRPr="0023454B">
            <w:rPr>
              <w:lang w:val="pt-PT"/>
            </w:rPr>
            <w:t xml:space="preserve">Praça Europa 1, Cais do Sodré, 1249-289 Lisbon, Portugal </w:t>
          </w:r>
        </w:p>
        <w:p w:rsidR="0063677C" w:rsidRDefault="0063677C" w:rsidP="003B00EE">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63677C" w:rsidRDefault="00B92C8E" w:rsidP="00B92C8E">
          <w:pPr>
            <w:pStyle w:val="newsReference"/>
            <w:jc w:val="right"/>
          </w:pPr>
          <w:r>
            <w:t>EN — No 5</w:t>
          </w:r>
          <w:r w:rsidR="0063677C" w:rsidRPr="00FC0187">
            <w:t>/</w:t>
          </w:r>
          <w:r>
            <w:t>2015</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4B" w:rsidRDefault="0023454B" w:rsidP="009A28FB">
      <w:pPr>
        <w:spacing w:after="0" w:line="240" w:lineRule="auto"/>
      </w:pPr>
      <w:r>
        <w:separator/>
      </w:r>
    </w:p>
  </w:footnote>
  <w:footnote w:type="continuationSeparator" w:id="0">
    <w:p w:rsidR="0023454B" w:rsidRDefault="0023454B"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A54C6">
          <w:pPr>
            <w:pStyle w:val="newsEmbargo"/>
          </w:pPr>
          <w:r>
            <w:rPr>
              <w:noProof/>
              <w:lang w:eastAsia="en-GB"/>
            </w:rPr>
            <mc:AlternateContent>
              <mc:Choice Requires="wps">
                <w:drawing>
                  <wp:anchor distT="0" distB="0" distL="114300" distR="114300" simplePos="0" relativeHeight="251661312" behindDoc="1" locked="0" layoutInCell="1" allowOverlap="1" wp14:anchorId="351A3D53" wp14:editId="4AAF59E4">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Pr="00CC4FDA">
            <w:rPr>
              <w:noProof/>
              <w:lang w:eastAsia="en-GB"/>
            </w:rPr>
            <w:t>Plauda qu</w:t>
          </w:r>
          <w:r w:rsidR="00CA54C6">
            <w:rPr>
              <w:noProof/>
              <w:lang w:eastAsia="en-GB"/>
            </w:rPr>
            <w:t>aepuda disin rerrovita aut labo</w:t>
          </w:r>
        </w:p>
      </w:tc>
      <w:tc>
        <w:tcPr>
          <w:tcW w:w="3294" w:type="dxa"/>
          <w:vAlign w:val="bottom"/>
        </w:tcPr>
        <w:p w:rsidR="00BF1E3B" w:rsidRDefault="00546A56" w:rsidP="00546A56">
          <w:pPr>
            <w:pStyle w:val="newsReference"/>
            <w:jc w:val="right"/>
          </w:pPr>
          <w:r>
            <w:t>22</w:t>
          </w:r>
          <w:r w:rsidR="00BF1E3B" w:rsidRPr="00CC4FDA">
            <w:t>.</w:t>
          </w:r>
          <w:r>
            <w:t>03</w:t>
          </w:r>
          <w:r w:rsidR="00BF1E3B" w:rsidRPr="00CC4FDA">
            <w:t>.201</w:t>
          </w:r>
          <w:r>
            <w:t>4</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1A38"/>
    <w:multiLevelType w:val="hybridMultilevel"/>
    <w:tmpl w:val="1BCCD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4B"/>
    <w:rsid w:val="00014E8E"/>
    <w:rsid w:val="00036DAA"/>
    <w:rsid w:val="000535B7"/>
    <w:rsid w:val="00062A03"/>
    <w:rsid w:val="00067DD3"/>
    <w:rsid w:val="000C6200"/>
    <w:rsid w:val="00105BFC"/>
    <w:rsid w:val="00107C96"/>
    <w:rsid w:val="0013392A"/>
    <w:rsid w:val="00171A48"/>
    <w:rsid w:val="0017713E"/>
    <w:rsid w:val="001800D0"/>
    <w:rsid w:val="001A3338"/>
    <w:rsid w:val="001B0702"/>
    <w:rsid w:val="001C795A"/>
    <w:rsid w:val="001D2B6E"/>
    <w:rsid w:val="001D5C26"/>
    <w:rsid w:val="001F70B4"/>
    <w:rsid w:val="00223753"/>
    <w:rsid w:val="0023454B"/>
    <w:rsid w:val="00252570"/>
    <w:rsid w:val="002557B0"/>
    <w:rsid w:val="002646E4"/>
    <w:rsid w:val="0027252D"/>
    <w:rsid w:val="0028141E"/>
    <w:rsid w:val="002948E2"/>
    <w:rsid w:val="002A61F7"/>
    <w:rsid w:val="002B05CE"/>
    <w:rsid w:val="002B45AC"/>
    <w:rsid w:val="0033158A"/>
    <w:rsid w:val="0033158E"/>
    <w:rsid w:val="003503C2"/>
    <w:rsid w:val="00352AAD"/>
    <w:rsid w:val="0036121D"/>
    <w:rsid w:val="00387C0C"/>
    <w:rsid w:val="00387D02"/>
    <w:rsid w:val="003B41B1"/>
    <w:rsid w:val="003C0395"/>
    <w:rsid w:val="00400D9D"/>
    <w:rsid w:val="00411499"/>
    <w:rsid w:val="004137B0"/>
    <w:rsid w:val="00415B84"/>
    <w:rsid w:val="004221D3"/>
    <w:rsid w:val="0044111C"/>
    <w:rsid w:val="00444086"/>
    <w:rsid w:val="00445080"/>
    <w:rsid w:val="0045468D"/>
    <w:rsid w:val="004674F1"/>
    <w:rsid w:val="004847FB"/>
    <w:rsid w:val="004C3028"/>
    <w:rsid w:val="004D6E0C"/>
    <w:rsid w:val="00520EF1"/>
    <w:rsid w:val="00542CEE"/>
    <w:rsid w:val="00546A56"/>
    <w:rsid w:val="0057029B"/>
    <w:rsid w:val="005A0DC8"/>
    <w:rsid w:val="005B05A0"/>
    <w:rsid w:val="005B0882"/>
    <w:rsid w:val="005B1B63"/>
    <w:rsid w:val="005C4033"/>
    <w:rsid w:val="00600A76"/>
    <w:rsid w:val="006116D9"/>
    <w:rsid w:val="00623A55"/>
    <w:rsid w:val="0063677C"/>
    <w:rsid w:val="00666A63"/>
    <w:rsid w:val="00674B27"/>
    <w:rsid w:val="006C595E"/>
    <w:rsid w:val="00730132"/>
    <w:rsid w:val="00773814"/>
    <w:rsid w:val="00791F09"/>
    <w:rsid w:val="007B0E03"/>
    <w:rsid w:val="007B1CCD"/>
    <w:rsid w:val="007E0B3C"/>
    <w:rsid w:val="007F5D0A"/>
    <w:rsid w:val="007F5F9C"/>
    <w:rsid w:val="0081295F"/>
    <w:rsid w:val="00813FB5"/>
    <w:rsid w:val="008264FF"/>
    <w:rsid w:val="00841E86"/>
    <w:rsid w:val="00881730"/>
    <w:rsid w:val="008B313E"/>
    <w:rsid w:val="008C1172"/>
    <w:rsid w:val="008D54B3"/>
    <w:rsid w:val="008F177B"/>
    <w:rsid w:val="008F399E"/>
    <w:rsid w:val="00902300"/>
    <w:rsid w:val="0094019A"/>
    <w:rsid w:val="00955F0C"/>
    <w:rsid w:val="00974A27"/>
    <w:rsid w:val="009A28FB"/>
    <w:rsid w:val="009D6255"/>
    <w:rsid w:val="009F4FB0"/>
    <w:rsid w:val="00A0788A"/>
    <w:rsid w:val="00A16B77"/>
    <w:rsid w:val="00A215C1"/>
    <w:rsid w:val="00A311EF"/>
    <w:rsid w:val="00A3230B"/>
    <w:rsid w:val="00A3254D"/>
    <w:rsid w:val="00A661E2"/>
    <w:rsid w:val="00A856B7"/>
    <w:rsid w:val="00A86BC4"/>
    <w:rsid w:val="00AD7BFC"/>
    <w:rsid w:val="00AE093C"/>
    <w:rsid w:val="00AE1738"/>
    <w:rsid w:val="00AE2272"/>
    <w:rsid w:val="00AF13B3"/>
    <w:rsid w:val="00AF259D"/>
    <w:rsid w:val="00B051D0"/>
    <w:rsid w:val="00B11B73"/>
    <w:rsid w:val="00B272F1"/>
    <w:rsid w:val="00B51E08"/>
    <w:rsid w:val="00B57464"/>
    <w:rsid w:val="00B61036"/>
    <w:rsid w:val="00B72DD3"/>
    <w:rsid w:val="00B7335C"/>
    <w:rsid w:val="00B92C8E"/>
    <w:rsid w:val="00B97BC5"/>
    <w:rsid w:val="00BA1847"/>
    <w:rsid w:val="00BB60CF"/>
    <w:rsid w:val="00BF1E3B"/>
    <w:rsid w:val="00C34F19"/>
    <w:rsid w:val="00C36BC1"/>
    <w:rsid w:val="00C628C4"/>
    <w:rsid w:val="00C63254"/>
    <w:rsid w:val="00C874C0"/>
    <w:rsid w:val="00CA2FF5"/>
    <w:rsid w:val="00CA54C6"/>
    <w:rsid w:val="00CB49DA"/>
    <w:rsid w:val="00CC1F19"/>
    <w:rsid w:val="00CC4FDA"/>
    <w:rsid w:val="00CC6A8B"/>
    <w:rsid w:val="00D01335"/>
    <w:rsid w:val="00D03EC6"/>
    <w:rsid w:val="00D328CD"/>
    <w:rsid w:val="00D3312B"/>
    <w:rsid w:val="00D37865"/>
    <w:rsid w:val="00D57367"/>
    <w:rsid w:val="00D84AE3"/>
    <w:rsid w:val="00D92A34"/>
    <w:rsid w:val="00D96CF6"/>
    <w:rsid w:val="00DB5F6D"/>
    <w:rsid w:val="00E57C9D"/>
    <w:rsid w:val="00E66CCD"/>
    <w:rsid w:val="00E71906"/>
    <w:rsid w:val="00E81F3D"/>
    <w:rsid w:val="00E83FC3"/>
    <w:rsid w:val="00EB1444"/>
    <w:rsid w:val="00EB5C54"/>
    <w:rsid w:val="00EC5604"/>
    <w:rsid w:val="00EE105F"/>
    <w:rsid w:val="00EE23CC"/>
    <w:rsid w:val="00EF0615"/>
    <w:rsid w:val="00F06CDE"/>
    <w:rsid w:val="00F21CA9"/>
    <w:rsid w:val="00F24096"/>
    <w:rsid w:val="00F414EF"/>
    <w:rsid w:val="00F47542"/>
    <w:rsid w:val="00FB3095"/>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23454B"/>
    <w:pPr>
      <w:tabs>
        <w:tab w:val="left" w:pos="5205"/>
      </w:tabs>
      <w:spacing w:before="24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23454B"/>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EC5604"/>
    <w:pPr>
      <w:spacing w:after="0" w:line="240" w:lineRule="auto"/>
    </w:pPr>
    <w:rPr>
      <w:rFonts w:ascii="Arial" w:hAnsi="Arial"/>
      <w:b/>
      <w:color w:val="000000" w:themeColor="text1"/>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EC5604"/>
    <w:rPr>
      <w:rFonts w:ascii="Arial" w:hAnsi="Arial"/>
      <w:b/>
      <w:color w:val="000000" w:themeColor="text1"/>
      <w:sz w:val="20"/>
      <w:szCs w:val="20"/>
    </w:rPr>
  </w:style>
  <w:style w:type="character" w:customStyle="1" w:styleId="newsNotesChar">
    <w:name w:val="newsNotes Char"/>
    <w:basedOn w:val="newsContentChar"/>
    <w:link w:val="newsNotes"/>
    <w:rsid w:val="00CB49DA"/>
    <w:rPr>
      <w:rFonts w:ascii="Arial" w:hAnsi="Arial"/>
      <w:b/>
      <w:color w:val="000000" w:themeColor="text1"/>
      <w:sz w:val="17"/>
      <w:szCs w:val="20"/>
    </w:rPr>
  </w:style>
  <w:style w:type="character" w:customStyle="1" w:styleId="newsNotesNumberChar">
    <w:name w:val="newsNotesNumber Char"/>
    <w:basedOn w:val="newsNotesChar"/>
    <w:link w:val="newsNotesNumber"/>
    <w:rsid w:val="00CB49DA"/>
    <w:rPr>
      <w:rFonts w:ascii="Arial" w:hAnsi="Arial"/>
      <w:b/>
      <w:color w:val="000000" w:themeColor="text1"/>
      <w:sz w:val="17"/>
      <w:szCs w:val="20"/>
      <w:vertAlign w:val="superscript"/>
    </w:rPr>
  </w:style>
  <w:style w:type="paragraph" w:styleId="ListParagraph">
    <w:name w:val="List Paragraph"/>
    <w:basedOn w:val="Normal"/>
    <w:uiPriority w:val="34"/>
    <w:qFormat/>
    <w:rsid w:val="0023454B"/>
    <w:pPr>
      <w:ind w:left="720"/>
      <w:contextualSpacing/>
    </w:pPr>
  </w:style>
  <w:style w:type="character" w:customStyle="1" w:styleId="A7">
    <w:name w:val="A7"/>
    <w:uiPriority w:val="99"/>
    <w:rsid w:val="0023454B"/>
    <w:rPr>
      <w:rFonts w:ascii="Trivia Sans Book" w:hAnsi="Trivia Sans Book" w:cs="Trivia Sans Book" w:hint="default"/>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23454B"/>
    <w:pPr>
      <w:tabs>
        <w:tab w:val="left" w:pos="5205"/>
      </w:tabs>
      <w:spacing w:before="240" w:after="112" w:line="300" w:lineRule="exact"/>
    </w:pPr>
    <w:rPr>
      <w:rFonts w:ascii="Arial" w:hAnsi="Arial"/>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23454B"/>
    <w:pPr>
      <w:spacing w:after="300" w:line="300" w:lineRule="exact"/>
    </w:pPr>
    <w:rPr>
      <w:rFonts w:ascii="Arial" w:hAnsi="Arial"/>
      <w:b/>
      <w:sz w:val="24"/>
      <w:szCs w:val="24"/>
    </w:rPr>
  </w:style>
  <w:style w:type="paragraph" w:customStyle="1" w:styleId="newsContent">
    <w:name w:val="newsContent"/>
    <w:basedOn w:val="Normal"/>
    <w:link w:val="newsContentChar"/>
    <w:autoRedefine/>
    <w:qFormat/>
    <w:rsid w:val="00EC5604"/>
    <w:pPr>
      <w:spacing w:after="0" w:line="240" w:lineRule="auto"/>
    </w:pPr>
    <w:rPr>
      <w:rFonts w:ascii="Arial" w:hAnsi="Arial"/>
      <w:b/>
      <w:color w:val="000000" w:themeColor="text1"/>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EC5604"/>
    <w:rPr>
      <w:rFonts w:ascii="Arial" w:hAnsi="Arial"/>
      <w:b/>
      <w:color w:val="000000" w:themeColor="text1"/>
      <w:sz w:val="20"/>
      <w:szCs w:val="20"/>
    </w:rPr>
  </w:style>
  <w:style w:type="character" w:customStyle="1" w:styleId="newsNotesChar">
    <w:name w:val="newsNotes Char"/>
    <w:basedOn w:val="newsContentChar"/>
    <w:link w:val="newsNotes"/>
    <w:rsid w:val="00CB49DA"/>
    <w:rPr>
      <w:rFonts w:ascii="Arial" w:hAnsi="Arial"/>
      <w:b/>
      <w:color w:val="000000" w:themeColor="text1"/>
      <w:sz w:val="17"/>
      <w:szCs w:val="20"/>
    </w:rPr>
  </w:style>
  <w:style w:type="character" w:customStyle="1" w:styleId="newsNotesNumberChar">
    <w:name w:val="newsNotesNumber Char"/>
    <w:basedOn w:val="newsNotesChar"/>
    <w:link w:val="newsNotesNumber"/>
    <w:rsid w:val="00CB49DA"/>
    <w:rPr>
      <w:rFonts w:ascii="Arial" w:hAnsi="Arial"/>
      <w:b/>
      <w:color w:val="000000" w:themeColor="text1"/>
      <w:sz w:val="17"/>
      <w:szCs w:val="20"/>
      <w:vertAlign w:val="superscript"/>
    </w:rPr>
  </w:style>
  <w:style w:type="paragraph" w:styleId="ListParagraph">
    <w:name w:val="List Paragraph"/>
    <w:basedOn w:val="Normal"/>
    <w:uiPriority w:val="34"/>
    <w:qFormat/>
    <w:rsid w:val="0023454B"/>
    <w:pPr>
      <w:ind w:left="720"/>
      <w:contextualSpacing/>
    </w:pPr>
  </w:style>
  <w:style w:type="character" w:customStyle="1" w:styleId="A7">
    <w:name w:val="A7"/>
    <w:uiPriority w:val="99"/>
    <w:rsid w:val="0023454B"/>
    <w:rPr>
      <w:rFonts w:ascii="Trivia Sans Book" w:hAnsi="Trivia Sans Book" w:cs="Trivia Sans Book" w:hint="defaul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9540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5.%20NEWS_MATERIAL_2014\Fact_sheet_EN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A097-CC05-4F28-80E6-8D0A4562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Fact_sheet_EN_2014</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Fact sheet EN</vt:lpstr>
    </vt:vector>
  </TitlesOfParts>
  <Manager>EMCDDA</Manager>
  <Company>EMCDDA</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EN</dc:title>
  <dc:subject>Fact sheet EN</dc:subject>
  <dc:creator>Kathryn Robertson</dc:creator>
  <cp:lastModifiedBy>Kathryn Robertson</cp:lastModifiedBy>
  <cp:revision>2</cp:revision>
  <cp:lastPrinted>2015-03-23T14:11:00Z</cp:lastPrinted>
  <dcterms:created xsi:type="dcterms:W3CDTF">2015-03-23T14:18:00Z</dcterms:created>
  <dcterms:modified xsi:type="dcterms:W3CDTF">2015-03-23T14:18:00Z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